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E8C9" w14:textId="00B4912E" w:rsidR="00E12D96" w:rsidRDefault="002E0FC5">
      <w:pPr>
        <w:rPr>
          <w:lang w:val="en-US"/>
        </w:rPr>
      </w:pPr>
      <w:r>
        <w:rPr>
          <w:lang w:val="en-US"/>
        </w:rPr>
        <w:t>OBD2CG-18-03</w:t>
      </w:r>
    </w:p>
    <w:p w14:paraId="3C3FD512" w14:textId="158B096A" w:rsidR="00E12D96" w:rsidRPr="004E53EF" w:rsidRDefault="00E12D96" w:rsidP="00C06EE6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4E53EF">
        <w:rPr>
          <w:b/>
          <w:bCs/>
          <w:sz w:val="28"/>
          <w:szCs w:val="28"/>
          <w:lang w:val="en-GB"/>
        </w:rPr>
        <w:t>EPPR IWG Chair</w:t>
      </w:r>
      <w:r w:rsidR="00E56CA0" w:rsidRPr="004E53EF">
        <w:rPr>
          <w:b/>
          <w:bCs/>
          <w:sz w:val="28"/>
          <w:szCs w:val="28"/>
          <w:lang w:val="en-GB"/>
        </w:rPr>
        <w:t>: withdrawal of chair’s</w:t>
      </w:r>
      <w:r w:rsidR="002B5A2F" w:rsidRPr="004E53EF">
        <w:rPr>
          <w:b/>
          <w:bCs/>
          <w:sz w:val="28"/>
          <w:szCs w:val="28"/>
          <w:lang w:val="en-GB"/>
        </w:rPr>
        <w:t xml:space="preserve"> </w:t>
      </w:r>
      <w:r w:rsidRPr="004E53EF">
        <w:rPr>
          <w:b/>
          <w:bCs/>
          <w:sz w:val="28"/>
          <w:szCs w:val="28"/>
          <w:lang w:val="en-GB"/>
        </w:rPr>
        <w:t>proposal for a</w:t>
      </w:r>
      <w:r w:rsidR="00E56CA0" w:rsidRPr="004E53EF">
        <w:rPr>
          <w:b/>
          <w:bCs/>
          <w:sz w:val="28"/>
          <w:szCs w:val="28"/>
          <w:lang w:val="en-GB"/>
        </w:rPr>
        <w:t>n</w:t>
      </w:r>
      <w:r w:rsidRPr="004E53EF">
        <w:rPr>
          <w:b/>
          <w:bCs/>
          <w:sz w:val="28"/>
          <w:szCs w:val="28"/>
          <w:lang w:val="en-GB"/>
        </w:rPr>
        <w:t xml:space="preserve"> </w:t>
      </w:r>
      <w:r w:rsidR="00E56CA0" w:rsidRPr="004E53EF">
        <w:rPr>
          <w:b/>
          <w:bCs/>
          <w:sz w:val="28"/>
          <w:szCs w:val="28"/>
          <w:lang w:val="en-GB"/>
        </w:rPr>
        <w:t xml:space="preserve">alternative </w:t>
      </w:r>
      <w:r w:rsidRPr="004E53EF">
        <w:rPr>
          <w:b/>
          <w:bCs/>
          <w:sz w:val="28"/>
          <w:szCs w:val="28"/>
          <w:lang w:val="en-GB"/>
        </w:rPr>
        <w:t xml:space="preserve">method </w:t>
      </w:r>
    </w:p>
    <w:p w14:paraId="55028A2D" w14:textId="03DF58EB" w:rsidR="00E12D96" w:rsidRPr="004E53EF" w:rsidRDefault="00E12D96" w:rsidP="00E56CA0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4E53EF">
        <w:rPr>
          <w:b/>
          <w:bCs/>
          <w:sz w:val="28"/>
          <w:szCs w:val="28"/>
          <w:lang w:val="en-GB"/>
        </w:rPr>
        <w:t>to Japan</w:t>
      </w:r>
      <w:r w:rsidR="00E56CA0" w:rsidRPr="004E53EF">
        <w:rPr>
          <w:b/>
          <w:bCs/>
          <w:sz w:val="28"/>
          <w:szCs w:val="28"/>
          <w:lang w:val="en-GB"/>
        </w:rPr>
        <w:t>’s</w:t>
      </w:r>
      <w:r w:rsidRPr="004E53EF">
        <w:rPr>
          <w:b/>
          <w:bCs/>
          <w:sz w:val="28"/>
          <w:szCs w:val="28"/>
          <w:lang w:val="en-GB"/>
        </w:rPr>
        <w:t xml:space="preserve"> OBD2CG-18-01</w:t>
      </w:r>
      <w:r w:rsidR="004E53EF" w:rsidRPr="004E53EF">
        <w:rPr>
          <w:b/>
          <w:bCs/>
          <w:sz w:val="28"/>
          <w:szCs w:val="28"/>
          <w:lang w:val="en-GB"/>
        </w:rPr>
        <w:t xml:space="preserve"> </w:t>
      </w:r>
      <w:r w:rsidR="00E56CA0" w:rsidRPr="004E53EF">
        <w:rPr>
          <w:b/>
          <w:bCs/>
          <w:sz w:val="28"/>
          <w:szCs w:val="28"/>
          <w:lang w:val="en-GB"/>
        </w:rPr>
        <w:t xml:space="preserve">on </w:t>
      </w:r>
      <w:r w:rsidRPr="004E53EF">
        <w:rPr>
          <w:b/>
          <w:bCs/>
          <w:sz w:val="28"/>
          <w:szCs w:val="28"/>
          <w:lang w:val="en-GB"/>
        </w:rPr>
        <w:t xml:space="preserve">OBD2 Catalyst </w:t>
      </w:r>
      <w:r w:rsidR="00243F68" w:rsidRPr="004E53EF">
        <w:rPr>
          <w:b/>
          <w:bCs/>
          <w:sz w:val="28"/>
          <w:szCs w:val="28"/>
          <w:lang w:val="en-GB"/>
        </w:rPr>
        <w:t>M</w:t>
      </w:r>
      <w:r w:rsidRPr="004E53EF">
        <w:rPr>
          <w:b/>
          <w:bCs/>
          <w:sz w:val="28"/>
          <w:szCs w:val="28"/>
          <w:lang w:val="en-GB"/>
        </w:rPr>
        <w:t xml:space="preserve">onitoring </w:t>
      </w:r>
    </w:p>
    <w:p w14:paraId="6F8272B6" w14:textId="77777777" w:rsidR="00E56CA0" w:rsidRPr="004E53EF" w:rsidRDefault="00E56CA0" w:rsidP="00E56CA0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34F53DE2" w14:textId="187BD33F" w:rsidR="002B5A2F" w:rsidRPr="004E53EF" w:rsidRDefault="002B5A2F" w:rsidP="00B659CE">
      <w:pPr>
        <w:pStyle w:val="ListParagraph"/>
        <w:numPr>
          <w:ilvl w:val="0"/>
          <w:numId w:val="1"/>
        </w:numPr>
        <w:spacing w:after="120"/>
        <w:ind w:left="1077"/>
        <w:jc w:val="both"/>
        <w:rPr>
          <w:b/>
          <w:bCs/>
          <w:lang w:val="en-GB"/>
        </w:rPr>
      </w:pPr>
      <w:r w:rsidRPr="004E53EF">
        <w:rPr>
          <w:b/>
          <w:bCs/>
          <w:lang w:val="en-GB"/>
        </w:rPr>
        <w:t>Background</w:t>
      </w:r>
    </w:p>
    <w:p w14:paraId="53C1A588" w14:textId="19FFECF6" w:rsidR="00E005A0" w:rsidRPr="004E53EF" w:rsidRDefault="002B5A2F" w:rsidP="00B659CE">
      <w:pPr>
        <w:pStyle w:val="ListParagraph"/>
        <w:spacing w:after="120"/>
        <w:ind w:left="1077"/>
        <w:jc w:val="both"/>
        <w:rPr>
          <w:lang w:val="en-GB"/>
        </w:rPr>
      </w:pPr>
      <w:r w:rsidRPr="004E53EF">
        <w:rPr>
          <w:lang w:val="en-GB"/>
        </w:rPr>
        <w:t>During the 35</w:t>
      </w:r>
      <w:r w:rsidRPr="004E53EF">
        <w:rPr>
          <w:vertAlign w:val="superscript"/>
          <w:lang w:val="en-GB"/>
        </w:rPr>
        <w:t>th</w:t>
      </w:r>
      <w:r w:rsidRPr="004E53EF">
        <w:rPr>
          <w:lang w:val="en-GB"/>
        </w:rPr>
        <w:t xml:space="preserve"> meeting of the EPPR IWG, the chair made a</w:t>
      </w:r>
      <w:r w:rsidR="00445EA6">
        <w:rPr>
          <w:lang w:val="en-GB"/>
        </w:rPr>
        <w:t xml:space="preserve"> verbal</w:t>
      </w:r>
      <w:r w:rsidRPr="004E53EF">
        <w:rPr>
          <w:lang w:val="en-GB"/>
        </w:rPr>
        <w:t xml:space="preserve"> proposal for an alternative method to the proposal by Japan (OBD2CG-18-01) to tackle the need to reduce the possibility of tampering </w:t>
      </w:r>
      <w:r w:rsidR="00E005A0" w:rsidRPr="004E53EF">
        <w:rPr>
          <w:lang w:val="en-GB"/>
        </w:rPr>
        <w:t xml:space="preserve">with the gas exhaust aftertreatment system. The tampering was one of the reasons for catalyst </w:t>
      </w:r>
      <w:r w:rsidR="00B659CE" w:rsidRPr="004E53EF">
        <w:rPr>
          <w:lang w:val="en-GB"/>
        </w:rPr>
        <w:t xml:space="preserve">monitoring </w:t>
      </w:r>
      <w:r w:rsidR="00E005A0" w:rsidRPr="004E53EF">
        <w:rPr>
          <w:lang w:val="en-GB"/>
        </w:rPr>
        <w:t>in</w:t>
      </w:r>
      <w:r w:rsidR="00B659CE">
        <w:rPr>
          <w:lang w:val="en-GB"/>
        </w:rPr>
        <w:t xml:space="preserve"> </w:t>
      </w:r>
      <w:r w:rsidR="00E005A0" w:rsidRPr="004E53EF">
        <w:rPr>
          <w:lang w:val="en-GB"/>
        </w:rPr>
        <w:t>GTR 18 (amendment 1).</w:t>
      </w:r>
    </w:p>
    <w:p w14:paraId="6163CB10" w14:textId="6EFF508A" w:rsidR="002B5A2F" w:rsidRPr="004E53EF" w:rsidRDefault="00E005A0" w:rsidP="00B659CE">
      <w:pPr>
        <w:pStyle w:val="ListParagraph"/>
        <w:spacing w:after="120"/>
        <w:ind w:left="1080"/>
        <w:jc w:val="both"/>
        <w:rPr>
          <w:lang w:val="en-GB"/>
        </w:rPr>
      </w:pPr>
      <w:r w:rsidRPr="004E53EF">
        <w:rPr>
          <w:lang w:val="en-GB"/>
        </w:rPr>
        <w:t xml:space="preserve"> </w:t>
      </w:r>
      <w:r w:rsidR="002B5A2F" w:rsidRPr="004E53EF">
        <w:rPr>
          <w:lang w:val="en-GB"/>
        </w:rPr>
        <w:t xml:space="preserve"> </w:t>
      </w:r>
    </w:p>
    <w:p w14:paraId="2A1BBD44" w14:textId="14A829D7" w:rsidR="00E12D96" w:rsidRPr="00F763B6" w:rsidRDefault="00E12D96" w:rsidP="00F763B6">
      <w:pPr>
        <w:pStyle w:val="ListParagraph"/>
        <w:numPr>
          <w:ilvl w:val="0"/>
          <w:numId w:val="1"/>
        </w:numPr>
        <w:spacing w:after="120"/>
        <w:ind w:left="1077"/>
        <w:jc w:val="both"/>
        <w:rPr>
          <w:b/>
          <w:bCs/>
          <w:lang w:val="en-GB"/>
        </w:rPr>
      </w:pPr>
      <w:r w:rsidRPr="004E53EF">
        <w:rPr>
          <w:b/>
          <w:bCs/>
          <w:lang w:val="en-GB"/>
        </w:rPr>
        <w:t>Proposal</w:t>
      </w:r>
    </w:p>
    <w:p w14:paraId="76B94A7E" w14:textId="4E258A67" w:rsidR="00E12D96" w:rsidRPr="004E53EF" w:rsidRDefault="00E005A0" w:rsidP="00B659CE">
      <w:pPr>
        <w:spacing w:after="120" w:line="360" w:lineRule="auto"/>
        <w:ind w:left="1134"/>
        <w:jc w:val="both"/>
        <w:rPr>
          <w:iCs/>
          <w:lang w:val="en-GB"/>
        </w:rPr>
      </w:pPr>
      <w:r w:rsidRPr="004E53EF">
        <w:rPr>
          <w:iCs/>
          <w:lang w:val="en-GB"/>
        </w:rPr>
        <w:t>The proposal was</w:t>
      </w:r>
      <w:r w:rsidR="00E12D96" w:rsidRPr="004E53EF">
        <w:rPr>
          <w:iCs/>
          <w:lang w:val="en-GB"/>
        </w:rPr>
        <w:t xml:space="preserve"> to add </w:t>
      </w:r>
      <w:r w:rsidRPr="004E53EF">
        <w:rPr>
          <w:iCs/>
          <w:lang w:val="en-GB"/>
        </w:rPr>
        <w:t xml:space="preserve">a </w:t>
      </w:r>
      <w:r w:rsidR="00E12D96" w:rsidRPr="004E53EF">
        <w:rPr>
          <w:iCs/>
          <w:lang w:val="en-GB"/>
        </w:rPr>
        <w:t>new para</w:t>
      </w:r>
      <w:r w:rsidRPr="004E53EF">
        <w:rPr>
          <w:iCs/>
          <w:lang w:val="en-GB"/>
        </w:rPr>
        <w:t>graph</w:t>
      </w:r>
      <w:r w:rsidR="00E12D96" w:rsidRPr="004E53EF">
        <w:rPr>
          <w:iCs/>
          <w:lang w:val="en-GB"/>
        </w:rPr>
        <w:t xml:space="preserve"> </w:t>
      </w:r>
      <w:r w:rsidRPr="004E53EF">
        <w:rPr>
          <w:iCs/>
          <w:lang w:val="en-GB"/>
        </w:rPr>
        <w:t xml:space="preserve">to GRPE/2019/17 </w:t>
      </w:r>
      <w:r w:rsidR="00E12D96" w:rsidRPr="004E53EF">
        <w:rPr>
          <w:iCs/>
          <w:lang w:val="en-GB"/>
        </w:rPr>
        <w:t>as follows</w:t>
      </w:r>
      <w:r w:rsidR="002E4173" w:rsidRPr="004E53EF">
        <w:rPr>
          <w:iCs/>
          <w:lang w:val="en-GB"/>
        </w:rPr>
        <w:t>:</w:t>
      </w:r>
      <w:r w:rsidRPr="004E53EF">
        <w:rPr>
          <w:iCs/>
          <w:lang w:val="en-GB"/>
        </w:rPr>
        <w:t xml:space="preserve"> </w:t>
      </w:r>
    </w:p>
    <w:p w14:paraId="280D50CA" w14:textId="0CC561C9" w:rsidR="002E4173" w:rsidRPr="004E53EF" w:rsidRDefault="00664266" w:rsidP="00B659CE">
      <w:pPr>
        <w:spacing w:after="120"/>
        <w:ind w:left="1418" w:hanging="284"/>
        <w:jc w:val="both"/>
        <w:rPr>
          <w:i/>
          <w:lang w:val="en-GB"/>
        </w:rPr>
      </w:pPr>
      <w:r>
        <w:rPr>
          <w:i/>
          <w:lang w:val="en-GB"/>
        </w:rPr>
        <w:t>“</w:t>
      </w:r>
      <w:r w:rsidR="002E4173" w:rsidRPr="004E53EF">
        <w:rPr>
          <w:i/>
          <w:lang w:val="en-GB"/>
        </w:rPr>
        <w:t>Alternative measures:</w:t>
      </w:r>
    </w:p>
    <w:p w14:paraId="3487500F" w14:textId="1259DA7A" w:rsidR="002E4173" w:rsidRDefault="002E4173" w:rsidP="00B659CE">
      <w:pPr>
        <w:spacing w:after="120"/>
        <w:ind w:left="1134"/>
        <w:jc w:val="both"/>
        <w:rPr>
          <w:i/>
          <w:lang w:val="en-GB"/>
        </w:rPr>
      </w:pPr>
      <w:r w:rsidRPr="004E53EF">
        <w:rPr>
          <w:i/>
          <w:lang w:val="en-GB"/>
        </w:rPr>
        <w:t>The measurement of heat developed in the catalyst shall be monitored such that it is clear that a properly loaded catalyst is present within the muffler.  This may be done with thermocouples or RTDs.</w:t>
      </w:r>
      <w:r w:rsidR="00664266">
        <w:rPr>
          <w:i/>
          <w:lang w:val="en-GB"/>
        </w:rPr>
        <w:t>”</w:t>
      </w:r>
    </w:p>
    <w:p w14:paraId="1C1F24BB" w14:textId="20BF0498" w:rsidR="00664266" w:rsidRPr="00664266" w:rsidRDefault="00664266" w:rsidP="00B659CE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lang w:val="en-GB"/>
        </w:rPr>
      </w:pPr>
      <w:r w:rsidRPr="00664266">
        <w:rPr>
          <w:b/>
          <w:bCs/>
          <w:lang w:val="en-GB"/>
        </w:rPr>
        <w:t>Withdrawal</w:t>
      </w:r>
    </w:p>
    <w:p w14:paraId="2E2B3ECD" w14:textId="6405C8B6" w:rsidR="004E53EF" w:rsidRDefault="004E53EF" w:rsidP="00B659CE">
      <w:pPr>
        <w:spacing w:after="120"/>
        <w:ind w:left="1134"/>
        <w:jc w:val="both"/>
        <w:rPr>
          <w:rFonts w:ascii="Calibri" w:hAnsi="Calibri" w:cs="Calibri"/>
          <w:lang w:val="en-GB"/>
        </w:rPr>
      </w:pPr>
      <w:r>
        <w:rPr>
          <w:lang w:val="en-GB"/>
        </w:rPr>
        <w:t>After reviewing in detail</w:t>
      </w:r>
      <w:r w:rsidR="00445EA6">
        <w:rPr>
          <w:lang w:val="en-GB"/>
        </w:rPr>
        <w:t>s</w:t>
      </w:r>
      <w:r>
        <w:rPr>
          <w:lang w:val="en-GB"/>
        </w:rPr>
        <w:t xml:space="preserve"> the purpose</w:t>
      </w:r>
      <w:r w:rsidR="00445EA6">
        <w:rPr>
          <w:lang w:val="en-GB"/>
        </w:rPr>
        <w:t>,</w:t>
      </w:r>
      <w:r>
        <w:rPr>
          <w:lang w:val="en-GB"/>
        </w:rPr>
        <w:t xml:space="preserve"> the scope and application (</w:t>
      </w:r>
      <w:r>
        <w:rPr>
          <w:rFonts w:ascii="Calibri" w:hAnsi="Calibri" w:cs="Calibri"/>
          <w:lang w:val="en-GB"/>
        </w:rPr>
        <w:t>§1 and §2)</w:t>
      </w:r>
      <w:r w:rsidR="00664266">
        <w:rPr>
          <w:rFonts w:ascii="Calibri" w:hAnsi="Calibri" w:cs="Calibri"/>
          <w:lang w:val="en-GB"/>
        </w:rPr>
        <w:t xml:space="preserve"> of GTR 18</w:t>
      </w:r>
      <w:r>
        <w:rPr>
          <w:rFonts w:ascii="Calibri" w:hAnsi="Calibri" w:cs="Calibri"/>
          <w:lang w:val="en-GB"/>
        </w:rPr>
        <w:t xml:space="preserve">, the chair considers that the proposal is not in line with the purpose of the GTR 18 and </w:t>
      </w:r>
      <w:r w:rsidR="00445EA6">
        <w:rPr>
          <w:rFonts w:ascii="Calibri" w:hAnsi="Calibri" w:cs="Calibri"/>
          <w:lang w:val="en-GB"/>
        </w:rPr>
        <w:t xml:space="preserve">has </w:t>
      </w:r>
      <w:r>
        <w:rPr>
          <w:rFonts w:ascii="Calibri" w:hAnsi="Calibri" w:cs="Calibri"/>
          <w:lang w:val="en-GB"/>
        </w:rPr>
        <w:t>therefore decided to</w:t>
      </w:r>
      <w:r w:rsidR="00664266">
        <w:rPr>
          <w:rFonts w:ascii="Calibri" w:hAnsi="Calibri" w:cs="Calibri"/>
          <w:lang w:val="en-GB"/>
        </w:rPr>
        <w:t xml:space="preserve"> withdraw the proposal.</w:t>
      </w:r>
    </w:p>
    <w:p w14:paraId="09D002E3" w14:textId="4699E9AD" w:rsidR="00664266" w:rsidRPr="00664266" w:rsidRDefault="00664266" w:rsidP="00B659CE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lang w:val="en-GB"/>
        </w:rPr>
      </w:pPr>
      <w:r w:rsidRPr="00664266">
        <w:rPr>
          <w:b/>
          <w:bCs/>
          <w:lang w:val="en-GB"/>
        </w:rPr>
        <w:t>Justification</w:t>
      </w:r>
    </w:p>
    <w:p w14:paraId="38670E25" w14:textId="14728127" w:rsidR="004E53EF" w:rsidRDefault="00596589" w:rsidP="00B659CE">
      <w:pPr>
        <w:spacing w:after="120"/>
        <w:ind w:left="1134"/>
        <w:jc w:val="both"/>
        <w:rPr>
          <w:lang w:val="en-GB"/>
        </w:rPr>
      </w:pPr>
      <w:r>
        <w:rPr>
          <w:lang w:val="en-GB"/>
        </w:rPr>
        <w:t>S</w:t>
      </w:r>
      <w:r w:rsidR="004E53EF">
        <w:rPr>
          <w:lang w:val="en-GB"/>
        </w:rPr>
        <w:t xml:space="preserve">ome </w:t>
      </w:r>
      <w:r>
        <w:rPr>
          <w:lang w:val="en-GB"/>
        </w:rPr>
        <w:t>members of the IWG</w:t>
      </w:r>
      <w:r w:rsidR="004E53EF">
        <w:rPr>
          <w:lang w:val="en-GB"/>
        </w:rPr>
        <w:t xml:space="preserve"> (European Commission, The Netherlands and The United Kingdom) </w:t>
      </w:r>
      <w:r>
        <w:rPr>
          <w:lang w:val="en-GB"/>
        </w:rPr>
        <w:t xml:space="preserve">expressed in the meeting </w:t>
      </w:r>
      <w:r w:rsidR="004E53EF">
        <w:rPr>
          <w:lang w:val="en-GB"/>
        </w:rPr>
        <w:t xml:space="preserve">that the proposal made by Japan </w:t>
      </w:r>
      <w:r w:rsidR="00664266">
        <w:rPr>
          <w:lang w:val="en-GB"/>
        </w:rPr>
        <w:t>was not in line with the scope and objectives of GTR 18 and that it seemed more appropriate to include the Japanese approach within either a</w:t>
      </w:r>
      <w:r w:rsidR="004261F1">
        <w:rPr>
          <w:lang w:val="en-GB"/>
        </w:rPr>
        <w:t>n</w:t>
      </w:r>
      <w:r w:rsidR="00664266">
        <w:rPr>
          <w:lang w:val="en-GB"/>
        </w:rPr>
        <w:t xml:space="preserve"> In-</w:t>
      </w:r>
      <w:r w:rsidR="00445EA6">
        <w:rPr>
          <w:lang w:val="en-GB"/>
        </w:rPr>
        <w:t>S</w:t>
      </w:r>
      <w:r w:rsidR="00664266">
        <w:rPr>
          <w:lang w:val="en-GB"/>
        </w:rPr>
        <w:t xml:space="preserve">ervice </w:t>
      </w:r>
      <w:r w:rsidR="00445EA6">
        <w:rPr>
          <w:lang w:val="en-GB"/>
        </w:rPr>
        <w:t>C</w:t>
      </w:r>
      <w:r w:rsidR="00664266">
        <w:rPr>
          <w:lang w:val="en-GB"/>
        </w:rPr>
        <w:t xml:space="preserve">onformity (ISC) or </w:t>
      </w:r>
      <w:r w:rsidR="00445EA6">
        <w:rPr>
          <w:lang w:val="en-GB"/>
        </w:rPr>
        <w:t xml:space="preserve">a </w:t>
      </w:r>
      <w:r w:rsidR="00664266" w:rsidRPr="00664266">
        <w:rPr>
          <w:lang w:val="en-GB"/>
        </w:rPr>
        <w:t xml:space="preserve">Periodic Technical Inspection </w:t>
      </w:r>
      <w:r w:rsidR="00664266">
        <w:rPr>
          <w:lang w:val="en-GB"/>
        </w:rPr>
        <w:t xml:space="preserve">(PTI) </w:t>
      </w:r>
      <w:r w:rsidR="004261F1">
        <w:rPr>
          <w:lang w:val="en-GB"/>
        </w:rPr>
        <w:t>regulation</w:t>
      </w:r>
      <w:r>
        <w:rPr>
          <w:lang w:val="en-GB"/>
        </w:rPr>
        <w:t>.</w:t>
      </w:r>
      <w:r w:rsidR="004261F1">
        <w:rPr>
          <w:lang w:val="en-GB"/>
        </w:rPr>
        <w:t xml:space="preserve"> </w:t>
      </w:r>
    </w:p>
    <w:p w14:paraId="5068064B" w14:textId="5014988B" w:rsidR="004261F1" w:rsidRDefault="00445EA6" w:rsidP="00B659CE">
      <w:pPr>
        <w:spacing w:after="120"/>
        <w:ind w:left="1134"/>
        <w:jc w:val="both"/>
        <w:rPr>
          <w:lang w:val="en-GB"/>
        </w:rPr>
      </w:pPr>
      <w:r>
        <w:rPr>
          <w:lang w:val="en-GB"/>
        </w:rPr>
        <w:t>After</w:t>
      </w:r>
      <w:r w:rsidR="00596589">
        <w:rPr>
          <w:lang w:val="en-GB"/>
        </w:rPr>
        <w:t xml:space="preserve"> examin</w:t>
      </w:r>
      <w:r>
        <w:rPr>
          <w:lang w:val="en-GB"/>
        </w:rPr>
        <w:t>ing</w:t>
      </w:r>
      <w:r w:rsidR="00596589">
        <w:rPr>
          <w:lang w:val="en-GB"/>
        </w:rPr>
        <w:t xml:space="preserve"> closely the text of the GTR 18, </w:t>
      </w:r>
      <w:r>
        <w:rPr>
          <w:lang w:val="en-GB"/>
        </w:rPr>
        <w:t xml:space="preserve">the chair has </w:t>
      </w:r>
      <w:r w:rsidR="00596589">
        <w:rPr>
          <w:lang w:val="en-GB"/>
        </w:rPr>
        <w:t>reach</w:t>
      </w:r>
      <w:r>
        <w:rPr>
          <w:lang w:val="en-GB"/>
        </w:rPr>
        <w:t>ed</w:t>
      </w:r>
      <w:r w:rsidR="00596589">
        <w:rPr>
          <w:lang w:val="en-GB"/>
        </w:rPr>
        <w:t xml:space="preserve"> the conclusion that</w:t>
      </w:r>
      <w:r w:rsidR="004261F1">
        <w:rPr>
          <w:lang w:val="en-GB"/>
        </w:rPr>
        <w:t xml:space="preserve"> the adoption of </w:t>
      </w:r>
      <w:r w:rsidR="00596589">
        <w:rPr>
          <w:lang w:val="en-GB"/>
        </w:rPr>
        <w:t>the chair’s</w:t>
      </w:r>
      <w:r w:rsidR="004261F1">
        <w:rPr>
          <w:lang w:val="en-GB"/>
        </w:rPr>
        <w:t xml:space="preserve"> proposed alternative as anti-tampering option suffers of the same shortcoming as the Japanese proposal; i.e. it might be more appropriate within a</w:t>
      </w:r>
      <w:r w:rsidR="00596589">
        <w:rPr>
          <w:lang w:val="en-GB"/>
        </w:rPr>
        <w:t>n</w:t>
      </w:r>
      <w:r w:rsidR="004261F1">
        <w:rPr>
          <w:lang w:val="en-GB"/>
        </w:rPr>
        <w:t xml:space="preserve"> ISC and/or a PTI regulation</w:t>
      </w:r>
      <w:r>
        <w:rPr>
          <w:lang w:val="en-GB"/>
        </w:rPr>
        <w:t>,</w:t>
      </w:r>
      <w:r w:rsidR="00596589">
        <w:rPr>
          <w:lang w:val="en-GB"/>
        </w:rPr>
        <w:t xml:space="preserve"> as it is not in line with the scope of the regulation</w:t>
      </w:r>
      <w:r w:rsidR="004261F1">
        <w:rPr>
          <w:lang w:val="en-GB"/>
        </w:rPr>
        <w:t>.</w:t>
      </w:r>
    </w:p>
    <w:p w14:paraId="58E06AC9" w14:textId="3862C47D" w:rsidR="00FB70BB" w:rsidRDefault="00FB70BB" w:rsidP="00B659CE">
      <w:pPr>
        <w:spacing w:after="120"/>
        <w:ind w:left="1134"/>
        <w:jc w:val="both"/>
        <w:rPr>
          <w:lang w:val="en-GB"/>
        </w:rPr>
      </w:pPr>
      <w:r>
        <w:rPr>
          <w:lang w:val="en-GB"/>
        </w:rPr>
        <w:t xml:space="preserve">The measuring of the </w:t>
      </w:r>
      <w:r w:rsidR="0016110A">
        <w:rPr>
          <w:lang w:val="en-GB"/>
        </w:rPr>
        <w:t xml:space="preserve">heat developed in the catalyst </w:t>
      </w:r>
      <w:r w:rsidR="0016110A" w:rsidRPr="0016110A">
        <w:rPr>
          <w:lang w:val="en-GB"/>
        </w:rPr>
        <w:t>for monitoring malfunctions of the catalytic converter</w:t>
      </w:r>
      <w:r w:rsidR="0016110A">
        <w:rPr>
          <w:lang w:val="en-GB"/>
        </w:rPr>
        <w:t xml:space="preserve"> might be a valid proposal but it needs further development. As for instance</w:t>
      </w:r>
      <w:r w:rsidR="00445EA6">
        <w:rPr>
          <w:lang w:val="en-GB"/>
        </w:rPr>
        <w:t>,</w:t>
      </w:r>
      <w:r w:rsidR="0016110A">
        <w:rPr>
          <w:lang w:val="en-GB"/>
        </w:rPr>
        <w:t xml:space="preserve"> it would need to introduce the monitoring of </w:t>
      </w:r>
      <w:r w:rsidR="0016110A" w:rsidRPr="0016110A">
        <w:rPr>
          <w:lang w:val="en-GB"/>
        </w:rPr>
        <w:t>the deterioration</w:t>
      </w:r>
      <w:r w:rsidR="0016110A">
        <w:rPr>
          <w:lang w:val="en-GB"/>
        </w:rPr>
        <w:t xml:space="preserve"> of the temperature sensors (equivalent to </w:t>
      </w:r>
      <w:r w:rsidR="0016110A">
        <w:rPr>
          <w:rFonts w:ascii="Calibri" w:hAnsi="Calibri" w:cs="Calibri"/>
          <w:lang w:val="en-GB"/>
        </w:rPr>
        <w:t xml:space="preserve">§ </w:t>
      </w:r>
      <w:r w:rsidR="0016110A" w:rsidRPr="0016110A">
        <w:rPr>
          <w:rFonts w:ascii="Calibri" w:hAnsi="Calibri" w:cs="Calibri"/>
          <w:lang w:val="en-GB"/>
        </w:rPr>
        <w:t xml:space="preserve">5.3.4.3. </w:t>
      </w:r>
      <w:r w:rsidR="0016110A">
        <w:rPr>
          <w:rFonts w:ascii="Calibri" w:hAnsi="Calibri" w:cs="Calibri"/>
          <w:lang w:val="en-GB"/>
        </w:rPr>
        <w:t>“</w:t>
      </w:r>
      <w:r w:rsidR="0016110A" w:rsidRPr="0016110A">
        <w:rPr>
          <w:rFonts w:ascii="Calibri" w:hAnsi="Calibri" w:cs="Calibri"/>
          <w:lang w:val="en-GB"/>
        </w:rPr>
        <w:t>Oxygen sensor deterioration</w:t>
      </w:r>
      <w:r w:rsidR="0016110A">
        <w:rPr>
          <w:rFonts w:ascii="Calibri" w:hAnsi="Calibri" w:cs="Calibri"/>
          <w:lang w:val="en-GB"/>
        </w:rPr>
        <w:t>”). At the present state of the development of Amendment 1 to GTR 18 there is no time to do so</w:t>
      </w:r>
      <w:r w:rsidR="007035F2">
        <w:rPr>
          <w:rFonts w:ascii="Calibri" w:hAnsi="Calibri" w:cs="Calibri"/>
          <w:lang w:val="en-GB"/>
        </w:rPr>
        <w:t>,</w:t>
      </w:r>
      <w:r w:rsidR="0016110A">
        <w:rPr>
          <w:rFonts w:ascii="Calibri" w:hAnsi="Calibri" w:cs="Calibri"/>
          <w:lang w:val="en-GB"/>
        </w:rPr>
        <w:t xml:space="preserve"> unless the IWG would like to delay the process of </w:t>
      </w:r>
      <w:r w:rsidR="00B659CE">
        <w:rPr>
          <w:rFonts w:ascii="Calibri" w:hAnsi="Calibri" w:cs="Calibri"/>
          <w:lang w:val="en-GB"/>
        </w:rPr>
        <w:t xml:space="preserve">GTR 18 </w:t>
      </w:r>
      <w:r w:rsidR="0016110A">
        <w:rPr>
          <w:rFonts w:ascii="Calibri" w:hAnsi="Calibri" w:cs="Calibri"/>
          <w:lang w:val="en-GB"/>
        </w:rPr>
        <w:t>approval by the WP.29/AC.3.</w:t>
      </w:r>
    </w:p>
    <w:p w14:paraId="5E946759" w14:textId="3C4A02AF" w:rsidR="00E12D96" w:rsidRPr="004E53EF" w:rsidRDefault="00E12D96" w:rsidP="00B659CE">
      <w:pPr>
        <w:spacing w:after="120"/>
        <w:jc w:val="both"/>
        <w:rPr>
          <w:lang w:val="en-GB"/>
        </w:rPr>
      </w:pPr>
    </w:p>
    <w:p w14:paraId="6F3B385F" w14:textId="55F92748" w:rsidR="00E12D96" w:rsidRPr="00E12D96" w:rsidRDefault="00243F68" w:rsidP="00243F68">
      <w:pPr>
        <w:jc w:val="center"/>
        <w:rPr>
          <w:lang w:val="en-US"/>
        </w:rPr>
      </w:pPr>
      <w:r>
        <w:rPr>
          <w:lang w:val="en-US"/>
        </w:rPr>
        <w:t>_________________________________</w:t>
      </w:r>
    </w:p>
    <w:sectPr w:rsidR="00E12D96" w:rsidRPr="00E12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41B1" w14:textId="77777777" w:rsidR="000B1FF3" w:rsidRDefault="000B1FF3" w:rsidP="002E4173">
      <w:pPr>
        <w:spacing w:after="0" w:line="240" w:lineRule="auto"/>
      </w:pPr>
      <w:r>
        <w:separator/>
      </w:r>
    </w:p>
  </w:endnote>
  <w:endnote w:type="continuationSeparator" w:id="0">
    <w:p w14:paraId="67020E37" w14:textId="77777777" w:rsidR="000B1FF3" w:rsidRDefault="000B1FF3" w:rsidP="002E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28EB0" w14:textId="77777777" w:rsidR="000B1FF3" w:rsidRDefault="000B1FF3" w:rsidP="002E4173">
      <w:pPr>
        <w:spacing w:after="0" w:line="240" w:lineRule="auto"/>
      </w:pPr>
      <w:r>
        <w:separator/>
      </w:r>
    </w:p>
  </w:footnote>
  <w:footnote w:type="continuationSeparator" w:id="0">
    <w:p w14:paraId="319F6D44" w14:textId="77777777" w:rsidR="000B1FF3" w:rsidRDefault="000B1FF3" w:rsidP="002E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5F17"/>
    <w:multiLevelType w:val="hybridMultilevel"/>
    <w:tmpl w:val="2D42BB3C"/>
    <w:lvl w:ilvl="0" w:tplc="E0C6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96"/>
    <w:rsid w:val="000719D2"/>
    <w:rsid w:val="000A142F"/>
    <w:rsid w:val="000B1FF3"/>
    <w:rsid w:val="001544E1"/>
    <w:rsid w:val="0016110A"/>
    <w:rsid w:val="00243F68"/>
    <w:rsid w:val="002B5A2F"/>
    <w:rsid w:val="002E0FC5"/>
    <w:rsid w:val="002E4173"/>
    <w:rsid w:val="004261F1"/>
    <w:rsid w:val="00445EA6"/>
    <w:rsid w:val="004E53EF"/>
    <w:rsid w:val="00596589"/>
    <w:rsid w:val="006227EA"/>
    <w:rsid w:val="00664266"/>
    <w:rsid w:val="007035F2"/>
    <w:rsid w:val="008966AE"/>
    <w:rsid w:val="008D6BAF"/>
    <w:rsid w:val="00922563"/>
    <w:rsid w:val="00A041AE"/>
    <w:rsid w:val="00AC4E78"/>
    <w:rsid w:val="00B659CE"/>
    <w:rsid w:val="00B95B9B"/>
    <w:rsid w:val="00C06EE6"/>
    <w:rsid w:val="00CD7D8D"/>
    <w:rsid w:val="00D51B9B"/>
    <w:rsid w:val="00E005A0"/>
    <w:rsid w:val="00E12D96"/>
    <w:rsid w:val="00E56CA0"/>
    <w:rsid w:val="00F763B6"/>
    <w:rsid w:val="00F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EBC2"/>
  <w15:chartTrackingRefBased/>
  <w15:docId w15:val="{1B2E468C-4D0F-4B22-ABD7-A260941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A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41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1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1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6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1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5FC86-7ED6-4868-913F-F373A09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Leveratto</dc:creator>
  <cp:keywords>alternative;methodology;CP option</cp:keywords>
  <dc:description/>
  <cp:lastModifiedBy>Daniela Leveratto</cp:lastModifiedBy>
  <cp:revision>6</cp:revision>
  <dcterms:created xsi:type="dcterms:W3CDTF">2020-05-13T12:24:00Z</dcterms:created>
  <dcterms:modified xsi:type="dcterms:W3CDTF">2020-05-14T06:51:00Z</dcterms:modified>
</cp:coreProperties>
</file>