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8B14" w14:textId="77777777" w:rsidR="001A17E9" w:rsidRDefault="001A17E9" w:rsidP="001A17E9">
      <w:pPr>
        <w:pStyle w:val="a3"/>
        <w:rPr>
          <w:sz w:val="40"/>
        </w:rPr>
      </w:pPr>
      <w:r w:rsidRPr="001A17E9">
        <w:rPr>
          <w:sz w:val="40"/>
        </w:rPr>
        <w:t>Position of NL on current documents that are submitted.</w:t>
      </w:r>
    </w:p>
    <w:p w14:paraId="76D266F0" w14:textId="3384FECA" w:rsidR="001A17E9" w:rsidRDefault="00E02345" w:rsidP="001A17E9">
      <w:r>
        <w:t>W</w:t>
      </w:r>
      <w:r w:rsidR="00131034">
        <w:t xml:space="preserve">e appreciate the progress demonstrated by all subgroups. The documents have gained </w:t>
      </w:r>
      <w:r w:rsidR="00600344">
        <w:t xml:space="preserve">substantial </w:t>
      </w:r>
      <w:r w:rsidR="00131034">
        <w:t xml:space="preserve">quality in a relatively short period. </w:t>
      </w:r>
      <w:r>
        <w:t>W</w:t>
      </w:r>
      <w:r w:rsidR="00131034">
        <w:t>e see the documents as a good basis for the next phase (more detailed descriptions).</w:t>
      </w:r>
    </w:p>
    <w:p w14:paraId="00C3FBE1" w14:textId="451E5444" w:rsidR="001A17E9" w:rsidRPr="009F2CB2" w:rsidRDefault="001A17E9" w:rsidP="001A17E9">
      <w:pPr>
        <w:keepNext/>
        <w:keepLines/>
        <w:numPr>
          <w:ilvl w:val="0"/>
          <w:numId w:val="1"/>
        </w:numPr>
        <w:spacing w:before="240" w:after="0" w:line="254" w:lineRule="auto"/>
        <w:outlineLvl w:val="0"/>
        <w:rPr>
          <w:rFonts w:ascii="Calibri Light" w:eastAsia="游ゴシック Light" w:hAnsi="Calibri Light" w:cs="Times New Roman"/>
          <w:color w:val="2E74B5"/>
          <w:sz w:val="32"/>
          <w:szCs w:val="32"/>
          <w:lang w:eastAsia="nl-NL"/>
        </w:rPr>
      </w:pPr>
      <w:r w:rsidRPr="009F2CB2">
        <w:rPr>
          <w:rFonts w:ascii="Calibri Light" w:eastAsia="游ゴシック Light" w:hAnsi="Calibri Light" w:cs="Times New Roman"/>
          <w:color w:val="2E74B5"/>
          <w:sz w:val="32"/>
          <w:szCs w:val="32"/>
          <w:lang w:eastAsia="nl-NL"/>
        </w:rPr>
        <w:t xml:space="preserve">Monitoring and Improve </w:t>
      </w:r>
      <w:r w:rsidR="00600344">
        <w:rPr>
          <w:rFonts w:ascii="Calibri Light" w:eastAsia="游ゴシック Light" w:hAnsi="Calibri Light" w:cs="Times New Roman"/>
          <w:color w:val="2E74B5"/>
          <w:sz w:val="32"/>
          <w:szCs w:val="32"/>
          <w:lang w:eastAsia="nl-NL"/>
        </w:rPr>
        <w:t xml:space="preserve">as </w:t>
      </w:r>
      <w:r w:rsidRPr="009F2CB2">
        <w:rPr>
          <w:rFonts w:ascii="Calibri Light" w:eastAsia="游ゴシック Light" w:hAnsi="Calibri Light" w:cs="Times New Roman"/>
          <w:color w:val="2E74B5"/>
          <w:sz w:val="32"/>
          <w:szCs w:val="32"/>
          <w:lang w:eastAsia="nl-NL"/>
        </w:rPr>
        <w:t>a separate pillar</w:t>
      </w:r>
    </w:p>
    <w:p w14:paraId="6D6A6537" w14:textId="77777777" w:rsidR="004D0EE8" w:rsidRPr="004D0EE8" w:rsidRDefault="004D0EE8" w:rsidP="004D0EE8">
      <w:pPr>
        <w:jc w:val="both"/>
        <w:rPr>
          <w:lang w:val="en-GB"/>
        </w:rPr>
      </w:pPr>
      <w:r>
        <w:t>Monitoring and Improve</w:t>
      </w:r>
      <w:r w:rsidRPr="004D0EE8">
        <w:rPr>
          <w:lang w:val="en-GB"/>
        </w:rPr>
        <w:t xml:space="preserve"> should be a separate pillar, because it is critical to highlight the importance of safety assurance and continuous improvement thanks to the operational feedback. Monitoring should not only be seen as a reactive tool for the confirmation of the safety performance and/or event investigation, but also as a proactive tool for the early identification of unsafe traffic conditions and for information sharing. </w:t>
      </w:r>
    </w:p>
    <w:p w14:paraId="72B44750" w14:textId="77777777" w:rsidR="00600344" w:rsidRDefault="00600344" w:rsidP="00600344">
      <w:pPr>
        <w:spacing w:line="254" w:lineRule="auto"/>
        <w:rPr>
          <w:rFonts w:ascii="Calibri" w:eastAsia="游明朝" w:hAnsi="Calibri" w:cs="Times New Roman"/>
          <w:color w:val="000000"/>
        </w:rPr>
      </w:pPr>
      <w:r w:rsidRPr="009F2CB2">
        <w:rPr>
          <w:rFonts w:ascii="Calibri" w:eastAsia="游明朝" w:hAnsi="Calibri" w:cs="Times New Roman"/>
          <w:color w:val="000000"/>
          <w:lang w:eastAsia="nl-NL"/>
        </w:rPr>
        <w:t xml:space="preserve">Monitoring and improve is mentioned under the audit. However, the implementation of this principle includes the use-phase of vehicles, as also clarified in </w:t>
      </w:r>
      <w:hyperlink r:id="rId7" w:history="1">
        <w:r w:rsidRPr="009F2CB2">
          <w:rPr>
            <w:rFonts w:ascii="Calibri" w:eastAsia="游明朝" w:hAnsi="Calibri" w:cs="Times New Roman"/>
            <w:color w:val="000000"/>
            <w:u w:val="single"/>
          </w:rPr>
          <w:t>http://www.unece.org/fileadmin/DAM/trans/doc/2020/wp29/WP29-180-18e.pdf</w:t>
        </w:r>
      </w:hyperlink>
      <w:r w:rsidRPr="009F2CB2">
        <w:rPr>
          <w:rFonts w:ascii="Calibri" w:eastAsia="游明朝" w:hAnsi="Calibri" w:cs="Times New Roman"/>
          <w:color w:val="000000"/>
        </w:rPr>
        <w:t xml:space="preserve">. </w:t>
      </w:r>
    </w:p>
    <w:p w14:paraId="1E5212E0" w14:textId="39058FBE" w:rsidR="00600344" w:rsidRDefault="00600344" w:rsidP="00600344">
      <w:pPr>
        <w:jc w:val="both"/>
        <w:rPr>
          <w:rFonts w:ascii="Calibri" w:eastAsia="游明朝" w:hAnsi="Calibri" w:cs="Times New Roman"/>
          <w:color w:val="000000"/>
        </w:rPr>
      </w:pPr>
      <w:r>
        <w:rPr>
          <w:rFonts w:ascii="Calibri" w:eastAsia="游明朝" w:hAnsi="Calibri" w:cs="Times New Roman"/>
          <w:color w:val="000000"/>
        </w:rPr>
        <w:t xml:space="preserve">Many contracting parties use (parts of) the safe system approach in their national policy to increase traffic safety. Improving the traffic system by means of accident analysis is one of the cornerstones of this policy. </w:t>
      </w:r>
    </w:p>
    <w:p w14:paraId="756E2E6F" w14:textId="300FED5D" w:rsidR="00600344" w:rsidRDefault="00600344" w:rsidP="00600344">
      <w:pPr>
        <w:jc w:val="both"/>
        <w:rPr>
          <w:lang w:val="en-GB"/>
        </w:rPr>
      </w:pPr>
      <w:r>
        <w:rPr>
          <w:lang w:val="en-GB"/>
        </w:rPr>
        <w:t xml:space="preserve">In this perspective, </w:t>
      </w:r>
      <w:r w:rsidRPr="00DB270E">
        <w:rPr>
          <w:lang w:val="en-GB"/>
        </w:rPr>
        <w:t xml:space="preserve">the </w:t>
      </w:r>
      <w:r>
        <w:rPr>
          <w:lang w:val="en-GB"/>
        </w:rPr>
        <w:t xml:space="preserve">monitoring must be seen as critical element for (early) </w:t>
      </w:r>
      <w:r w:rsidRPr="00A552B1">
        <w:rPr>
          <w:lang w:val="en-GB"/>
        </w:rPr>
        <w:t>identifying systemic safety deficiencies</w:t>
      </w:r>
      <w:r>
        <w:rPr>
          <w:lang w:val="en-GB"/>
        </w:rPr>
        <w:t xml:space="preserve">, for learning from experience and from information sharing. </w:t>
      </w:r>
    </w:p>
    <w:p w14:paraId="347DE8EE" w14:textId="25683CDF" w:rsidR="00600344" w:rsidRPr="00DB270E" w:rsidRDefault="00600344" w:rsidP="00600344">
      <w:pPr>
        <w:jc w:val="both"/>
        <w:rPr>
          <w:lang w:val="en-GB"/>
        </w:rPr>
      </w:pPr>
      <w:r>
        <w:rPr>
          <w:lang w:val="en-GB"/>
        </w:rPr>
        <w:t xml:space="preserve">Including the monitoring as part of the audit </w:t>
      </w:r>
      <w:r w:rsidRPr="00B0746E">
        <w:rPr>
          <w:lang w:val="en-GB"/>
        </w:rPr>
        <w:t xml:space="preserve">does not provide adequate </w:t>
      </w:r>
      <w:r>
        <w:rPr>
          <w:lang w:val="en-GB"/>
        </w:rPr>
        <w:t xml:space="preserve">awareness on this </w:t>
      </w:r>
      <w:r w:rsidRPr="00B0746E">
        <w:rPr>
          <w:lang w:val="en-GB"/>
        </w:rPr>
        <w:t>element</w:t>
      </w:r>
      <w:r>
        <w:rPr>
          <w:lang w:val="en-GB"/>
        </w:rPr>
        <w:t xml:space="preserve"> as well as on its broader application</w:t>
      </w:r>
      <w:r w:rsidR="004D0EE8">
        <w:rPr>
          <w:lang w:val="en-GB"/>
        </w:rPr>
        <w:t>.</w:t>
      </w:r>
      <w:r w:rsidR="004D0EE8" w:rsidRPr="004D0EE8">
        <w:rPr>
          <w:rFonts w:ascii="Calibri" w:eastAsia="游明朝" w:hAnsi="Calibri" w:cs="Times New Roman"/>
          <w:color w:val="000000"/>
        </w:rPr>
        <w:t xml:space="preserve"> </w:t>
      </w:r>
      <w:r w:rsidR="004D0EE8">
        <w:rPr>
          <w:rFonts w:ascii="Calibri" w:eastAsia="游明朝" w:hAnsi="Calibri" w:cs="Times New Roman"/>
          <w:color w:val="000000"/>
        </w:rPr>
        <w:t>A more transparent position of monitoring would support the broader use of this pillar.</w:t>
      </w:r>
    </w:p>
    <w:p w14:paraId="7CC7B856" w14:textId="77777777" w:rsidR="001A17E9" w:rsidRDefault="002A23A5" w:rsidP="001A17E9">
      <w:pPr>
        <w:spacing w:line="254" w:lineRule="auto"/>
        <w:rPr>
          <w:rFonts w:ascii="Calibri" w:eastAsia="游明朝" w:hAnsi="Calibri" w:cs="Times New Roman"/>
          <w:lang w:eastAsia="nl-NL"/>
        </w:rPr>
      </w:pPr>
      <w:r>
        <w:rPr>
          <w:rFonts w:ascii="Calibri" w:eastAsia="游明朝" w:hAnsi="Calibri" w:cs="Times New Roman"/>
          <w:color w:val="000000"/>
        </w:rPr>
        <w:t xml:space="preserve">For WP29: </w:t>
      </w:r>
      <w:r w:rsidR="001A17E9" w:rsidRPr="009F2CB2">
        <w:rPr>
          <w:rFonts w:ascii="Calibri" w:eastAsia="游明朝" w:hAnsi="Calibri" w:cs="Times New Roman"/>
          <w:color w:val="000000"/>
        </w:rPr>
        <w:t xml:space="preserve">The audit should provide the confidence that the OEM can and will </w:t>
      </w:r>
      <w:r w:rsidR="001A17E9" w:rsidRPr="009F2CB2">
        <w:rPr>
          <w:rFonts w:ascii="Calibri" w:eastAsia="游明朝" w:hAnsi="Calibri" w:cs="Times New Roman"/>
          <w:color w:val="000000"/>
          <w:lang w:eastAsia="nl-NL"/>
        </w:rPr>
        <w:t xml:space="preserve">prove in hindsight the </w:t>
      </w:r>
      <w:r w:rsidR="001A17E9" w:rsidRPr="009F2CB2">
        <w:rPr>
          <w:rFonts w:ascii="Calibri" w:eastAsia="游明朝" w:hAnsi="Calibri" w:cs="Times New Roman"/>
          <w:lang w:eastAsia="nl-NL"/>
        </w:rPr>
        <w:t>correct assumptions of the development. Furthermore, it can solve the residual uncertainty of the other test-methods.</w:t>
      </w:r>
    </w:p>
    <w:p w14:paraId="14F7C5A3" w14:textId="2AF4107A" w:rsidR="002A23A5" w:rsidRPr="009F2CB2" w:rsidRDefault="002A23A5" w:rsidP="001A17E9">
      <w:pPr>
        <w:spacing w:line="254" w:lineRule="auto"/>
        <w:rPr>
          <w:rFonts w:ascii="Calibri" w:eastAsia="游明朝" w:hAnsi="Calibri" w:cs="Times New Roman"/>
          <w:lang w:eastAsia="nl-NL"/>
        </w:rPr>
      </w:pPr>
      <w:r>
        <w:rPr>
          <w:rFonts w:ascii="Calibri" w:eastAsia="游明朝" w:hAnsi="Calibri" w:cs="Times New Roman"/>
          <w:lang w:eastAsia="nl-NL"/>
        </w:rPr>
        <w:t xml:space="preserve">For WP1: </w:t>
      </w:r>
      <w:r w:rsidR="006F65AE">
        <w:rPr>
          <w:rFonts w:ascii="Calibri" w:eastAsia="游明朝" w:hAnsi="Calibri" w:cs="Times New Roman"/>
          <w:lang w:eastAsia="nl-NL"/>
        </w:rPr>
        <w:t>It gives national institutions the possibility to build-up</w:t>
      </w:r>
      <w:r>
        <w:rPr>
          <w:rFonts w:ascii="Calibri" w:eastAsia="游明朝" w:hAnsi="Calibri" w:cs="Times New Roman"/>
          <w:lang w:eastAsia="nl-NL"/>
        </w:rPr>
        <w:t xml:space="preserve"> accident and near accident </w:t>
      </w:r>
      <w:r w:rsidR="006F65AE">
        <w:rPr>
          <w:rFonts w:ascii="Calibri" w:eastAsia="游明朝" w:hAnsi="Calibri" w:cs="Times New Roman"/>
          <w:lang w:eastAsia="nl-NL"/>
        </w:rPr>
        <w:t>data</w:t>
      </w:r>
      <w:r>
        <w:rPr>
          <w:rFonts w:ascii="Calibri" w:eastAsia="游明朝" w:hAnsi="Calibri" w:cs="Times New Roman"/>
          <w:lang w:eastAsia="nl-NL"/>
        </w:rPr>
        <w:t xml:space="preserve"> for an improved</w:t>
      </w:r>
      <w:r w:rsidR="00600344">
        <w:rPr>
          <w:rFonts w:ascii="Calibri" w:eastAsia="游明朝" w:hAnsi="Calibri" w:cs="Times New Roman"/>
          <w:lang w:eastAsia="nl-NL"/>
        </w:rPr>
        <w:t xml:space="preserve"> </w:t>
      </w:r>
      <w:r>
        <w:rPr>
          <w:rFonts w:ascii="Calibri" w:eastAsia="游明朝" w:hAnsi="Calibri" w:cs="Times New Roman"/>
          <w:lang w:eastAsia="nl-NL"/>
        </w:rPr>
        <w:t>system safety</w:t>
      </w:r>
      <w:r w:rsidR="00600344">
        <w:rPr>
          <w:rFonts w:ascii="Calibri" w:eastAsia="游明朝" w:hAnsi="Calibri" w:cs="Times New Roman"/>
          <w:lang w:eastAsia="nl-NL"/>
        </w:rPr>
        <w:t xml:space="preserve"> in traffic</w:t>
      </w:r>
      <w:r>
        <w:rPr>
          <w:rFonts w:ascii="Calibri" w:eastAsia="游明朝" w:hAnsi="Calibri" w:cs="Times New Roman"/>
          <w:lang w:eastAsia="nl-NL"/>
        </w:rPr>
        <w:t>.</w:t>
      </w:r>
    </w:p>
    <w:p w14:paraId="0065C494" w14:textId="77777777" w:rsidR="002A23A5" w:rsidRPr="002A23A5" w:rsidRDefault="001A17E9" w:rsidP="002A23A5">
      <w:pPr>
        <w:keepNext/>
        <w:keepLines/>
        <w:numPr>
          <w:ilvl w:val="0"/>
          <w:numId w:val="1"/>
        </w:numPr>
        <w:spacing w:before="240" w:after="0" w:line="254" w:lineRule="auto"/>
        <w:outlineLvl w:val="0"/>
        <w:rPr>
          <w:rFonts w:ascii="Calibri Light" w:eastAsia="游ゴシック Light" w:hAnsi="Calibri Light" w:cs="Times New Roman"/>
          <w:color w:val="2E74B5"/>
          <w:sz w:val="32"/>
          <w:szCs w:val="32"/>
          <w:lang w:eastAsia="nl-NL"/>
        </w:rPr>
      </w:pPr>
      <w:r w:rsidRPr="009F2CB2">
        <w:rPr>
          <w:rFonts w:ascii="Calibri Light" w:eastAsia="游ゴシック Light" w:hAnsi="Calibri Light" w:cs="Times New Roman"/>
          <w:color w:val="2E74B5"/>
          <w:sz w:val="32"/>
          <w:szCs w:val="32"/>
          <w:lang w:eastAsia="nl-NL"/>
        </w:rPr>
        <w:t>Relation with FRAV</w:t>
      </w:r>
      <w:r w:rsidR="00554358">
        <w:rPr>
          <w:rFonts w:ascii="Calibri Light" w:eastAsia="游ゴシック Light" w:hAnsi="Calibri Light" w:cs="Times New Roman"/>
          <w:color w:val="2E74B5"/>
          <w:sz w:val="32"/>
          <w:szCs w:val="32"/>
          <w:lang w:eastAsia="nl-NL"/>
        </w:rPr>
        <w:t xml:space="preserve"> and operating conditions</w:t>
      </w:r>
    </w:p>
    <w:p w14:paraId="5B330462" w14:textId="39E7AF47" w:rsidR="00630C17" w:rsidRDefault="002A23A5" w:rsidP="001A17E9">
      <w:pPr>
        <w:spacing w:line="254" w:lineRule="auto"/>
        <w:contextualSpacing/>
        <w:rPr>
          <w:rFonts w:ascii="Calibri" w:eastAsia="游明朝" w:hAnsi="Calibri" w:cs="Times New Roman"/>
          <w:lang w:eastAsia="nl-NL"/>
        </w:rPr>
      </w:pPr>
      <w:r>
        <w:rPr>
          <w:rFonts w:ascii="Calibri" w:eastAsia="游明朝" w:hAnsi="Calibri" w:cs="Times New Roman"/>
          <w:lang w:eastAsia="nl-NL"/>
        </w:rPr>
        <w:t xml:space="preserve">The document FRAV-03-05 is a continues developed document of the FRAV-group describing </w:t>
      </w:r>
      <w:r w:rsidR="004D0EE8">
        <w:rPr>
          <w:rFonts w:ascii="Calibri" w:eastAsia="游明朝" w:hAnsi="Calibri" w:cs="Times New Roman"/>
          <w:lang w:eastAsia="nl-NL"/>
        </w:rPr>
        <w:t>f</w:t>
      </w:r>
      <w:r>
        <w:rPr>
          <w:rFonts w:ascii="Calibri" w:eastAsia="游明朝" w:hAnsi="Calibri" w:cs="Times New Roman"/>
          <w:lang w:eastAsia="nl-NL"/>
        </w:rPr>
        <w:t>unctional requirements. An essential part of this document deals with the operating conditions and the behavior of the AV in the</w:t>
      </w:r>
      <w:r w:rsidR="00554358">
        <w:rPr>
          <w:rFonts w:ascii="Calibri" w:eastAsia="游明朝" w:hAnsi="Calibri" w:cs="Times New Roman"/>
          <w:lang w:eastAsia="nl-NL"/>
        </w:rPr>
        <w:t xml:space="preserve"> boundaries of these conditions. These should be specified by the manufacturer. FRAV sees these specifications as an input for VMAD to validate the desired behavior. </w:t>
      </w:r>
      <w:r w:rsidR="00630C17">
        <w:rPr>
          <w:rFonts w:ascii="Calibri" w:eastAsia="游明朝" w:hAnsi="Calibri" w:cs="Times New Roman"/>
          <w:lang w:eastAsia="nl-NL"/>
        </w:rPr>
        <w:t xml:space="preserve">VMAD should try to find effective test methods to assess this behavior and use functional decomposition to have a better focus on the performance of the specification that is tested. For example, when testing the perception of a camera and its logic, it can be done with a HIL-setup and a verification in a silent mode/shadow mode test in the real-world. The decision logic on path planning and other dynamic driving task elements can then be simulated in a model in the loop simulation in line with the Japanese proposals from SG1a and these again can be verified in test-track and real-world testing. These tests </w:t>
      </w:r>
      <w:r w:rsidR="006A0C75">
        <w:rPr>
          <w:rFonts w:ascii="Calibri" w:eastAsia="游明朝" w:hAnsi="Calibri" w:cs="Times New Roman"/>
          <w:lang w:eastAsia="nl-NL"/>
        </w:rPr>
        <w:t>should all be seen as decomposed function that need to be integrated for final tests on the test-track and road.</w:t>
      </w:r>
      <w:r w:rsidR="00131034">
        <w:rPr>
          <w:rFonts w:ascii="Calibri" w:eastAsia="游明朝" w:hAnsi="Calibri" w:cs="Times New Roman"/>
          <w:lang w:eastAsia="nl-NL"/>
        </w:rPr>
        <w:t xml:space="preserve"> Traffic is only one element in these tests, the setting of the other elements </w:t>
      </w:r>
      <w:proofErr w:type="gramStart"/>
      <w:r w:rsidR="00131034">
        <w:rPr>
          <w:rFonts w:ascii="Calibri" w:eastAsia="游明朝" w:hAnsi="Calibri" w:cs="Times New Roman"/>
          <w:lang w:eastAsia="nl-NL"/>
        </w:rPr>
        <w:t>are</w:t>
      </w:r>
      <w:proofErr w:type="gramEnd"/>
      <w:r w:rsidR="00131034">
        <w:rPr>
          <w:rFonts w:ascii="Calibri" w:eastAsia="游明朝" w:hAnsi="Calibri" w:cs="Times New Roman"/>
          <w:lang w:eastAsia="nl-NL"/>
        </w:rPr>
        <w:t xml:space="preserve"> equally important. Therefore</w:t>
      </w:r>
      <w:r w:rsidR="001B5B2F">
        <w:rPr>
          <w:rFonts w:ascii="Calibri" w:eastAsia="游明朝" w:hAnsi="Calibri" w:cs="Times New Roman" w:hint="eastAsia"/>
          <w:lang w:eastAsia="ja-JP"/>
        </w:rPr>
        <w:t>,</w:t>
      </w:r>
      <w:r w:rsidR="00131034">
        <w:rPr>
          <w:rFonts w:ascii="Calibri" w:eastAsia="游明朝" w:hAnsi="Calibri" w:cs="Times New Roman"/>
          <w:lang w:eastAsia="nl-NL"/>
        </w:rPr>
        <w:t xml:space="preserve"> we </w:t>
      </w:r>
      <w:r w:rsidR="00131034">
        <w:rPr>
          <w:rFonts w:ascii="Calibri" w:eastAsia="游明朝" w:hAnsi="Calibri" w:cs="Times New Roman"/>
          <w:lang w:eastAsia="nl-NL"/>
        </w:rPr>
        <w:lastRenderedPageBreak/>
        <w:t>would propose to change “traffic scenario’s” into “scenario’s” in order to prevent misunderstanding about the scope of scenario’s</w:t>
      </w:r>
      <w:r w:rsidR="004D0EE8">
        <w:rPr>
          <w:rFonts w:ascii="Calibri" w:eastAsia="游明朝" w:hAnsi="Calibri" w:cs="Times New Roman"/>
          <w:lang w:eastAsia="nl-NL"/>
        </w:rPr>
        <w:t>, or extend scenario’s to traffic scenario’s, scenario’s for boundary conditions, Human Machine transition scenario’s etc</w:t>
      </w:r>
      <w:r w:rsidR="00E16D4D">
        <w:rPr>
          <w:rFonts w:ascii="Calibri" w:eastAsia="游明朝" w:hAnsi="Calibri" w:cs="Times New Roman"/>
          <w:lang w:eastAsia="nl-NL"/>
        </w:rPr>
        <w:t>. The validation purpose of the scenario that is used need to be clarified, along with the limitations and the expected coverage</w:t>
      </w:r>
      <w:r w:rsidR="001B5B2F">
        <w:rPr>
          <w:rFonts w:ascii="Calibri" w:eastAsia="游明朝" w:hAnsi="Calibri" w:cs="Times New Roman"/>
          <w:lang w:eastAsia="nl-NL"/>
        </w:rPr>
        <w:t xml:space="preserve"> </w:t>
      </w:r>
      <w:r w:rsidR="00E16D4D">
        <w:rPr>
          <w:rFonts w:ascii="Calibri" w:eastAsia="游明朝" w:hAnsi="Calibri" w:cs="Times New Roman"/>
          <w:lang w:eastAsia="nl-NL"/>
        </w:rPr>
        <w:t xml:space="preserve">(what part is validated with the scenario and what not?). </w:t>
      </w:r>
    </w:p>
    <w:p w14:paraId="4F3BFA4B" w14:textId="77777777" w:rsidR="002A23A5" w:rsidRDefault="002A23A5" w:rsidP="001A17E9">
      <w:pPr>
        <w:spacing w:line="254" w:lineRule="auto"/>
        <w:contextualSpacing/>
        <w:rPr>
          <w:rFonts w:ascii="Calibri" w:eastAsia="游明朝" w:hAnsi="Calibri" w:cs="Times New Roman"/>
          <w:lang w:eastAsia="nl-NL"/>
        </w:rPr>
      </w:pPr>
    </w:p>
    <w:p w14:paraId="0CF47F5D" w14:textId="77777777" w:rsidR="006A0C75" w:rsidRPr="006A0C75" w:rsidRDefault="001A17E9" w:rsidP="006A0C75">
      <w:pPr>
        <w:keepNext/>
        <w:keepLines/>
        <w:numPr>
          <w:ilvl w:val="0"/>
          <w:numId w:val="1"/>
        </w:numPr>
        <w:spacing w:before="240" w:after="0" w:line="254" w:lineRule="auto"/>
        <w:outlineLvl w:val="0"/>
        <w:rPr>
          <w:rFonts w:ascii="Calibri Light" w:eastAsia="游ゴシック Light" w:hAnsi="Calibri Light" w:cs="Times New Roman"/>
          <w:color w:val="2E74B5"/>
          <w:sz w:val="32"/>
          <w:szCs w:val="32"/>
          <w:lang w:eastAsia="nl-NL"/>
        </w:rPr>
      </w:pPr>
      <w:r w:rsidRPr="009F2CB2">
        <w:rPr>
          <w:rFonts w:ascii="Calibri Light" w:eastAsia="游ゴシック Light" w:hAnsi="Calibri Light" w:cs="Times New Roman"/>
          <w:color w:val="2E74B5"/>
          <w:sz w:val="32"/>
          <w:szCs w:val="32"/>
          <w:lang w:eastAsia="nl-NL"/>
        </w:rPr>
        <w:t>Human Machine Interaction</w:t>
      </w:r>
    </w:p>
    <w:p w14:paraId="1AC6B94D" w14:textId="083BF9EF" w:rsidR="006A0C75" w:rsidRDefault="006A0C75" w:rsidP="001A17E9">
      <w:pPr>
        <w:spacing w:after="0" w:line="254" w:lineRule="auto"/>
        <w:rPr>
          <w:rFonts w:ascii="Calibri" w:eastAsia="游明朝" w:hAnsi="Calibri" w:cs="Times New Roman"/>
          <w:lang w:eastAsia="nl-NL"/>
        </w:rPr>
      </w:pPr>
      <w:r>
        <w:rPr>
          <w:rFonts w:ascii="Calibri" w:eastAsia="游明朝" w:hAnsi="Calibri" w:cs="Times New Roman"/>
          <w:lang w:eastAsia="nl-NL"/>
        </w:rPr>
        <w:t xml:space="preserve">The human machine interaction needs explicit attention. It is good that it </w:t>
      </w:r>
      <w:r w:rsidR="00131034">
        <w:rPr>
          <w:rFonts w:ascii="Calibri" w:eastAsia="游明朝" w:hAnsi="Calibri" w:cs="Times New Roman"/>
          <w:lang w:eastAsia="nl-NL"/>
        </w:rPr>
        <w:t>is</w:t>
      </w:r>
      <w:r>
        <w:rPr>
          <w:rFonts w:ascii="Calibri" w:eastAsia="游明朝" w:hAnsi="Calibri" w:cs="Times New Roman"/>
          <w:lang w:eastAsia="nl-NL"/>
        </w:rPr>
        <w:t xml:space="preserve"> mentioned in the matrix of the master document. </w:t>
      </w:r>
      <w:r w:rsidRPr="009F2CB2">
        <w:rPr>
          <w:rFonts w:ascii="Calibri" w:eastAsia="游明朝" w:hAnsi="Calibri" w:cs="Times New Roman"/>
          <w:lang w:eastAsia="nl-NL"/>
        </w:rPr>
        <w:t xml:space="preserve">The adaptation of human centered design methods, the necessity of driver simulations and tests of the interaction should be part of the validation. </w:t>
      </w:r>
      <w:r>
        <w:rPr>
          <w:rFonts w:ascii="Calibri" w:eastAsia="游明朝" w:hAnsi="Calibri" w:cs="Times New Roman"/>
          <w:lang w:eastAsia="nl-NL"/>
        </w:rPr>
        <w:t>We should consider a variety of driver-categories</w:t>
      </w:r>
      <w:r w:rsidR="001B5B2F">
        <w:rPr>
          <w:rFonts w:ascii="Calibri" w:eastAsia="游明朝" w:hAnsi="Calibri" w:cs="Times New Roman"/>
          <w:lang w:eastAsia="nl-NL"/>
        </w:rPr>
        <w:t xml:space="preserve"> </w:t>
      </w:r>
      <w:bookmarkStart w:id="0" w:name="_GoBack"/>
      <w:bookmarkEnd w:id="0"/>
      <w:r>
        <w:rPr>
          <w:rFonts w:ascii="Calibri" w:eastAsia="游明朝" w:hAnsi="Calibri" w:cs="Times New Roman"/>
          <w:lang w:eastAsia="nl-NL"/>
        </w:rPr>
        <w:t>(experience, alertness, technical imagination) and pay additional attention to “standardized” HMI and education for the</w:t>
      </w:r>
      <w:r w:rsidR="00E16D4D">
        <w:rPr>
          <w:rFonts w:ascii="Calibri" w:eastAsia="游明朝" w:hAnsi="Calibri" w:cs="Times New Roman"/>
          <w:lang w:eastAsia="nl-NL"/>
        </w:rPr>
        <w:t xml:space="preserve"> human</w:t>
      </w:r>
      <w:r>
        <w:rPr>
          <w:rFonts w:ascii="Calibri" w:eastAsia="游明朝" w:hAnsi="Calibri" w:cs="Times New Roman"/>
          <w:lang w:eastAsia="nl-NL"/>
        </w:rPr>
        <w:t xml:space="preserve"> drivers </w:t>
      </w:r>
      <w:r w:rsidR="00E16D4D">
        <w:rPr>
          <w:rFonts w:ascii="Calibri" w:eastAsia="游明朝" w:hAnsi="Calibri" w:cs="Times New Roman"/>
          <w:lang w:eastAsia="nl-NL"/>
        </w:rPr>
        <w:t>that will use the AV’s</w:t>
      </w:r>
      <w:r>
        <w:rPr>
          <w:rFonts w:ascii="Calibri" w:eastAsia="游明朝" w:hAnsi="Calibri" w:cs="Times New Roman"/>
          <w:lang w:eastAsia="nl-NL"/>
        </w:rPr>
        <w:t xml:space="preserve">.  </w:t>
      </w:r>
    </w:p>
    <w:p w14:paraId="54BF8062" w14:textId="77777777" w:rsidR="001A17E9" w:rsidRPr="001A17E9" w:rsidRDefault="001A17E9" w:rsidP="001A17E9"/>
    <w:sectPr w:rsidR="001A17E9" w:rsidRPr="001A17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4625F" w14:textId="77777777" w:rsidR="00294FEF" w:rsidRDefault="00294FEF" w:rsidP="00294FEF">
      <w:pPr>
        <w:spacing w:after="0" w:line="240" w:lineRule="auto"/>
      </w:pPr>
      <w:r>
        <w:separator/>
      </w:r>
    </w:p>
  </w:endnote>
  <w:endnote w:type="continuationSeparator" w:id="0">
    <w:p w14:paraId="30AF92ED" w14:textId="77777777" w:rsidR="00294FEF" w:rsidRDefault="00294FEF" w:rsidP="0029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A9B2D" w14:textId="77777777" w:rsidR="00294FEF" w:rsidRDefault="00294FEF" w:rsidP="00294FEF">
      <w:pPr>
        <w:spacing w:after="0" w:line="240" w:lineRule="auto"/>
      </w:pPr>
      <w:r>
        <w:separator/>
      </w:r>
    </w:p>
  </w:footnote>
  <w:footnote w:type="continuationSeparator" w:id="0">
    <w:p w14:paraId="5051FC50" w14:textId="77777777" w:rsidR="00294FEF" w:rsidRDefault="00294FEF" w:rsidP="0029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70AC" w14:textId="24B74576" w:rsidR="00294FEF" w:rsidRDefault="00294FEF">
    <w:pPr>
      <w:pStyle w:val="ad"/>
    </w:pPr>
    <w:r w:rsidRPr="00294FEF">
      <w:t>Submitted by the experts of NL</w:t>
    </w:r>
    <w:r>
      <w:rPr>
        <w:rFonts w:hint="eastAsia"/>
        <w:lang w:eastAsia="ja-JP"/>
      </w:rPr>
      <w:t xml:space="preserve">　　　　　　　　　　　　　　　　　　　　　　　　</w:t>
    </w:r>
    <w:r>
      <w:rPr>
        <w:rFonts w:hint="eastAsia"/>
        <w:lang w:eastAsia="ja-JP"/>
      </w:rPr>
      <w:t>VMAD-08-08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67EA4"/>
    <w:multiLevelType w:val="hybridMultilevel"/>
    <w:tmpl w:val="1D3E5B4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E9"/>
    <w:rsid w:val="00131034"/>
    <w:rsid w:val="001A17E9"/>
    <w:rsid w:val="001B5B2F"/>
    <w:rsid w:val="00294FEF"/>
    <w:rsid w:val="002A23A5"/>
    <w:rsid w:val="0043080B"/>
    <w:rsid w:val="004D0EE8"/>
    <w:rsid w:val="00554358"/>
    <w:rsid w:val="00600344"/>
    <w:rsid w:val="00630C17"/>
    <w:rsid w:val="006A0C75"/>
    <w:rsid w:val="006F65AE"/>
    <w:rsid w:val="00A20B3B"/>
    <w:rsid w:val="00E02345"/>
    <w:rsid w:val="00E16D4D"/>
    <w:rsid w:val="00F7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21B9D0"/>
  <w15:chartTrackingRefBased/>
  <w15:docId w15:val="{C9BCEA2C-F951-41C6-AB5C-08BBF7AC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17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A17E9"/>
    <w:rPr>
      <w:rFonts w:asciiTheme="majorHAnsi" w:eastAsiaTheme="majorEastAsia" w:hAnsiTheme="majorHAnsi" w:cstheme="majorBidi"/>
      <w:spacing w:val="-10"/>
      <w:kern w:val="28"/>
      <w:sz w:val="56"/>
      <w:szCs w:val="56"/>
    </w:rPr>
  </w:style>
  <w:style w:type="character" w:styleId="a5">
    <w:name w:val="annotation reference"/>
    <w:basedOn w:val="a0"/>
    <w:uiPriority w:val="99"/>
    <w:semiHidden/>
    <w:unhideWhenUsed/>
    <w:rsid w:val="00F77992"/>
    <w:rPr>
      <w:sz w:val="16"/>
      <w:szCs w:val="16"/>
    </w:rPr>
  </w:style>
  <w:style w:type="paragraph" w:styleId="a6">
    <w:name w:val="annotation text"/>
    <w:basedOn w:val="a"/>
    <w:link w:val="a7"/>
    <w:uiPriority w:val="99"/>
    <w:semiHidden/>
    <w:unhideWhenUsed/>
    <w:rsid w:val="00F77992"/>
    <w:pPr>
      <w:spacing w:line="240" w:lineRule="auto"/>
    </w:pPr>
    <w:rPr>
      <w:sz w:val="20"/>
      <w:szCs w:val="20"/>
    </w:rPr>
  </w:style>
  <w:style w:type="character" w:customStyle="1" w:styleId="a7">
    <w:name w:val="コメント文字列 (文字)"/>
    <w:basedOn w:val="a0"/>
    <w:link w:val="a6"/>
    <w:uiPriority w:val="99"/>
    <w:semiHidden/>
    <w:rsid w:val="00F77992"/>
    <w:rPr>
      <w:sz w:val="20"/>
      <w:szCs w:val="20"/>
    </w:rPr>
  </w:style>
  <w:style w:type="paragraph" w:styleId="a8">
    <w:name w:val="annotation subject"/>
    <w:basedOn w:val="a6"/>
    <w:next w:val="a6"/>
    <w:link w:val="a9"/>
    <w:uiPriority w:val="99"/>
    <w:semiHidden/>
    <w:unhideWhenUsed/>
    <w:rsid w:val="00F77992"/>
    <w:rPr>
      <w:b/>
      <w:bCs/>
    </w:rPr>
  </w:style>
  <w:style w:type="character" w:customStyle="1" w:styleId="a9">
    <w:name w:val="コメント内容 (文字)"/>
    <w:basedOn w:val="a7"/>
    <w:link w:val="a8"/>
    <w:uiPriority w:val="99"/>
    <w:semiHidden/>
    <w:rsid w:val="00F77992"/>
    <w:rPr>
      <w:b/>
      <w:bCs/>
      <w:sz w:val="20"/>
      <w:szCs w:val="20"/>
    </w:rPr>
  </w:style>
  <w:style w:type="paragraph" w:styleId="aa">
    <w:name w:val="Balloon Text"/>
    <w:basedOn w:val="a"/>
    <w:link w:val="ab"/>
    <w:uiPriority w:val="99"/>
    <w:semiHidden/>
    <w:unhideWhenUsed/>
    <w:rsid w:val="00F77992"/>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F77992"/>
    <w:rPr>
      <w:rFonts w:ascii="Segoe UI" w:hAnsi="Segoe UI" w:cs="Segoe UI"/>
      <w:sz w:val="18"/>
      <w:szCs w:val="18"/>
    </w:rPr>
  </w:style>
  <w:style w:type="paragraph" w:styleId="ac">
    <w:name w:val="List Paragraph"/>
    <w:basedOn w:val="a"/>
    <w:uiPriority w:val="34"/>
    <w:qFormat/>
    <w:rsid w:val="004D0EE8"/>
    <w:pPr>
      <w:ind w:left="720"/>
      <w:contextualSpacing/>
    </w:pPr>
  </w:style>
  <w:style w:type="paragraph" w:styleId="ad">
    <w:name w:val="header"/>
    <w:basedOn w:val="a"/>
    <w:link w:val="ae"/>
    <w:uiPriority w:val="99"/>
    <w:unhideWhenUsed/>
    <w:rsid w:val="00294FEF"/>
    <w:pPr>
      <w:tabs>
        <w:tab w:val="center" w:pos="4252"/>
        <w:tab w:val="right" w:pos="8504"/>
      </w:tabs>
      <w:snapToGrid w:val="0"/>
    </w:pPr>
  </w:style>
  <w:style w:type="character" w:customStyle="1" w:styleId="ae">
    <w:name w:val="ヘッダー (文字)"/>
    <w:basedOn w:val="a0"/>
    <w:link w:val="ad"/>
    <w:uiPriority w:val="99"/>
    <w:rsid w:val="00294FEF"/>
  </w:style>
  <w:style w:type="paragraph" w:styleId="af">
    <w:name w:val="footer"/>
    <w:basedOn w:val="a"/>
    <w:link w:val="af0"/>
    <w:uiPriority w:val="99"/>
    <w:unhideWhenUsed/>
    <w:rsid w:val="00294FEF"/>
    <w:pPr>
      <w:tabs>
        <w:tab w:val="center" w:pos="4252"/>
        <w:tab w:val="right" w:pos="8504"/>
      </w:tabs>
      <w:snapToGrid w:val="0"/>
    </w:pPr>
  </w:style>
  <w:style w:type="character" w:customStyle="1" w:styleId="af0">
    <w:name w:val="フッター (文字)"/>
    <w:basedOn w:val="a0"/>
    <w:link w:val="af"/>
    <w:uiPriority w:val="99"/>
    <w:rsid w:val="0029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ece.org/fileadmin/DAM/trans/doc/2020/wp29/WP29-180-18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638</Words>
  <Characters>3639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RDW</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Jan Sybren</dc:creator>
  <cp:keywords/>
  <dc:description/>
  <cp:lastModifiedBy>Oshita, Ryuzo/大下 隆三</cp:lastModifiedBy>
  <cp:revision>3</cp:revision>
  <dcterms:created xsi:type="dcterms:W3CDTF">2020-07-08T23:55:00Z</dcterms:created>
  <dcterms:modified xsi:type="dcterms:W3CDTF">2020-07-09T00:34:00Z</dcterms:modified>
</cp:coreProperties>
</file>