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1871" w14:textId="4F11A6BD" w:rsidR="008949C9" w:rsidRPr="001D703D" w:rsidRDefault="008949C9" w:rsidP="008949C9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6350579A" w14:textId="77777777" w:rsidR="008949C9" w:rsidRDefault="008949C9" w:rsidP="008949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C3DA3C3" w14:textId="77777777" w:rsidR="008949C9" w:rsidRDefault="008949C9" w:rsidP="008949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14:paraId="03C02A23" w14:textId="77777777" w:rsidR="008949C9" w:rsidRDefault="008949C9" w:rsidP="008949C9">
      <w:pPr>
        <w:spacing w:before="120"/>
        <w:rPr>
          <w:b/>
        </w:rPr>
      </w:pPr>
      <w:r>
        <w:rPr>
          <w:b/>
        </w:rPr>
        <w:t>Working Party on General Safety Provisions</w:t>
      </w:r>
    </w:p>
    <w:p w14:paraId="7E1D4053" w14:textId="21BE88EE" w:rsidR="008949C9" w:rsidRPr="00C64574" w:rsidRDefault="008949C9" w:rsidP="008949C9">
      <w:pPr>
        <w:spacing w:before="120"/>
        <w:rPr>
          <w:b/>
        </w:rPr>
      </w:pPr>
      <w:r w:rsidRPr="00C64574">
        <w:rPr>
          <w:b/>
        </w:rPr>
        <w:t>1</w:t>
      </w:r>
      <w:r>
        <w:rPr>
          <w:b/>
        </w:rPr>
        <w:t>18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4339B886" w14:textId="5F20AB37" w:rsidR="008949C9" w:rsidRPr="00C64574" w:rsidRDefault="008949C9" w:rsidP="008949C9">
      <w:r w:rsidRPr="00C64574">
        <w:t xml:space="preserve">Geneva, </w:t>
      </w:r>
      <w:r>
        <w:t>30 March</w:t>
      </w:r>
      <w:r w:rsidR="00C131F3">
        <w:t xml:space="preserve">-3 </w:t>
      </w:r>
      <w:r>
        <w:t>April</w:t>
      </w:r>
      <w:r w:rsidRPr="00C64574">
        <w:t xml:space="preserve"> 20</w:t>
      </w:r>
      <w:r>
        <w:t>20</w:t>
      </w:r>
    </w:p>
    <w:p w14:paraId="1868B6A3" w14:textId="7713A861" w:rsidR="008949C9" w:rsidRPr="00DF418A" w:rsidRDefault="008949C9" w:rsidP="008949C9">
      <w:r w:rsidRPr="00DF418A">
        <w:t xml:space="preserve">Item </w:t>
      </w:r>
      <w:r w:rsidR="00665BC0">
        <w:t>11</w:t>
      </w:r>
      <w:r w:rsidRPr="00DF418A">
        <w:t xml:space="preserve"> of the provisional agenda</w:t>
      </w:r>
    </w:p>
    <w:p w14:paraId="246415D3" w14:textId="0BAA80CB" w:rsidR="008949C9" w:rsidRDefault="008949C9" w:rsidP="008949C9">
      <w:pPr>
        <w:rPr>
          <w:lang w:val="en-US"/>
        </w:rPr>
      </w:pPr>
      <w:r>
        <w:rPr>
          <w:b/>
        </w:rPr>
        <w:t xml:space="preserve">UN Regulation No. </w:t>
      </w:r>
      <w:r w:rsidR="002702BB">
        <w:rPr>
          <w:b/>
        </w:rPr>
        <w:t>125</w:t>
      </w:r>
      <w:r>
        <w:rPr>
          <w:b/>
        </w:rPr>
        <w:t xml:space="preserve"> (</w:t>
      </w:r>
      <w:r w:rsidR="002702BB">
        <w:rPr>
          <w:b/>
        </w:rPr>
        <w:t>Forward Field of Vision of Drivers</w:t>
      </w:r>
      <w:r>
        <w:rPr>
          <w:b/>
        </w:rPr>
        <w:t>)</w:t>
      </w: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949C9" w14:paraId="3921613C" w14:textId="77777777" w:rsidTr="0061215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A5F84D" w14:textId="77777777" w:rsidR="008949C9" w:rsidRDefault="008949C9" w:rsidP="0061215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3361BD" w14:textId="77777777" w:rsidR="008949C9" w:rsidRPr="00B97172" w:rsidRDefault="008949C9" w:rsidP="0061215D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39593D" w14:textId="419A52C1" w:rsidR="008949C9" w:rsidRPr="00D47EEA" w:rsidRDefault="008949C9" w:rsidP="00E31286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/TRANS/WP.29/GRSG/20</w:t>
            </w:r>
            <w:r w:rsidR="00E31286">
              <w:t>20</w:t>
            </w:r>
            <w:r>
              <w:t>/</w:t>
            </w:r>
            <w:r w:rsidR="00DB0DBA">
              <w:t>12</w:t>
            </w:r>
          </w:p>
        </w:tc>
      </w:tr>
      <w:tr w:rsidR="008949C9" w14:paraId="07EB53CD" w14:textId="77777777" w:rsidTr="0061215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9C2019" w14:textId="77777777" w:rsidR="008949C9" w:rsidRDefault="008949C9" w:rsidP="0061215D">
            <w:pPr>
              <w:spacing w:before="120"/>
            </w:pPr>
            <w:r>
              <w:rPr>
                <w:noProof/>
                <w:lang w:val="fr-FR"/>
              </w:rPr>
              <w:drawing>
                <wp:inline distT="0" distB="0" distL="0" distR="0" wp14:anchorId="69FA8502" wp14:editId="4ACD9E0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884F1A" w14:textId="77777777" w:rsidR="008949C9" w:rsidRPr="00D773DF" w:rsidRDefault="008949C9" w:rsidP="0061215D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4F6120" w14:textId="77777777" w:rsidR="008949C9" w:rsidRDefault="008949C9" w:rsidP="0061215D">
            <w:pPr>
              <w:spacing w:before="240" w:line="240" w:lineRule="exact"/>
            </w:pPr>
            <w:r>
              <w:t>Distr.: General</w:t>
            </w:r>
          </w:p>
          <w:p w14:paraId="784DE9CE" w14:textId="521A1E85" w:rsidR="008949C9" w:rsidRDefault="00FE29F2" w:rsidP="0061215D">
            <w:pPr>
              <w:spacing w:line="240" w:lineRule="exact"/>
            </w:pPr>
            <w:r>
              <w:t>20</w:t>
            </w:r>
            <w:r w:rsidR="008949C9">
              <w:t xml:space="preserve"> </w:t>
            </w:r>
            <w:r w:rsidR="00550308">
              <w:t>January</w:t>
            </w:r>
            <w:r w:rsidR="008949C9">
              <w:t xml:space="preserve"> 20</w:t>
            </w:r>
            <w:r w:rsidR="00E31286">
              <w:t>20</w:t>
            </w:r>
          </w:p>
          <w:p w14:paraId="600F743A" w14:textId="77777777" w:rsidR="008949C9" w:rsidRDefault="008949C9" w:rsidP="0061215D">
            <w:pPr>
              <w:spacing w:line="240" w:lineRule="exact"/>
            </w:pPr>
          </w:p>
          <w:p w14:paraId="4BEAC098" w14:textId="77777777" w:rsidR="008949C9" w:rsidRDefault="008949C9" w:rsidP="0061215D">
            <w:pPr>
              <w:spacing w:line="240" w:lineRule="exact"/>
            </w:pPr>
            <w:r>
              <w:t>Original: English</w:t>
            </w:r>
          </w:p>
        </w:tc>
      </w:tr>
    </w:tbl>
    <w:p w14:paraId="453BE5FA" w14:textId="793F0342" w:rsidR="00735ECE" w:rsidRDefault="00735ECE" w:rsidP="00FE29F2">
      <w:pPr>
        <w:pStyle w:val="HChG"/>
        <w:rPr>
          <w:lang w:val="en-US"/>
        </w:rPr>
      </w:pPr>
      <w:r>
        <w:rPr>
          <w:lang w:val="en-US"/>
        </w:rPr>
        <w:tab/>
      </w:r>
      <w:r w:rsidR="00FE29F2">
        <w:rPr>
          <w:lang w:val="en-US"/>
        </w:rPr>
        <w:tab/>
      </w:r>
      <w:r w:rsidR="00FE29F2">
        <w:rPr>
          <w:lang w:val="en-US"/>
        </w:rPr>
        <w:tab/>
      </w:r>
      <w:r w:rsidRPr="000C4479">
        <w:rPr>
          <w:lang w:val="en-US"/>
        </w:rPr>
        <w:t>Proposal</w:t>
      </w:r>
      <w:r w:rsidR="00631128">
        <w:rPr>
          <w:lang w:val="en-US"/>
        </w:rPr>
        <w:t xml:space="preserve"> </w:t>
      </w:r>
      <w:r w:rsidR="002702BB">
        <w:rPr>
          <w:lang w:val="en-US"/>
        </w:rPr>
        <w:t xml:space="preserve">for </w:t>
      </w:r>
      <w:r w:rsidR="009A54F8">
        <w:rPr>
          <w:lang w:val="en-US"/>
        </w:rPr>
        <w:t>the 0</w:t>
      </w:r>
      <w:r w:rsidR="005B45A4">
        <w:rPr>
          <w:lang w:val="en-US"/>
        </w:rPr>
        <w:t>2</w:t>
      </w:r>
      <w:r w:rsidR="009A54F8">
        <w:rPr>
          <w:lang w:val="en-US"/>
        </w:rPr>
        <w:t xml:space="preserve"> series of amendments </w:t>
      </w:r>
      <w:r w:rsidR="009A54F8" w:rsidRPr="00FE29F2">
        <w:t>of</w:t>
      </w:r>
      <w:r w:rsidR="009A54F8">
        <w:rPr>
          <w:lang w:val="en-US"/>
        </w:rPr>
        <w:t xml:space="preserve"> </w:t>
      </w:r>
      <w:r w:rsidR="00550308">
        <w:rPr>
          <w:lang w:val="en-US"/>
        </w:rPr>
        <w:t xml:space="preserve">UN </w:t>
      </w:r>
      <w:r w:rsidR="002702BB">
        <w:rPr>
          <w:lang w:val="en-US"/>
        </w:rPr>
        <w:t>Regulation No. 125</w:t>
      </w:r>
    </w:p>
    <w:p w14:paraId="25F2802A" w14:textId="4E972D40" w:rsidR="00DD3734" w:rsidRPr="00DD3734" w:rsidRDefault="00DD3734" w:rsidP="00FE29F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</w:t>
      </w:r>
      <w:r w:rsidRPr="00FE29F2">
        <w:t>by</w:t>
      </w:r>
      <w:r w:rsidR="00FB611E">
        <w:rPr>
          <w:lang w:val="en-US"/>
        </w:rPr>
        <w:t xml:space="preserve"> the expert from </w:t>
      </w:r>
      <w:r w:rsidR="00DA2B83">
        <w:rPr>
          <w:lang w:val="en-US"/>
        </w:rPr>
        <w:t xml:space="preserve">the </w:t>
      </w:r>
      <w:r w:rsidR="00DB0DBA">
        <w:rPr>
          <w:lang w:val="en-US"/>
        </w:rPr>
        <w:t>(OICA)</w:t>
      </w:r>
      <w:r w:rsidR="00550308" w:rsidRPr="00550308">
        <w:rPr>
          <w:rStyle w:val="Appelnotedebasdep"/>
          <w:lang w:val="en-US"/>
        </w:rPr>
        <w:footnoteReference w:customMarkFollows="1" w:id="2"/>
        <w:sym w:font="Symbol" w:char="F02A"/>
      </w:r>
    </w:p>
    <w:p w14:paraId="632B84A7" w14:textId="74641FAE" w:rsidR="00550308" w:rsidRDefault="00631128" w:rsidP="00FB611E">
      <w:pPr>
        <w:pStyle w:val="SingleTxtG"/>
        <w:ind w:firstLine="567"/>
        <w:rPr>
          <w:sz w:val="21"/>
          <w:szCs w:val="21"/>
        </w:rPr>
      </w:pPr>
      <w:r>
        <w:rPr>
          <w:szCs w:val="23"/>
        </w:rPr>
        <w:t>The text reproduced below was prepared by the expert from</w:t>
      </w:r>
      <w:r w:rsidR="00665BC0">
        <w:rPr>
          <w:szCs w:val="23"/>
        </w:rPr>
        <w:t xml:space="preserve"> the</w:t>
      </w:r>
      <w:r>
        <w:rPr>
          <w:szCs w:val="23"/>
        </w:rPr>
        <w:t xml:space="preserve"> </w:t>
      </w:r>
      <w:r w:rsidR="00E344E0" w:rsidRPr="0070175C">
        <w:t xml:space="preserve">International Organization of Motor Vehicle Manufacturers </w:t>
      </w:r>
      <w:r w:rsidR="00DB0DBA">
        <w:rPr>
          <w:szCs w:val="23"/>
        </w:rPr>
        <w:t>(OICA)</w:t>
      </w:r>
      <w:r>
        <w:rPr>
          <w:szCs w:val="23"/>
        </w:rPr>
        <w:t xml:space="preserve"> to </w:t>
      </w:r>
      <w:r w:rsidR="00DB0DBA">
        <w:t>introduce provisions for Field of Vi</w:t>
      </w:r>
      <w:r w:rsidR="00665BC0">
        <w:t>sion</w:t>
      </w:r>
      <w:r w:rsidR="00DB0DBA">
        <w:t xml:space="preserve"> Assistant (FVA)</w:t>
      </w:r>
      <w:r>
        <w:t xml:space="preserve">. </w:t>
      </w:r>
      <w:r w:rsidR="00E344E0">
        <w:t xml:space="preserve">It is based on informal Document GRSG-117-27. </w:t>
      </w:r>
      <w:r>
        <w:rPr>
          <w:szCs w:val="23"/>
        </w:rPr>
        <w:t xml:space="preserve">The modifications to the current text of the UN Regulations are marked </w:t>
      </w:r>
      <w:r w:rsidRPr="00444332">
        <w:rPr>
          <w:b/>
          <w:szCs w:val="23"/>
        </w:rPr>
        <w:t xml:space="preserve">in </w:t>
      </w:r>
      <w:r w:rsidR="00444332" w:rsidRPr="00444332">
        <w:rPr>
          <w:b/>
          <w:szCs w:val="23"/>
        </w:rPr>
        <w:t>bold</w:t>
      </w:r>
      <w:r w:rsidR="00735ECE">
        <w:rPr>
          <w:sz w:val="21"/>
          <w:szCs w:val="21"/>
        </w:rPr>
        <w:t>.</w:t>
      </w:r>
    </w:p>
    <w:p w14:paraId="1198E004" w14:textId="77777777" w:rsidR="00550308" w:rsidRDefault="00550308">
      <w:pPr>
        <w:suppressAutoHyphens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7436CDB" w14:textId="6C5C545E" w:rsidR="00550308" w:rsidRDefault="00550308" w:rsidP="00550308">
      <w:pPr>
        <w:pStyle w:val="HChG"/>
        <w:ind w:firstLine="0"/>
      </w:pPr>
      <w:r>
        <w:rPr>
          <w:lang w:val="en-US"/>
        </w:rPr>
        <w:lastRenderedPageBreak/>
        <w:t>0</w:t>
      </w:r>
      <w:r w:rsidR="005B45A4">
        <w:rPr>
          <w:lang w:val="en-US"/>
        </w:rPr>
        <w:t>2</w:t>
      </w:r>
      <w:r>
        <w:rPr>
          <w:lang w:val="en-US"/>
        </w:rPr>
        <w:t xml:space="preserve"> series of amendments of UN Regulation No. 125</w:t>
      </w:r>
    </w:p>
    <w:p w14:paraId="178CD9C1" w14:textId="229B7DCF" w:rsidR="00735ECE" w:rsidRPr="00EA229B" w:rsidRDefault="00735ECE" w:rsidP="00550308">
      <w:pPr>
        <w:pStyle w:val="HChG"/>
        <w:numPr>
          <w:ilvl w:val="0"/>
          <w:numId w:val="25"/>
        </w:numPr>
        <w:tabs>
          <w:tab w:val="clear" w:pos="851"/>
          <w:tab w:val="right" w:pos="1134"/>
        </w:tabs>
      </w:pPr>
      <w:r w:rsidRPr="00EA229B">
        <w:t>Proposal</w:t>
      </w:r>
    </w:p>
    <w:p w14:paraId="0FA5F7FF" w14:textId="67490B22" w:rsidR="00444332" w:rsidRPr="005B45A4" w:rsidRDefault="005B45A4" w:rsidP="005B45A4">
      <w:pPr>
        <w:pStyle w:val="SingleTxtG"/>
        <w:ind w:left="1287" w:hanging="153"/>
        <w:rPr>
          <w:bCs/>
        </w:rPr>
      </w:pPr>
      <w:r w:rsidRPr="005B45A4">
        <w:rPr>
          <w:bCs/>
          <w:i/>
          <w:iCs/>
          <w:lang w:val="en-US"/>
        </w:rPr>
        <w:t>After</w:t>
      </w:r>
      <w:r>
        <w:rPr>
          <w:bCs/>
          <w:lang w:val="en-US"/>
        </w:rPr>
        <w:t xml:space="preserve"> </w:t>
      </w:r>
      <w:r>
        <w:rPr>
          <w:bCs/>
          <w:i/>
        </w:rPr>
        <w:t>p</w:t>
      </w:r>
      <w:r w:rsidR="002702BB" w:rsidRPr="005B45A4">
        <w:rPr>
          <w:bCs/>
          <w:i/>
        </w:rPr>
        <w:t xml:space="preserve">aragraph </w:t>
      </w:r>
      <w:r>
        <w:rPr>
          <w:bCs/>
          <w:i/>
        </w:rPr>
        <w:t>2</w:t>
      </w:r>
      <w:r w:rsidR="002702BB" w:rsidRPr="005B45A4">
        <w:rPr>
          <w:bCs/>
          <w:i/>
        </w:rPr>
        <w:t>.</w:t>
      </w:r>
      <w:r>
        <w:rPr>
          <w:bCs/>
          <w:i/>
        </w:rPr>
        <w:t>18</w:t>
      </w:r>
      <w:r w:rsidR="00444332" w:rsidRPr="005B45A4">
        <w:rPr>
          <w:bCs/>
          <w:i/>
        </w:rPr>
        <w:t>.,</w:t>
      </w:r>
      <w:r>
        <w:rPr>
          <w:bCs/>
          <w:i/>
        </w:rPr>
        <w:t xml:space="preserve"> </w:t>
      </w:r>
      <w:r>
        <w:rPr>
          <w:bCs/>
          <w:iCs/>
        </w:rPr>
        <w:t>insert new paragraphs 2.19. and 2.20.</w:t>
      </w:r>
      <w:r w:rsidR="00444332" w:rsidRPr="005B45A4">
        <w:rPr>
          <w:bCs/>
        </w:rPr>
        <w:t>:</w:t>
      </w:r>
    </w:p>
    <w:p w14:paraId="5E734CF3" w14:textId="783CF7DB" w:rsidR="005B45A4" w:rsidRPr="005B45A4" w:rsidRDefault="00444332" w:rsidP="005B45A4">
      <w:pPr>
        <w:pStyle w:val="Para0"/>
        <w:rPr>
          <w:b/>
          <w:bCs/>
        </w:rPr>
      </w:pPr>
      <w:r w:rsidRPr="005B45A4">
        <w:rPr>
          <w:b/>
          <w:bCs/>
        </w:rPr>
        <w:t>"</w:t>
      </w:r>
      <w:r w:rsidR="005B45A4" w:rsidRPr="005B45A4">
        <w:rPr>
          <w:b/>
          <w:bCs/>
        </w:rPr>
        <w:t>2.19</w:t>
      </w:r>
      <w:r w:rsidR="005B45A4">
        <w:rPr>
          <w:b/>
          <w:bCs/>
        </w:rPr>
        <w:t>.</w:t>
      </w:r>
      <w:r w:rsidR="005B45A4" w:rsidRPr="005B45A4">
        <w:rPr>
          <w:b/>
          <w:bCs/>
        </w:rPr>
        <w:tab/>
        <w:t>Head Up Display (HUD): Visual information displayed in area “S” as defined in paragraph 5.1.3.4.</w:t>
      </w:r>
    </w:p>
    <w:p w14:paraId="6D279D2B" w14:textId="1BAC9B60" w:rsidR="00444332" w:rsidRDefault="005B45A4" w:rsidP="005B45A4">
      <w:pPr>
        <w:pStyle w:val="Para0"/>
      </w:pPr>
      <w:r w:rsidRPr="005B45A4">
        <w:rPr>
          <w:b/>
          <w:bCs/>
        </w:rPr>
        <w:t>2.20</w:t>
      </w:r>
      <w:r>
        <w:rPr>
          <w:b/>
          <w:bCs/>
        </w:rPr>
        <w:t>.</w:t>
      </w:r>
      <w:r w:rsidRPr="005B45A4">
        <w:rPr>
          <w:b/>
          <w:bCs/>
        </w:rPr>
        <w:tab/>
        <w:t>Field of Vision Assistant (FVA): Visual information displayed in the transparent field of vision other than by the HUD to support the awareness of the driver in specific driving situations</w:t>
      </w:r>
      <w:r>
        <w:rPr>
          <w:color w:val="C00000"/>
        </w:rPr>
        <w:t>.</w:t>
      </w:r>
    </w:p>
    <w:p w14:paraId="240B16D1" w14:textId="27A5D16B" w:rsidR="00076180" w:rsidRPr="006214A4" w:rsidRDefault="00076180" w:rsidP="006214A4">
      <w:pPr>
        <w:pStyle w:val="Para0"/>
        <w:rPr>
          <w:b/>
          <w:bCs/>
        </w:rPr>
      </w:pPr>
      <w:r w:rsidRPr="006214A4">
        <w:rPr>
          <w:b/>
          <w:bCs/>
          <w:highlight w:val="cyan"/>
        </w:rPr>
        <w:t>2.21.</w:t>
      </w:r>
      <w:r w:rsidR="006214A4" w:rsidRPr="006214A4">
        <w:rPr>
          <w:b/>
          <w:bCs/>
          <w:highlight w:val="cyan"/>
        </w:rPr>
        <w:tab/>
      </w:r>
      <w:bookmarkStart w:id="0" w:name="_GoBack"/>
      <w:bookmarkEnd w:id="0"/>
      <w:r w:rsidRPr="008A62EC">
        <w:rPr>
          <w:b/>
          <w:bCs/>
          <w:highlight w:val="cyan"/>
        </w:rPr>
        <w:t>Obstruction</w:t>
      </w:r>
      <w:r w:rsidR="006214A4" w:rsidRPr="008A62EC">
        <w:rPr>
          <w:b/>
          <w:bCs/>
          <w:highlight w:val="cyan"/>
        </w:rPr>
        <w:t>:</w:t>
      </w:r>
      <w:r w:rsidRPr="008A62EC">
        <w:rPr>
          <w:b/>
          <w:bCs/>
          <w:highlight w:val="cyan"/>
        </w:rPr>
        <w:t xml:space="preserve"> means any physical object of 100% opacity </w:t>
      </w:r>
      <w:r w:rsidR="008A62EC" w:rsidRPr="008A62EC">
        <w:rPr>
          <w:b/>
          <w:bCs/>
          <w:highlight w:val="cyan"/>
        </w:rPr>
        <w:t>in the field of vision of the driver</w:t>
      </w:r>
      <w:r w:rsidR="006214A4" w:rsidRPr="008A62EC">
        <w:rPr>
          <w:b/>
          <w:bCs/>
          <w:highlight w:val="cyan"/>
        </w:rPr>
        <w:t>.</w:t>
      </w:r>
      <w:r w:rsidR="006214A4" w:rsidRPr="008A62EC">
        <w:rPr>
          <w:highlight w:val="cyan"/>
        </w:rPr>
        <w:t xml:space="preserve"> </w:t>
      </w:r>
      <w:r w:rsidR="006214A4" w:rsidRPr="006214A4">
        <w:rPr>
          <w:highlight w:val="cyan"/>
        </w:rPr>
        <w:t>"</w:t>
      </w:r>
    </w:p>
    <w:p w14:paraId="4F2437E2" w14:textId="6835198E" w:rsidR="00076180" w:rsidRPr="002702BB" w:rsidRDefault="00076180" w:rsidP="005B45A4">
      <w:pPr>
        <w:pStyle w:val="Para0"/>
      </w:pPr>
    </w:p>
    <w:p w14:paraId="57437076" w14:textId="396CEC6E" w:rsidR="005B45A4" w:rsidRPr="005B45A4" w:rsidRDefault="005B45A4" w:rsidP="005B45A4">
      <w:pPr>
        <w:pStyle w:val="SingleTxtG"/>
        <w:ind w:left="1287" w:hanging="153"/>
        <w:rPr>
          <w:bCs/>
        </w:rPr>
      </w:pPr>
      <w:r w:rsidRPr="005B45A4">
        <w:rPr>
          <w:bCs/>
          <w:i/>
          <w:iCs/>
          <w:lang w:val="en-US"/>
        </w:rPr>
        <w:t>After</w:t>
      </w:r>
      <w:r>
        <w:rPr>
          <w:bCs/>
          <w:lang w:val="en-US"/>
        </w:rPr>
        <w:t xml:space="preserve"> </w:t>
      </w:r>
      <w:r>
        <w:rPr>
          <w:bCs/>
          <w:i/>
        </w:rPr>
        <w:t>p</w:t>
      </w:r>
      <w:r w:rsidRPr="005B45A4">
        <w:rPr>
          <w:bCs/>
          <w:i/>
        </w:rPr>
        <w:t xml:space="preserve">aragraph </w:t>
      </w:r>
      <w:r>
        <w:rPr>
          <w:bCs/>
          <w:i/>
        </w:rPr>
        <w:t>5.1.3.4.2</w:t>
      </w:r>
      <w:r w:rsidRPr="005B45A4">
        <w:rPr>
          <w:bCs/>
          <w:i/>
        </w:rPr>
        <w:t>.,</w:t>
      </w:r>
      <w:r>
        <w:rPr>
          <w:bCs/>
          <w:i/>
        </w:rPr>
        <w:t xml:space="preserve"> </w:t>
      </w:r>
      <w:r>
        <w:rPr>
          <w:bCs/>
          <w:iCs/>
        </w:rPr>
        <w:t>insert new paragraph 5.1.3.5.</w:t>
      </w:r>
      <w:r w:rsidRPr="005B45A4">
        <w:rPr>
          <w:bCs/>
        </w:rPr>
        <w:t>:</w:t>
      </w:r>
    </w:p>
    <w:p w14:paraId="15D19EB6" w14:textId="4644C7D4" w:rsidR="007D6879" w:rsidRPr="007D6879" w:rsidRDefault="002702BB" w:rsidP="007D6879">
      <w:pPr>
        <w:pStyle w:val="Para0"/>
        <w:rPr>
          <w:b/>
        </w:rPr>
      </w:pPr>
      <w:r w:rsidRPr="002702BB">
        <w:t>"</w:t>
      </w:r>
      <w:r w:rsidR="007D6879" w:rsidRPr="007D6879">
        <w:rPr>
          <w:b/>
        </w:rPr>
        <w:t>5.1.3.5</w:t>
      </w:r>
      <w:r w:rsidR="00FE29F2">
        <w:rPr>
          <w:b/>
        </w:rPr>
        <w:t>.</w:t>
      </w:r>
      <w:r w:rsidR="007D6879" w:rsidRPr="007D6879">
        <w:rPr>
          <w:b/>
        </w:rPr>
        <w:tab/>
        <w:t xml:space="preserve">The transparent field of vision as defined in paragraph 5.1.1. may be overlaid by information of a Field of Vision Assist. Such information shall be driving related only and limited to: </w:t>
      </w:r>
    </w:p>
    <w:p w14:paraId="25C26EBB" w14:textId="26523B04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(a)</w:t>
      </w:r>
      <w:r>
        <w:rPr>
          <w:b/>
        </w:rPr>
        <w:tab/>
      </w:r>
      <w:r w:rsidR="007D6879" w:rsidRPr="007D6879">
        <w:rPr>
          <w:b/>
        </w:rPr>
        <w:t>Warning/Highlight hazardous traffic situation</w:t>
      </w:r>
    </w:p>
    <w:p w14:paraId="2F1EC1C5" w14:textId="7B3214E3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(b)</w:t>
      </w:r>
      <w:r>
        <w:rPr>
          <w:b/>
        </w:rPr>
        <w:tab/>
      </w:r>
      <w:r w:rsidR="007D6879" w:rsidRPr="007D6879">
        <w:rPr>
          <w:b/>
        </w:rPr>
        <w:t>Warning/Highlight vulnerable road users or other road users which may be overseen</w:t>
      </w:r>
    </w:p>
    <w:p w14:paraId="49FC6122" w14:textId="21525EFD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(c)</w:t>
      </w:r>
      <w:r>
        <w:rPr>
          <w:b/>
        </w:rPr>
        <w:tab/>
      </w:r>
      <w:r w:rsidR="007D6879" w:rsidRPr="007D6879">
        <w:rPr>
          <w:b/>
        </w:rPr>
        <w:t xml:space="preserve">Information to maintain the distances to surrounding road users </w:t>
      </w:r>
    </w:p>
    <w:p w14:paraId="72272286" w14:textId="002AFCDD" w:rsidR="007D6879" w:rsidRPr="007D6879" w:rsidRDefault="00C26745" w:rsidP="00E37D36">
      <w:pPr>
        <w:pStyle w:val="Para0"/>
        <w:ind w:left="2835" w:hanging="585"/>
        <w:rPr>
          <w:b/>
        </w:rPr>
      </w:pPr>
      <w:r>
        <w:rPr>
          <w:b/>
        </w:rPr>
        <w:t>(d)</w:t>
      </w:r>
      <w:r>
        <w:rPr>
          <w:b/>
        </w:rPr>
        <w:tab/>
      </w:r>
      <w:r w:rsidR="007D6879" w:rsidRPr="007D6879">
        <w:rPr>
          <w:b/>
        </w:rPr>
        <w:t>Information to find and maintain the correct driveway</w:t>
      </w:r>
    </w:p>
    <w:p w14:paraId="62647254" w14:textId="77777777" w:rsidR="007D6879" w:rsidRPr="007D6879" w:rsidRDefault="007D6879" w:rsidP="007D6879">
      <w:pPr>
        <w:pStyle w:val="Para0"/>
        <w:ind w:left="2250" w:firstLine="0"/>
        <w:rPr>
          <w:b/>
        </w:rPr>
      </w:pPr>
      <w:r w:rsidRPr="007D6879">
        <w:rPr>
          <w:b/>
        </w:rPr>
        <w:t xml:space="preserve">Other information may be given after agreement between manufacturer and technical service/approval authority. </w:t>
      </w:r>
    </w:p>
    <w:p w14:paraId="4282DFE6" w14:textId="5F984FD4" w:rsidR="007D6879" w:rsidRPr="007D6879" w:rsidRDefault="007D6879" w:rsidP="007D6879">
      <w:pPr>
        <w:pStyle w:val="Para0"/>
        <w:ind w:left="2250" w:firstLine="0"/>
        <w:rPr>
          <w:b/>
        </w:rPr>
      </w:pPr>
      <w:r w:rsidRPr="007D6879">
        <w:rPr>
          <w:b/>
        </w:rPr>
        <w:t>Examples of the above Warning/Highlights/Informations are given in Annex 5.</w:t>
      </w:r>
    </w:p>
    <w:p w14:paraId="31D45D29" w14:textId="77777777" w:rsidR="007D6879" w:rsidRPr="007D6879" w:rsidRDefault="007D6879" w:rsidP="007D6879">
      <w:pPr>
        <w:pStyle w:val="Para0"/>
        <w:rPr>
          <w:b/>
          <w:lang w:val="en-US"/>
        </w:rPr>
      </w:pPr>
      <w:r w:rsidRPr="007D6879">
        <w:rPr>
          <w:b/>
        </w:rPr>
        <w:t>5.1.3.5.1.</w:t>
      </w:r>
      <w:r w:rsidRPr="007D6879">
        <w:rPr>
          <w:b/>
        </w:rPr>
        <w:tab/>
      </w:r>
      <w:r w:rsidRPr="007D6879">
        <w:rPr>
          <w:b/>
          <w:lang w:val="en-US"/>
        </w:rPr>
        <w:t>The symbols and graphics shown by the FVA shall disappear when the driving related situation defined above does not exist anymore.</w:t>
      </w:r>
    </w:p>
    <w:p w14:paraId="3B06C93C" w14:textId="713B61A9" w:rsidR="007D6879" w:rsidRPr="007D6879" w:rsidRDefault="007D6879" w:rsidP="007D6879">
      <w:pPr>
        <w:pStyle w:val="Para0"/>
        <w:rPr>
          <w:b/>
          <w:lang w:val="en-US"/>
        </w:rPr>
      </w:pPr>
      <w:r w:rsidRPr="007D6879">
        <w:rPr>
          <w:b/>
          <w:lang w:val="en-US"/>
        </w:rPr>
        <w:t>5.1.3.5.2</w:t>
      </w:r>
      <w:r w:rsidR="00FE29F2">
        <w:rPr>
          <w:b/>
          <w:lang w:val="en-US"/>
        </w:rPr>
        <w:t>.</w:t>
      </w:r>
      <w:r w:rsidRPr="007D6879">
        <w:rPr>
          <w:b/>
          <w:lang w:val="en-US"/>
        </w:rPr>
        <w:tab/>
        <w:t>The FVA shall highlight the real view and shall not fully mask objects.</w:t>
      </w:r>
    </w:p>
    <w:p w14:paraId="7F4FC713" w14:textId="0E1E94F2" w:rsidR="002702BB" w:rsidRDefault="007D6879" w:rsidP="007D6879">
      <w:pPr>
        <w:pStyle w:val="Para0"/>
      </w:pPr>
      <w:r w:rsidRPr="007D6879">
        <w:rPr>
          <w:b/>
          <w:lang w:val="en-US"/>
        </w:rPr>
        <w:t>5.1.3.5.3</w:t>
      </w:r>
      <w:r w:rsidR="00FE29F2">
        <w:rPr>
          <w:b/>
          <w:lang w:val="en-US"/>
        </w:rPr>
        <w:t>.</w:t>
      </w:r>
      <w:r w:rsidRPr="007D6879">
        <w:rPr>
          <w:b/>
          <w:lang w:val="en-US"/>
        </w:rPr>
        <w:tab/>
        <w:t>The driver shall be capable to adjust the light intensity of the FVA and he shall be capable to switch off the FVA system</w:t>
      </w:r>
      <w:r>
        <w:rPr>
          <w:color w:val="C00000"/>
          <w:lang w:val="en-US"/>
        </w:rPr>
        <w:t>.</w:t>
      </w:r>
      <w:r w:rsidR="002702BB" w:rsidRPr="002702BB">
        <w:t>"</w:t>
      </w:r>
    </w:p>
    <w:p w14:paraId="18E64C5A" w14:textId="708ECD3B" w:rsidR="007D6879" w:rsidRDefault="007D6879" w:rsidP="00665BC0">
      <w:pPr>
        <w:pStyle w:val="Para0"/>
        <w:spacing w:before="120"/>
        <w:rPr>
          <w:bCs/>
          <w:lang w:val="en-US"/>
        </w:rPr>
      </w:pPr>
      <w:r>
        <w:rPr>
          <w:bCs/>
          <w:i/>
          <w:iCs/>
          <w:lang w:val="en-US"/>
        </w:rPr>
        <w:t>Paragraph 12.,</w:t>
      </w:r>
      <w:r>
        <w:rPr>
          <w:bCs/>
          <w:lang w:val="en-US"/>
        </w:rPr>
        <w:t xml:space="preserve"> amend to read:</w:t>
      </w:r>
    </w:p>
    <w:p w14:paraId="50D3B6E9" w14:textId="77777777" w:rsidR="007D6879" w:rsidRDefault="007D6879" w:rsidP="007D6879">
      <w:pPr>
        <w:pStyle w:val="HChG"/>
        <w:ind w:firstLine="0"/>
      </w:pPr>
      <w:r w:rsidRPr="00964518">
        <w:t>12.</w:t>
      </w:r>
      <w:r w:rsidRPr="00964518">
        <w:tab/>
      </w:r>
      <w:r>
        <w:tab/>
      </w:r>
      <w:r w:rsidRPr="00964518">
        <w:t xml:space="preserve">Transitional </w:t>
      </w:r>
      <w:r>
        <w:t>p</w:t>
      </w:r>
      <w:r w:rsidRPr="00964518">
        <w:t>rovisions</w:t>
      </w:r>
    </w:p>
    <w:p w14:paraId="651CD778" w14:textId="173AE710" w:rsidR="007D6879" w:rsidRPr="00964518" w:rsidRDefault="007D6879" w:rsidP="007D6879">
      <w:pPr>
        <w:pStyle w:val="Para0"/>
      </w:pPr>
      <w:r w:rsidRPr="00964518">
        <w:t>12.1.</w:t>
      </w:r>
      <w:r w:rsidRPr="00964518">
        <w:tab/>
        <w:t xml:space="preserve">As from the official date of entry into force of the </w:t>
      </w:r>
      <w:r w:rsidRPr="007D6879">
        <w:rPr>
          <w:b/>
          <w:bCs/>
        </w:rPr>
        <w:t>02</w:t>
      </w:r>
      <w:r w:rsidRPr="00964518">
        <w:t xml:space="preserve"> series of amendments, no Contracting Party applying this Regulation shall refuse to grant approval under this Regulation as amended by the </w:t>
      </w:r>
      <w:r w:rsidRPr="007D6879">
        <w:rPr>
          <w:b/>
          <w:bCs/>
        </w:rPr>
        <w:t>02</w:t>
      </w:r>
      <w:r w:rsidRPr="00964518">
        <w:t xml:space="preserve"> series of amendments.</w:t>
      </w:r>
    </w:p>
    <w:p w14:paraId="1E82F3BB" w14:textId="7E5CEFB2" w:rsidR="007D6879" w:rsidRPr="00964518" w:rsidRDefault="007D6879" w:rsidP="007D6879">
      <w:pPr>
        <w:pStyle w:val="Para0"/>
      </w:pPr>
      <w:r w:rsidRPr="00964518">
        <w:t>12.2.</w:t>
      </w:r>
      <w:r w:rsidRPr="00964518">
        <w:tab/>
        <w:t>As from 24 months after the date of entry into force</w:t>
      </w:r>
      <w:r w:rsidRPr="00964518">
        <w:rPr>
          <w:rFonts w:hint="eastAsia"/>
        </w:rPr>
        <w:t xml:space="preserve"> of the </w:t>
      </w:r>
      <w:r w:rsidRPr="007D6879">
        <w:rPr>
          <w:b/>
          <w:bCs/>
        </w:rPr>
        <w:t>02</w:t>
      </w:r>
      <w:r w:rsidRPr="00964518">
        <w:rPr>
          <w:rFonts w:hint="eastAsia"/>
        </w:rPr>
        <w:t xml:space="preserve"> series of amendments to this Regulation</w:t>
      </w:r>
      <w:r w:rsidRPr="00964518">
        <w:t xml:space="preserve">, Contracting Parties applying this Regulation shall grant approvals only if the vehicle type to be approved meets the requirements of this Regulation as amended by the </w:t>
      </w:r>
      <w:r w:rsidRPr="007D6879">
        <w:rPr>
          <w:b/>
          <w:bCs/>
        </w:rPr>
        <w:t>02</w:t>
      </w:r>
      <w:r w:rsidRPr="00964518">
        <w:t xml:space="preserve"> series of amendments.</w:t>
      </w:r>
    </w:p>
    <w:p w14:paraId="20CD1E4F" w14:textId="01FD7A39" w:rsidR="007D6879" w:rsidRPr="00964518" w:rsidRDefault="007D6879" w:rsidP="007D6879">
      <w:pPr>
        <w:pStyle w:val="Para0"/>
      </w:pPr>
      <w:r w:rsidRPr="00964518">
        <w:t>12.3.</w:t>
      </w:r>
      <w:r w:rsidRPr="00964518">
        <w:tab/>
        <w:t xml:space="preserve">Contracting Parties applying this Regulation shall not refuse to grant extensions of approvals for existing types which have been granted according to </w:t>
      </w:r>
      <w:r w:rsidRPr="00FE29F2">
        <w:t xml:space="preserve">the </w:t>
      </w:r>
      <w:r w:rsidR="008809A1">
        <w:t>preceding series of amendments</w:t>
      </w:r>
      <w:r w:rsidRPr="00FE29F2">
        <w:t xml:space="preserve"> </w:t>
      </w:r>
      <w:r w:rsidRPr="00964518">
        <w:t>of this Regulation.</w:t>
      </w:r>
    </w:p>
    <w:p w14:paraId="78107A36" w14:textId="43F7B4F2" w:rsidR="007D6879" w:rsidRPr="00964518" w:rsidRDefault="007D6879" w:rsidP="007D6879">
      <w:pPr>
        <w:pStyle w:val="Para0"/>
      </w:pPr>
      <w:r w:rsidRPr="00964518">
        <w:t>12.4.</w:t>
      </w:r>
      <w:r w:rsidRPr="00964518">
        <w:tab/>
      </w:r>
      <w:r w:rsidRPr="00964518">
        <w:rPr>
          <w:rFonts w:hint="eastAsia"/>
        </w:rPr>
        <w:t xml:space="preserve">Even after the entry into force of the </w:t>
      </w:r>
      <w:r w:rsidRPr="007D6879">
        <w:rPr>
          <w:b/>
          <w:bCs/>
        </w:rPr>
        <w:t>02</w:t>
      </w:r>
      <w:r w:rsidRPr="00964518">
        <w:rPr>
          <w:rFonts w:hint="eastAsia"/>
        </w:rPr>
        <w:t xml:space="preserve"> series of amendments to this Regulation, </w:t>
      </w:r>
      <w:r w:rsidRPr="00964518">
        <w:t>type approval</w:t>
      </w:r>
      <w:r w:rsidRPr="00964518">
        <w:rPr>
          <w:rFonts w:hint="eastAsia"/>
        </w:rPr>
        <w:t xml:space="preserve">s </w:t>
      </w:r>
      <w:r w:rsidRPr="00964518">
        <w:t>of the vehicles</w:t>
      </w:r>
      <w:r w:rsidRPr="00964518">
        <w:rPr>
          <w:rFonts w:hint="eastAsia"/>
        </w:rPr>
        <w:t xml:space="preserve"> to the </w:t>
      </w:r>
      <w:r w:rsidR="008809A1">
        <w:t xml:space="preserve">preceding series of </w:t>
      </w:r>
      <w:r w:rsidR="008809A1">
        <w:lastRenderedPageBreak/>
        <w:t>amendments</w:t>
      </w:r>
      <w:r w:rsidR="008809A1" w:rsidRPr="00FE29F2">
        <w:t xml:space="preserve"> </w:t>
      </w:r>
      <w:r w:rsidRPr="00964518">
        <w:t>of</w:t>
      </w:r>
      <w:r w:rsidRPr="00964518">
        <w:rPr>
          <w:rFonts w:hint="eastAsia"/>
        </w:rPr>
        <w:t xml:space="preserve"> th</w:t>
      </w:r>
      <w:r w:rsidRPr="00964518">
        <w:t xml:space="preserve">is </w:t>
      </w:r>
      <w:r w:rsidRPr="00964518">
        <w:rPr>
          <w:rFonts w:hint="eastAsia"/>
        </w:rPr>
        <w:t>Regulation shall remain valid</w:t>
      </w:r>
      <w:r w:rsidRPr="00964518">
        <w:t>.</w:t>
      </w:r>
      <w:r w:rsidRPr="00964518">
        <w:rPr>
          <w:rFonts w:hint="eastAsia"/>
        </w:rPr>
        <w:t xml:space="preserve"> Contracting Parties </w:t>
      </w:r>
      <w:r w:rsidRPr="00964518">
        <w:t xml:space="preserve">applying this Regulation </w:t>
      </w:r>
      <w:r w:rsidRPr="00964518">
        <w:rPr>
          <w:rFonts w:hint="eastAsia"/>
        </w:rPr>
        <w:t>shall continue to accept them.</w:t>
      </w:r>
    </w:p>
    <w:p w14:paraId="2B2D6EB1" w14:textId="11E2F1EB" w:rsidR="007D6879" w:rsidRPr="00780EAD" w:rsidRDefault="007D6879" w:rsidP="007D6879">
      <w:pPr>
        <w:pStyle w:val="Para0"/>
      </w:pPr>
      <w:r w:rsidRPr="00964518">
        <w:t>12.5.</w:t>
      </w:r>
      <w:r w:rsidRPr="00964518">
        <w:tab/>
        <w:t xml:space="preserve">Notwithstanding the transitional provisions above, Contracting Parties whose application of this Regulation comes into force after the date of entry into force of the </w:t>
      </w:r>
      <w:r w:rsidRPr="007D6879">
        <w:rPr>
          <w:b/>
          <w:bCs/>
        </w:rPr>
        <w:t>02</w:t>
      </w:r>
      <w:r w:rsidRPr="00964518">
        <w:t xml:space="preserve"> series of amendments are not obliged to accept approvals which were granted in accordance with the </w:t>
      </w:r>
      <w:r w:rsidR="001F38F3">
        <w:t>preceding series of amendments</w:t>
      </w:r>
      <w:r w:rsidR="001F38F3" w:rsidRPr="00FE29F2">
        <w:t xml:space="preserve"> </w:t>
      </w:r>
      <w:r w:rsidRPr="00964518">
        <w:t>of this Regulation.</w:t>
      </w:r>
      <w:r>
        <w:t>"</w:t>
      </w:r>
    </w:p>
    <w:p w14:paraId="31643B0F" w14:textId="3F6FF291" w:rsidR="007D6879" w:rsidRDefault="007D6879" w:rsidP="001C058A">
      <w:pPr>
        <w:pStyle w:val="Para0"/>
        <w:spacing w:after="0"/>
        <w:rPr>
          <w:bCs/>
        </w:rPr>
      </w:pPr>
      <w:r>
        <w:rPr>
          <w:bCs/>
          <w:i/>
          <w:iCs/>
        </w:rPr>
        <w:t xml:space="preserve">Annex 2, </w:t>
      </w:r>
      <w:r>
        <w:rPr>
          <w:bCs/>
        </w:rPr>
        <w:t>amend to read:</w:t>
      </w:r>
    </w:p>
    <w:p w14:paraId="2AEF6243" w14:textId="6586272C" w:rsidR="007D6879" w:rsidRPr="005A4630" w:rsidRDefault="007D6879" w:rsidP="00FE29F2">
      <w:pPr>
        <w:pStyle w:val="HChG"/>
      </w:pPr>
      <w:bookmarkStart w:id="1" w:name="_Toc108926532"/>
      <w:bookmarkStart w:id="2" w:name="_Toc108926533"/>
      <w:r w:rsidRPr="007D6879">
        <w:rPr>
          <w:b w:val="0"/>
          <w:bCs/>
        </w:rPr>
        <w:t>"</w:t>
      </w:r>
      <w:r w:rsidRPr="005A4630">
        <w:t>Annex 2</w:t>
      </w:r>
      <w:bookmarkEnd w:id="1"/>
    </w:p>
    <w:p w14:paraId="3C9976FC" w14:textId="77777777" w:rsidR="007D6879" w:rsidRPr="005A4630" w:rsidRDefault="007D6879" w:rsidP="00FE29F2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E29F2">
        <w:t>Arrangements</w:t>
      </w:r>
      <w:r w:rsidRPr="005A4630">
        <w:rPr>
          <w:lang w:val="en-US"/>
        </w:rPr>
        <w:t xml:space="preserve"> of approval marks</w:t>
      </w:r>
      <w:bookmarkEnd w:id="2"/>
    </w:p>
    <w:p w14:paraId="667688CC" w14:textId="77777777" w:rsidR="007D6879" w:rsidRPr="005A4630" w:rsidRDefault="007D6879" w:rsidP="001C058A">
      <w:pPr>
        <w:pStyle w:val="Para0"/>
        <w:spacing w:after="0"/>
      </w:pPr>
      <w:r w:rsidRPr="005A4630">
        <w:t>(see paragraphs 4.4. to 4.4.2. of this Regulation)</w:t>
      </w:r>
      <w:r w:rsidRPr="005A4630">
        <w:rPr>
          <w:vanish/>
          <w:sz w:val="16"/>
          <w:szCs w:val="16"/>
        </w:rPr>
        <w:t>)</w:t>
      </w:r>
    </w:p>
    <w:p w14:paraId="6C6ADF7C" w14:textId="06E6F65E" w:rsidR="007D6879" w:rsidRPr="005A4630" w:rsidRDefault="007D6879" w:rsidP="007D6879">
      <w:pPr>
        <w:suppressAutoHyphens w:val="0"/>
        <w:spacing w:line="240" w:lineRule="auto"/>
        <w:rPr>
          <w:sz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EA95" wp14:editId="2C02EA65">
                <wp:simplePos x="0" y="0"/>
                <wp:positionH relativeFrom="column">
                  <wp:posOffset>2857500</wp:posOffset>
                </wp:positionH>
                <wp:positionV relativeFrom="paragraph">
                  <wp:posOffset>578485</wp:posOffset>
                </wp:positionV>
                <wp:extent cx="14859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ECC9A" w14:textId="0CDCE11A" w:rsidR="007D6879" w:rsidRDefault="007D6879" w:rsidP="007D687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125R - 02185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3EA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45.5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1bggIAABg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" stroked="f">
                <v:textbox>
                  <w:txbxContent>
                    <w:p w14:paraId="79AECC9A" w14:textId="0CDCE11A" w:rsidR="007D6879" w:rsidRDefault="007D6879" w:rsidP="007D687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125R - 02185</w:t>
                      </w:r>
                    </w:p>
                  </w:txbxContent>
                </v:textbox>
              </v:shape>
            </w:pict>
          </mc:Fallback>
        </mc:AlternateContent>
      </w:r>
      <w:r w:rsidR="00AB6C1C">
        <w:rPr>
          <w:noProof/>
          <w:sz w:val="24"/>
          <w:szCs w:val="24"/>
          <w:lang w:val="en-US"/>
        </w:rPr>
        <w:object w:dxaOrig="1440" w:dyaOrig="1440" w14:anchorId="57BB5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85pt;margin-top:19.3pt;width:314.95pt;height:66.95pt;z-index:25165926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26" DrawAspect="Content" ObjectID="_1664611950" r:id="rId10"/>
        </w:objec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AD3DE" wp14:editId="2635B05C">
                <wp:simplePos x="0" y="0"/>
                <wp:positionH relativeFrom="column">
                  <wp:posOffset>2656205</wp:posOffset>
                </wp:positionH>
                <wp:positionV relativeFrom="paragraph">
                  <wp:posOffset>603250</wp:posOffset>
                </wp:positionV>
                <wp:extent cx="106680" cy="1905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5BA0B" w14:textId="77777777" w:rsidR="007D6879" w:rsidRDefault="007D6879" w:rsidP="007D6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D3DE" id="Text Box 9" o:spid="_x0000_s1027" type="#_x0000_t202" style="position:absolute;margin-left:209.15pt;margin-top:47.5pt;width:8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" filled="f" stroked="f">
                <v:textbox>
                  <w:txbxContent>
                    <w:p w14:paraId="3665BA0B" w14:textId="77777777" w:rsidR="007D6879" w:rsidRDefault="007D6879" w:rsidP="007D6879"/>
                  </w:txbxContent>
                </v:textbox>
              </v:shape>
            </w:pict>
          </mc:Fallback>
        </mc:AlternateContent>
      </w:r>
    </w:p>
    <w:p w14:paraId="5B0C8F08" w14:textId="77777777" w:rsidR="007D6879" w:rsidRPr="000212F4" w:rsidRDefault="007D6879" w:rsidP="007D6879">
      <w:pPr>
        <w:suppressAutoHyphens w:val="0"/>
        <w:spacing w:line="240" w:lineRule="auto"/>
        <w:ind w:left="7200"/>
      </w:pPr>
      <w:r w:rsidRPr="000212F4">
        <w:t>a = 8 mm min</w:t>
      </w:r>
    </w:p>
    <w:p w14:paraId="7B0A7692" w14:textId="2B6200C2" w:rsidR="007D6879" w:rsidRDefault="007D6879" w:rsidP="001C058A">
      <w:pPr>
        <w:pStyle w:val="SingleTxtG"/>
        <w:spacing w:before="120"/>
        <w:ind w:firstLine="567"/>
      </w:pPr>
      <w:r w:rsidRPr="00D206A0">
        <w:t>The above approval mark affixed to a vehicle shows that the vehicle type concerned has been approved in Belgium (E</w:t>
      </w:r>
      <w:r>
        <w:t xml:space="preserve"> </w:t>
      </w:r>
      <w:r w:rsidRPr="00D206A0">
        <w:t xml:space="preserve">6) with regard to the driver's forward field of vision pursuant to </w:t>
      </w:r>
      <w:r w:rsidR="00FE29F2">
        <w:t xml:space="preserve">UN </w:t>
      </w:r>
      <w:r w:rsidRPr="00D206A0">
        <w:t xml:space="preserve">Regulation No. 125. The first two digits of the approval number indicate that the approval was granted in accordance with the requirements of </w:t>
      </w:r>
      <w:r w:rsidR="00FE29F2">
        <w:t xml:space="preserve">UN </w:t>
      </w:r>
      <w:r w:rsidRPr="00D206A0">
        <w:t xml:space="preserve">Regulation No. 125 as amended by the </w:t>
      </w:r>
      <w:r w:rsidRPr="007D6879">
        <w:rPr>
          <w:b/>
          <w:bCs/>
        </w:rPr>
        <w:t>02</w:t>
      </w:r>
      <w:r w:rsidRPr="00D206A0">
        <w:t xml:space="preserve"> series of amendments.</w:t>
      </w:r>
      <w:r>
        <w:t>"</w:t>
      </w:r>
    </w:p>
    <w:p w14:paraId="4BC63BFF" w14:textId="5900D179" w:rsidR="007D6879" w:rsidRDefault="007D6879" w:rsidP="001C058A">
      <w:pPr>
        <w:pStyle w:val="SingleTxtG"/>
        <w:spacing w:after="0"/>
      </w:pPr>
      <w:r w:rsidRPr="007D6879">
        <w:rPr>
          <w:i/>
          <w:iCs/>
        </w:rPr>
        <w:t>After Annex 4</w:t>
      </w:r>
      <w:r>
        <w:t xml:space="preserve">, insert a new Annex </w:t>
      </w:r>
      <w:r w:rsidR="00C6182B">
        <w:t>5:</w:t>
      </w:r>
    </w:p>
    <w:p w14:paraId="48EDEFB5" w14:textId="73216ED9" w:rsidR="00C6182B" w:rsidRDefault="00C6182B" w:rsidP="00FE29F2">
      <w:pPr>
        <w:pStyle w:val="HChG"/>
      </w:pPr>
      <w:r w:rsidRPr="00C6182B">
        <w:t>"Annex 5</w:t>
      </w:r>
    </w:p>
    <w:p w14:paraId="53A8833E" w14:textId="175FC9E0" w:rsidR="00C6182B" w:rsidRPr="00C6182B" w:rsidRDefault="00FE29F2" w:rsidP="00FE29F2">
      <w:pPr>
        <w:pStyle w:val="HChG"/>
      </w:pPr>
      <w:r>
        <w:tab/>
      </w:r>
      <w:r>
        <w:tab/>
      </w:r>
      <w:r w:rsidR="00C6182B" w:rsidRPr="00C6182B">
        <w:t>Field of View Assistant</w:t>
      </w:r>
    </w:p>
    <w:p w14:paraId="02BFB3E0" w14:textId="176F06AF" w:rsidR="00C6182B" w:rsidRPr="00FE29F2" w:rsidRDefault="00C6182B" w:rsidP="00FE29F2">
      <w:pPr>
        <w:pStyle w:val="Titre1"/>
        <w:rPr>
          <w:b/>
          <w:bCs/>
        </w:rPr>
      </w:pPr>
      <w:r w:rsidRPr="00FE29F2">
        <w:rPr>
          <w:b/>
          <w:bCs/>
        </w:rPr>
        <w:t>Examples for Warning / Highlight / Information as specified in paragraph 5.3.5.1.: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C6182B" w:rsidRPr="00C6182B" w14:paraId="2E244F25" w14:textId="77777777" w:rsidTr="007F45D1">
        <w:tc>
          <w:tcPr>
            <w:tcW w:w="3686" w:type="dxa"/>
            <w:shd w:val="clear" w:color="auto" w:fill="auto"/>
          </w:tcPr>
          <w:p w14:paraId="0F643D65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393F4D5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Examples</w:t>
            </w:r>
          </w:p>
        </w:tc>
      </w:tr>
      <w:tr w:rsidR="00C6182B" w:rsidRPr="00C6182B" w14:paraId="23638A69" w14:textId="77777777" w:rsidTr="007F45D1">
        <w:tc>
          <w:tcPr>
            <w:tcW w:w="3686" w:type="dxa"/>
            <w:shd w:val="clear" w:color="auto" w:fill="auto"/>
          </w:tcPr>
          <w:p w14:paraId="41FD0805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Warning/Highlight hazardous traffic</w:t>
            </w:r>
          </w:p>
        </w:tc>
        <w:tc>
          <w:tcPr>
            <w:tcW w:w="3969" w:type="dxa"/>
            <w:shd w:val="clear" w:color="auto" w:fill="auto"/>
          </w:tcPr>
          <w:p w14:paraId="23298FE5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Abrupt braking situations</w:t>
            </w:r>
          </w:p>
          <w:p w14:paraId="0C820322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Oncoming traffic in turning manoeuvres</w:t>
            </w:r>
          </w:p>
          <w:p w14:paraId="72BEF901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Vehicles leaving the lane or entering the own driving path</w:t>
            </w:r>
          </w:p>
        </w:tc>
      </w:tr>
      <w:tr w:rsidR="00C6182B" w:rsidRPr="00C6182B" w14:paraId="50C18038" w14:textId="77777777" w:rsidTr="007F45D1">
        <w:tc>
          <w:tcPr>
            <w:tcW w:w="3686" w:type="dxa"/>
            <w:shd w:val="clear" w:color="auto" w:fill="auto"/>
          </w:tcPr>
          <w:p w14:paraId="3CC1991D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Warning/highlight vulnerable road users or other road users which may be overseen</w:t>
            </w:r>
          </w:p>
        </w:tc>
        <w:tc>
          <w:tcPr>
            <w:tcW w:w="3969" w:type="dxa"/>
            <w:shd w:val="clear" w:color="auto" w:fill="auto"/>
          </w:tcPr>
          <w:p w14:paraId="6A1BC580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Pedestrians</w:t>
            </w:r>
          </w:p>
          <w:p w14:paraId="4674A2C8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Cyclist</w:t>
            </w:r>
          </w:p>
          <w:p w14:paraId="03959FFC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Crossing road users</w:t>
            </w:r>
          </w:p>
          <w:p w14:paraId="1E274B69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Road users in blind spot or road users covered by other objects</w:t>
            </w:r>
          </w:p>
          <w:p w14:paraId="6484ABD9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Animals</w:t>
            </w:r>
          </w:p>
        </w:tc>
      </w:tr>
      <w:tr w:rsidR="00C6182B" w:rsidRPr="00C6182B" w14:paraId="74B8B6AA" w14:textId="77777777" w:rsidTr="007F45D1">
        <w:tc>
          <w:tcPr>
            <w:tcW w:w="3686" w:type="dxa"/>
            <w:shd w:val="clear" w:color="auto" w:fill="auto"/>
          </w:tcPr>
          <w:p w14:paraId="2A60BCC3" w14:textId="77777777" w:rsidR="00C6182B" w:rsidRPr="00C6182B" w:rsidRDefault="00C6182B" w:rsidP="007F45D1">
            <w:pPr>
              <w:pStyle w:val="Para0"/>
              <w:ind w:left="0" w:right="275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Information to maintain the distances to surrounding road user and infrastructure</w:t>
            </w:r>
          </w:p>
        </w:tc>
        <w:tc>
          <w:tcPr>
            <w:tcW w:w="3969" w:type="dxa"/>
            <w:shd w:val="clear" w:color="auto" w:fill="auto"/>
          </w:tcPr>
          <w:p w14:paraId="5C364534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Distance to vehicle in front</w:t>
            </w:r>
          </w:p>
          <w:p w14:paraId="2909B6DB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Lane keep assist</w:t>
            </w:r>
          </w:p>
        </w:tc>
      </w:tr>
      <w:tr w:rsidR="00C6182B" w:rsidRPr="00C6182B" w14:paraId="09AC87FB" w14:textId="77777777" w:rsidTr="007F45D1">
        <w:tc>
          <w:tcPr>
            <w:tcW w:w="3686" w:type="dxa"/>
            <w:shd w:val="clear" w:color="auto" w:fill="auto"/>
          </w:tcPr>
          <w:p w14:paraId="6D44800E" w14:textId="77777777" w:rsidR="00C6182B" w:rsidRPr="00C6182B" w:rsidRDefault="00C6182B" w:rsidP="007F45D1">
            <w:pPr>
              <w:pStyle w:val="Para0"/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lastRenderedPageBreak/>
              <w:t>Information to find and maintain the correct driveway</w:t>
            </w:r>
          </w:p>
        </w:tc>
        <w:tc>
          <w:tcPr>
            <w:tcW w:w="3969" w:type="dxa"/>
            <w:shd w:val="clear" w:color="auto" w:fill="auto"/>
          </w:tcPr>
          <w:p w14:paraId="77F1934A" w14:textId="77777777" w:rsidR="00C6182B" w:rsidRPr="00C6182B" w:rsidRDefault="00C6182B" w:rsidP="007F45D1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</w:rPr>
            </w:pPr>
            <w:r w:rsidRPr="00C6182B">
              <w:rPr>
                <w:b/>
                <w:bCs/>
              </w:rPr>
              <w:t>Navigation Information</w:t>
            </w:r>
          </w:p>
        </w:tc>
      </w:tr>
    </w:tbl>
    <w:p w14:paraId="3AE952AB" w14:textId="1AB20897" w:rsidR="00C6182B" w:rsidRPr="00C6182B" w:rsidRDefault="00C6182B" w:rsidP="007043F0">
      <w:pPr>
        <w:pStyle w:val="Para0"/>
        <w:jc w:val="right"/>
      </w:pPr>
      <w:r w:rsidRPr="00C6182B">
        <w:t>"</w:t>
      </w:r>
    </w:p>
    <w:p w14:paraId="6D41DBAD" w14:textId="449148CD" w:rsidR="00735ECE" w:rsidRPr="007043F0" w:rsidRDefault="007043F0" w:rsidP="007043F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35ECE" w:rsidRPr="007043F0" w:rsidSect="00FE2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D0D4" w14:textId="77777777" w:rsidR="00AB6C1C" w:rsidRDefault="00AB6C1C"/>
  </w:endnote>
  <w:endnote w:type="continuationSeparator" w:id="0">
    <w:p w14:paraId="04DC012E" w14:textId="77777777" w:rsidR="00AB6C1C" w:rsidRDefault="00AB6C1C"/>
  </w:endnote>
  <w:endnote w:type="continuationNotice" w:id="1">
    <w:p w14:paraId="56478397" w14:textId="77777777" w:rsidR="00AB6C1C" w:rsidRDefault="00AB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2A72" w14:textId="7A1ACE1D" w:rsidR="00735ECE" w:rsidRPr="00735ECE" w:rsidRDefault="00735ECE" w:rsidP="00735ECE">
    <w:pPr>
      <w:pStyle w:val="Pieddepage"/>
      <w:tabs>
        <w:tab w:val="right" w:pos="9638"/>
      </w:tabs>
      <w:rPr>
        <w:sz w:val="18"/>
      </w:rPr>
    </w:pP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8A62EC">
      <w:rPr>
        <w:b/>
        <w:noProof/>
        <w:sz w:val="18"/>
      </w:rPr>
      <w:t>2</w:t>
    </w:r>
    <w:r w:rsidRPr="00735E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5E69" w14:textId="5DC1E4C0" w:rsidR="00735ECE" w:rsidRPr="00735ECE" w:rsidRDefault="00735ECE" w:rsidP="00735ECE">
    <w:pPr>
      <w:pStyle w:val="Pieddepage"/>
      <w:tabs>
        <w:tab w:val="right" w:pos="9638"/>
      </w:tabs>
      <w:rPr>
        <w:b/>
        <w:sz w:val="18"/>
      </w:rPr>
    </w:pPr>
    <w:r>
      <w:tab/>
    </w: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8A62EC">
      <w:rPr>
        <w:b/>
        <w:noProof/>
        <w:sz w:val="18"/>
      </w:rPr>
      <w:t>3</w:t>
    </w:r>
    <w:r w:rsidRPr="00735E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C10F" w14:textId="77777777" w:rsidR="00AB6C1C" w:rsidRPr="000B175B" w:rsidRDefault="00AB6C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18CE0E" w14:textId="77777777" w:rsidR="00AB6C1C" w:rsidRPr="00FC68B7" w:rsidRDefault="00AB6C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5BEF5C" w14:textId="77777777" w:rsidR="00AB6C1C" w:rsidRDefault="00AB6C1C"/>
  </w:footnote>
  <w:footnote w:id="2">
    <w:p w14:paraId="2F42B3C5" w14:textId="2910B8AB" w:rsidR="00550308" w:rsidRPr="00550308" w:rsidRDefault="00550308" w:rsidP="00550308">
      <w:pPr>
        <w:pStyle w:val="Notedebasdepage"/>
        <w:ind w:hanging="283"/>
      </w:pPr>
      <w:r w:rsidRPr="00550308">
        <w:rPr>
          <w:rStyle w:val="Appelnotedebasdep"/>
        </w:rPr>
        <w:sym w:font="Symbol" w:char="F02A"/>
      </w:r>
      <w:r>
        <w:t xml:space="preserve"> </w:t>
      </w:r>
      <w:r>
        <w:rPr>
          <w:rStyle w:val="Appelnotedebasdep"/>
        </w:rPr>
        <w:tab/>
      </w:r>
      <w:r>
        <w:rPr>
          <w:rStyle w:val="Appelnotedebasdep"/>
          <w:sz w:val="20"/>
        </w:rP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>
        <w:rPr>
          <w:lang w:val="en-US"/>
        </w:rPr>
        <w:t>2020 as outlined in proposed programme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FFF7" w14:textId="6D1B887D" w:rsidR="00735ECE" w:rsidRPr="003613CD" w:rsidRDefault="003613CD" w:rsidP="003613CD">
    <w:pPr>
      <w:pStyle w:val="En-tte"/>
    </w:pPr>
    <w:r>
      <w:t>ECE/TRANS/WP.29/GRSG/20</w:t>
    </w:r>
    <w:r w:rsidR="00550308">
      <w:t>20</w:t>
    </w:r>
    <w:r>
      <w:t>/</w:t>
    </w:r>
    <w:r w:rsidR="00C6182B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5E4A" w14:textId="774F3FE6" w:rsidR="00735ECE" w:rsidRPr="00735ECE" w:rsidRDefault="00AB6C1C" w:rsidP="00735EC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0EB0">
      <w:t>ECE/TRANS/WP.29/GRSG/2019/19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CAA3" w14:textId="77777777" w:rsidR="00444332" w:rsidRPr="00444332" w:rsidRDefault="00444332" w:rsidP="00444332">
    <w:pPr>
      <w:pStyle w:val="En-tte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517583"/>
    <w:multiLevelType w:val="hybridMultilevel"/>
    <w:tmpl w:val="73A291FA"/>
    <w:lvl w:ilvl="0" w:tplc="D9680A6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E02ACE"/>
    <w:multiLevelType w:val="hybridMultilevel"/>
    <w:tmpl w:val="C382E42E"/>
    <w:lvl w:ilvl="0" w:tplc="1646BD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A0C4D1F"/>
    <w:multiLevelType w:val="hybridMultilevel"/>
    <w:tmpl w:val="9264709A"/>
    <w:lvl w:ilvl="0" w:tplc="DF00C5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23"/>
  </w:num>
  <w:num w:numId="18">
    <w:abstractNumId w:val="24"/>
  </w:num>
  <w:num w:numId="19">
    <w:abstractNumId w:val="11"/>
  </w:num>
  <w:num w:numId="20">
    <w:abstractNumId w:val="12"/>
  </w:num>
  <w:num w:numId="21">
    <w:abstractNumId w:val="25"/>
  </w:num>
  <w:num w:numId="22">
    <w:abstractNumId w:val="21"/>
  </w:num>
  <w:num w:numId="23">
    <w:abstractNumId w:val="22"/>
  </w:num>
  <w:num w:numId="24">
    <w:abstractNumId w:val="13"/>
  </w:num>
  <w:num w:numId="25">
    <w:abstractNumId w:val="19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5ECE"/>
    <w:rsid w:val="00002A7D"/>
    <w:rsid w:val="000038A8"/>
    <w:rsid w:val="00005DF3"/>
    <w:rsid w:val="00006790"/>
    <w:rsid w:val="000130BE"/>
    <w:rsid w:val="00027624"/>
    <w:rsid w:val="00050F6B"/>
    <w:rsid w:val="000678CD"/>
    <w:rsid w:val="00072C8C"/>
    <w:rsid w:val="00076180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116F"/>
    <w:rsid w:val="000F7715"/>
    <w:rsid w:val="00156B99"/>
    <w:rsid w:val="00166124"/>
    <w:rsid w:val="00173DA2"/>
    <w:rsid w:val="00184DDA"/>
    <w:rsid w:val="001900CD"/>
    <w:rsid w:val="001A0452"/>
    <w:rsid w:val="001B4B04"/>
    <w:rsid w:val="001B5875"/>
    <w:rsid w:val="001C058A"/>
    <w:rsid w:val="001C4B9C"/>
    <w:rsid w:val="001C6663"/>
    <w:rsid w:val="001C7895"/>
    <w:rsid w:val="001D26DF"/>
    <w:rsid w:val="001F1599"/>
    <w:rsid w:val="001F19C4"/>
    <w:rsid w:val="001F38F3"/>
    <w:rsid w:val="002043F0"/>
    <w:rsid w:val="00211E0B"/>
    <w:rsid w:val="00232575"/>
    <w:rsid w:val="00247258"/>
    <w:rsid w:val="00257CAC"/>
    <w:rsid w:val="002702BB"/>
    <w:rsid w:val="0027237A"/>
    <w:rsid w:val="002974E9"/>
    <w:rsid w:val="002A306B"/>
    <w:rsid w:val="002A7F94"/>
    <w:rsid w:val="002B109A"/>
    <w:rsid w:val="002C4F7B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13CD"/>
    <w:rsid w:val="0037472C"/>
    <w:rsid w:val="003A46BB"/>
    <w:rsid w:val="003A4EC7"/>
    <w:rsid w:val="003A7295"/>
    <w:rsid w:val="003B1F60"/>
    <w:rsid w:val="003C2CC4"/>
    <w:rsid w:val="003C3712"/>
    <w:rsid w:val="003D4B23"/>
    <w:rsid w:val="003E278A"/>
    <w:rsid w:val="00413520"/>
    <w:rsid w:val="004325CB"/>
    <w:rsid w:val="00440A07"/>
    <w:rsid w:val="00444332"/>
    <w:rsid w:val="00462880"/>
    <w:rsid w:val="00476F24"/>
    <w:rsid w:val="004A5D33"/>
    <w:rsid w:val="004B6526"/>
    <w:rsid w:val="004C55B0"/>
    <w:rsid w:val="004F6BA0"/>
    <w:rsid w:val="00503BEA"/>
    <w:rsid w:val="00533616"/>
    <w:rsid w:val="00534754"/>
    <w:rsid w:val="00535ABA"/>
    <w:rsid w:val="0053768B"/>
    <w:rsid w:val="005420F2"/>
    <w:rsid w:val="0054285C"/>
    <w:rsid w:val="00550308"/>
    <w:rsid w:val="00566EF2"/>
    <w:rsid w:val="00584173"/>
    <w:rsid w:val="00595520"/>
    <w:rsid w:val="005A44B9"/>
    <w:rsid w:val="005B1BA0"/>
    <w:rsid w:val="005B3DB3"/>
    <w:rsid w:val="005B45A4"/>
    <w:rsid w:val="005C0268"/>
    <w:rsid w:val="005D15CA"/>
    <w:rsid w:val="005D1854"/>
    <w:rsid w:val="005F08DF"/>
    <w:rsid w:val="005F3066"/>
    <w:rsid w:val="005F3E61"/>
    <w:rsid w:val="00604DDD"/>
    <w:rsid w:val="006115CC"/>
    <w:rsid w:val="00611FC4"/>
    <w:rsid w:val="006176FB"/>
    <w:rsid w:val="006214A4"/>
    <w:rsid w:val="00630FCB"/>
    <w:rsid w:val="00631128"/>
    <w:rsid w:val="00640B26"/>
    <w:rsid w:val="00647097"/>
    <w:rsid w:val="0065766B"/>
    <w:rsid w:val="006619F8"/>
    <w:rsid w:val="00665BC0"/>
    <w:rsid w:val="00675BE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43F0"/>
    <w:rsid w:val="0070701E"/>
    <w:rsid w:val="007256F1"/>
    <w:rsid w:val="0072632A"/>
    <w:rsid w:val="007358E8"/>
    <w:rsid w:val="00735ECE"/>
    <w:rsid w:val="00736ECE"/>
    <w:rsid w:val="00745260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879"/>
    <w:rsid w:val="007D6F65"/>
    <w:rsid w:val="007D7362"/>
    <w:rsid w:val="007E0EB0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09A1"/>
    <w:rsid w:val="0088172E"/>
    <w:rsid w:val="00881EFA"/>
    <w:rsid w:val="008879CB"/>
    <w:rsid w:val="008949C9"/>
    <w:rsid w:val="008979B1"/>
    <w:rsid w:val="008A62EC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22EE"/>
    <w:rsid w:val="009610D0"/>
    <w:rsid w:val="0096375C"/>
    <w:rsid w:val="009662E6"/>
    <w:rsid w:val="0097095E"/>
    <w:rsid w:val="009765F2"/>
    <w:rsid w:val="0098592B"/>
    <w:rsid w:val="00985FC4"/>
    <w:rsid w:val="00990766"/>
    <w:rsid w:val="00991261"/>
    <w:rsid w:val="009964C4"/>
    <w:rsid w:val="009A54F8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6C1C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3A6"/>
    <w:rsid w:val="00C131F3"/>
    <w:rsid w:val="00C26745"/>
    <w:rsid w:val="00C4206B"/>
    <w:rsid w:val="00C463DD"/>
    <w:rsid w:val="00C6182B"/>
    <w:rsid w:val="00C745C3"/>
    <w:rsid w:val="00C978F5"/>
    <w:rsid w:val="00CA24A4"/>
    <w:rsid w:val="00CB348D"/>
    <w:rsid w:val="00CC4932"/>
    <w:rsid w:val="00CD46F5"/>
    <w:rsid w:val="00CE4A8F"/>
    <w:rsid w:val="00CF071D"/>
    <w:rsid w:val="00D0123D"/>
    <w:rsid w:val="00D068F0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EB9"/>
    <w:rsid w:val="00D704E5"/>
    <w:rsid w:val="00D70CFC"/>
    <w:rsid w:val="00D72727"/>
    <w:rsid w:val="00D978C6"/>
    <w:rsid w:val="00DA0956"/>
    <w:rsid w:val="00DA1E05"/>
    <w:rsid w:val="00DA2B83"/>
    <w:rsid w:val="00DA357F"/>
    <w:rsid w:val="00DA3E12"/>
    <w:rsid w:val="00DB0DBA"/>
    <w:rsid w:val="00DC18AD"/>
    <w:rsid w:val="00DC2545"/>
    <w:rsid w:val="00DD3734"/>
    <w:rsid w:val="00DF7CAE"/>
    <w:rsid w:val="00E31286"/>
    <w:rsid w:val="00E344E0"/>
    <w:rsid w:val="00E37D3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EF76DD"/>
    <w:rsid w:val="00F0137E"/>
    <w:rsid w:val="00F04E44"/>
    <w:rsid w:val="00F15D1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611E"/>
    <w:rsid w:val="00FC03CD"/>
    <w:rsid w:val="00FC0646"/>
    <w:rsid w:val="00FC68B7"/>
    <w:rsid w:val="00FE29F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FCC5"/>
  <w15:docId w15:val="{460E2FA0-7C93-447F-8BAB-34267A0A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5_G_6"/>
    <w:basedOn w:val="Normal"/>
    <w:link w:val="NotedebasdepageC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rsid w:val="00F04E44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F04E44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NotedebasdepageCar">
    <w:name w:val="Note de bas de page Car"/>
    <w:aliases w:val="5_G Car,PP Car,5_G_6 Car"/>
    <w:link w:val="Notedebasdepage"/>
    <w:rsid w:val="00097003"/>
    <w:rPr>
      <w:sz w:val="18"/>
      <w:lang w:val="en-GB" w:eastAsia="en-US"/>
    </w:rPr>
  </w:style>
  <w:style w:type="paragraph" w:customStyle="1" w:styleId="Default">
    <w:name w:val="Default"/>
    <w:rsid w:val="00735E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ingleTxtGChar">
    <w:name w:val="_ Single Txt_G Char"/>
    <w:link w:val="SingleTxtG"/>
    <w:rsid w:val="00631128"/>
    <w:rPr>
      <w:lang w:val="en-GB"/>
    </w:rPr>
  </w:style>
  <w:style w:type="paragraph" w:customStyle="1" w:styleId="para">
    <w:name w:val="para"/>
    <w:basedOn w:val="Normal"/>
    <w:link w:val="paraChar"/>
    <w:rsid w:val="00631128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631128"/>
    <w:rPr>
      <w:snapToGrid w:val="0"/>
      <w:lang w:eastAsia="en-US"/>
    </w:rPr>
  </w:style>
  <w:style w:type="character" w:customStyle="1" w:styleId="HChGChar">
    <w:name w:val="_ H _Ch_G Char"/>
    <w:link w:val="HChG"/>
    <w:rsid w:val="00631128"/>
    <w:rPr>
      <w:b/>
      <w:sz w:val="28"/>
      <w:lang w:val="en-GB"/>
    </w:rPr>
  </w:style>
  <w:style w:type="character" w:customStyle="1" w:styleId="En-tteCar">
    <w:name w:val="En-tête Car"/>
    <w:aliases w:val="6_G Car"/>
    <w:basedOn w:val="Policepardfaut"/>
    <w:link w:val="En-tte"/>
    <w:rsid w:val="003613CD"/>
    <w:rPr>
      <w:b/>
      <w:sz w:val="18"/>
      <w:lang w:val="en-GB"/>
    </w:rPr>
  </w:style>
  <w:style w:type="paragraph" w:customStyle="1" w:styleId="Para0">
    <w:name w:val="Para"/>
    <w:basedOn w:val="Normal"/>
    <w:qFormat/>
    <w:rsid w:val="005B45A4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7020-E22D-4CD0-8BE9-C6D7176B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ECE/TRANS/WP.29/GRSG/2019/19</vt:lpstr>
      <vt:lpstr>ECE/TRANS/WP.29/GRSG/2019/19</vt:lpstr>
    </vt:vector>
  </TitlesOfParts>
  <Company>CSD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ECE/TRANS/WP.29/GRSG/2019/19</dc:title>
  <dc:subject>1912286</dc:subject>
  <dc:creator>Marie-Claude Collet</dc:creator>
  <cp:keywords/>
  <dc:description/>
  <cp:lastModifiedBy>BENOIT MOREAU - U161387</cp:lastModifiedBy>
  <cp:revision>5</cp:revision>
  <cp:lastPrinted>2020-01-20T14:52:00Z</cp:lastPrinted>
  <dcterms:created xsi:type="dcterms:W3CDTF">2020-10-19T08:48:00Z</dcterms:created>
  <dcterms:modified xsi:type="dcterms:W3CDTF">2020-10-19T09:25:00Z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U161387@INETPSA.COM</vt:lpwstr>
  </property>
  <property fmtid="{D5CDD505-2E9C-101B-9397-08002B2CF9AE}" pid="5" name="MSIP_Label_2fd53d93-3f4c-4b90-b511-bd6bdbb4fba9_SetDate">
    <vt:lpwstr>2020-10-19T08:47:56.4761616Z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