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E5C7" w14:textId="77777777" w:rsidR="00D87E97" w:rsidRPr="003674CB" w:rsidRDefault="00D87E97" w:rsidP="00D87E97">
      <w:pPr>
        <w:pStyle w:val="HChG"/>
        <w:spacing w:line="240" w:lineRule="atLeast"/>
        <w:jc w:val="both"/>
        <w:rPr>
          <w:lang w:val="en-GB"/>
        </w:rPr>
      </w:pPr>
      <w:r>
        <w:rPr>
          <w:lang w:val="en-US"/>
        </w:rPr>
        <w:tab/>
      </w:r>
      <w:r w:rsidRPr="003674CB">
        <w:rPr>
          <w:lang w:val="en-GB"/>
        </w:rPr>
        <w:t>12.</w:t>
      </w:r>
      <w:r w:rsidRPr="003674CB">
        <w:rPr>
          <w:lang w:val="en-GB"/>
        </w:rPr>
        <w:tab/>
      </w:r>
      <w:r w:rsidRPr="003674CB">
        <w:rPr>
          <w:lang w:val="en-GB"/>
        </w:rPr>
        <w:tab/>
        <w:t>Transitional provisions</w:t>
      </w:r>
    </w:p>
    <w:p w14:paraId="2C8BC30F" w14:textId="77777777" w:rsidR="00D87E97" w:rsidRPr="00E16EAA" w:rsidRDefault="00D87E97" w:rsidP="00D87E97">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08C6E008" w14:textId="4E7D793E" w:rsidR="00D87E97" w:rsidRDefault="00D87E97" w:rsidP="00D87E97">
      <w:pPr>
        <w:pStyle w:val="SingleTxtG"/>
        <w:ind w:left="2268" w:hanging="1134"/>
        <w:rPr>
          <w:iCs/>
          <w:color w:val="000000"/>
          <w:lang w:val="en-US"/>
        </w:rPr>
      </w:pPr>
      <w:r w:rsidRPr="00E16EAA">
        <w:rPr>
          <w:iCs/>
          <w:color w:val="000000"/>
          <w:lang w:val="en-US"/>
        </w:rPr>
        <w:t>12.2.</w:t>
      </w:r>
      <w:r w:rsidRPr="00E16EAA">
        <w:rPr>
          <w:iCs/>
          <w:color w:val="000000"/>
          <w:lang w:val="en-US"/>
        </w:rPr>
        <w:tab/>
        <w:t xml:space="preserve">As </w:t>
      </w:r>
      <w:r w:rsidRPr="0084571D">
        <w:rPr>
          <w:iCs/>
          <w:color w:val="000000"/>
          <w:lang w:val="en-US"/>
        </w:rPr>
        <w:t>from</w:t>
      </w:r>
      <w:r w:rsidRPr="00E16EAA">
        <w:rPr>
          <w:iCs/>
          <w:color w:val="000000"/>
          <w:lang w:val="en-US"/>
        </w:rPr>
        <w:t xml:space="preserve"> 6 July 2022, for vehicle types of category M</w:t>
      </w:r>
      <w:r w:rsidRPr="00E16EAA">
        <w:rPr>
          <w:iCs/>
          <w:color w:val="000000"/>
          <w:vertAlign w:val="subscript"/>
          <w:lang w:val="en-US"/>
        </w:rPr>
        <w:t>1</w:t>
      </w:r>
      <w:r w:rsidRPr="00E16EAA">
        <w:rPr>
          <w:iCs/>
          <w:color w:val="000000"/>
          <w:lang w:val="en-US"/>
        </w:rPr>
        <w:t xml:space="preserve"> </w:t>
      </w:r>
      <w:r w:rsidR="00186999">
        <w:rPr>
          <w:iCs/>
          <w:color w:val="000000"/>
          <w:lang w:val="en-US"/>
        </w:rPr>
        <w:t>(</w:t>
      </w:r>
      <w:r w:rsidR="00186999" w:rsidRPr="00186999">
        <w:rPr>
          <w:iCs/>
          <w:color w:val="000000"/>
          <w:lang w:val="en-US"/>
        </w:rPr>
        <w:sym w:font="Wingdings" w:char="F0E8"/>
      </w:r>
      <w:r w:rsidR="00186999">
        <w:rPr>
          <w:iCs/>
          <w:color w:val="FF0000"/>
          <w:lang w:val="en-US"/>
        </w:rPr>
        <w:t>M</w:t>
      </w:r>
      <w:r w:rsidR="00186999" w:rsidRPr="0084571D">
        <w:rPr>
          <w:iCs/>
          <w:color w:val="FF0000"/>
          <w:vertAlign w:val="subscript"/>
          <w:lang w:val="en-US"/>
        </w:rPr>
        <w:t>1</w:t>
      </w:r>
      <w:r w:rsidR="00186999" w:rsidRPr="00A14DF8">
        <w:rPr>
          <w:iCs/>
          <w:color w:val="FF0000"/>
          <w:lang w:val="en-US"/>
        </w:rPr>
        <w:t xml:space="preserve"> </w:t>
      </w:r>
      <w:r w:rsidR="00186999">
        <w:rPr>
          <w:iCs/>
          <w:color w:val="FF0000"/>
          <w:lang w:val="en-US"/>
        </w:rPr>
        <w:t xml:space="preserve">not </w:t>
      </w:r>
      <w:r w:rsidR="00186999" w:rsidRPr="00A14DF8">
        <w:rPr>
          <w:color w:val="FF0000"/>
          <w:lang w:val="en-US"/>
        </w:rPr>
        <w:t>fitted with dual wheels on an axle</w:t>
      </w:r>
      <w:r w:rsidR="00186999">
        <w:rPr>
          <w:lang w:val="en-US"/>
        </w:rPr>
        <w:t xml:space="preserve">) </w:t>
      </w:r>
      <w:r w:rsidRPr="0017689E">
        <w:rPr>
          <w:iCs/>
          <w:color w:val="000000"/>
          <w:highlight w:val="yellow"/>
          <w:lang w:val="en-US"/>
        </w:rPr>
        <w:t>and</w:t>
      </w:r>
      <w:r w:rsidR="0017689E" w:rsidRPr="0017689E">
        <w:rPr>
          <w:iCs/>
          <w:strike/>
          <w:color w:val="000000"/>
          <w:highlight w:val="yellow"/>
          <w:lang w:val="en-US"/>
        </w:rPr>
        <w:t xml:space="preserve"> </w:t>
      </w:r>
      <w:r w:rsidR="0017689E" w:rsidRPr="0017689E">
        <w:rPr>
          <w:iCs/>
          <w:color w:val="000000"/>
          <w:highlight w:val="yellow"/>
          <w:lang w:val="en-US"/>
        </w:rPr>
        <w:t>N</w:t>
      </w:r>
      <w:r w:rsidR="0017689E" w:rsidRPr="0017689E">
        <w:rPr>
          <w:iCs/>
          <w:color w:val="000000"/>
          <w:highlight w:val="yellow"/>
          <w:vertAlign w:val="subscript"/>
          <w:lang w:val="en-US"/>
        </w:rPr>
        <w:t>1</w:t>
      </w:r>
      <w:r w:rsidRPr="0017689E">
        <w:rPr>
          <w:iCs/>
          <w:strike/>
          <w:color w:val="000000"/>
          <w:lang w:val="en-US"/>
        </w:rPr>
        <w:t xml:space="preserve"> as from 6 July 2024 for vehicle types of other categories than M</w:t>
      </w:r>
      <w:r w:rsidRPr="0017689E">
        <w:rPr>
          <w:iCs/>
          <w:strike/>
          <w:color w:val="000000"/>
          <w:vertAlign w:val="subscript"/>
          <w:lang w:val="en-US"/>
        </w:rPr>
        <w:t>1</w:t>
      </w:r>
      <w:r w:rsidR="00A14DF8" w:rsidRPr="0017689E">
        <w:rPr>
          <w:iCs/>
          <w:strike/>
          <w:color w:val="000000"/>
          <w:lang w:val="en-US"/>
        </w:rPr>
        <w:t xml:space="preserve"> </w:t>
      </w:r>
      <w:r w:rsidR="00A14DF8" w:rsidRPr="0017689E">
        <w:rPr>
          <w:iCs/>
          <w:color w:val="000000"/>
          <w:lang w:val="en-US"/>
        </w:rPr>
        <w:t>(</w:t>
      </w:r>
      <w:r w:rsidR="00186999" w:rsidRPr="0017689E">
        <w:rPr>
          <w:iCs/>
          <w:color w:val="000000"/>
          <w:lang w:val="en-US"/>
        </w:rPr>
        <w:sym w:font="Wingdings" w:char="F0E8"/>
      </w:r>
      <w:r w:rsidR="00A14DF8" w:rsidRPr="0017689E">
        <w:rPr>
          <w:iCs/>
          <w:color w:val="FF0000"/>
          <w:lang w:val="en-US"/>
        </w:rPr>
        <w:t>N</w:t>
      </w:r>
      <w:r w:rsidR="00A14DF8" w:rsidRPr="0017689E">
        <w:rPr>
          <w:iCs/>
          <w:color w:val="FF0000"/>
          <w:vertAlign w:val="subscript"/>
          <w:lang w:val="en-US"/>
        </w:rPr>
        <w:t>1</w:t>
      </w:r>
      <w:r w:rsidR="00A14DF8" w:rsidRPr="0017689E">
        <w:rPr>
          <w:iCs/>
          <w:color w:val="FF0000"/>
          <w:lang w:val="en-US"/>
        </w:rPr>
        <w:t xml:space="preserve"> </w:t>
      </w:r>
      <w:r w:rsidR="00186999" w:rsidRPr="0017689E">
        <w:rPr>
          <w:iCs/>
          <w:color w:val="FF0000"/>
          <w:lang w:val="en-US"/>
        </w:rPr>
        <w:t xml:space="preserve">not </w:t>
      </w:r>
      <w:r w:rsidR="00A14DF8" w:rsidRPr="0017689E">
        <w:rPr>
          <w:color w:val="FF0000"/>
          <w:lang w:val="en-US"/>
        </w:rPr>
        <w:t>fitted</w:t>
      </w:r>
      <w:r w:rsidR="0084571D" w:rsidRPr="0017689E">
        <w:rPr>
          <w:color w:val="FF0000"/>
          <w:lang w:val="en-US"/>
        </w:rPr>
        <w:t xml:space="preserve"> </w:t>
      </w:r>
      <w:r w:rsidR="00A14DF8" w:rsidRPr="0017689E">
        <w:rPr>
          <w:color w:val="FF0000"/>
          <w:lang w:val="en-US"/>
        </w:rPr>
        <w:t>with dual wheels on an axle</w:t>
      </w:r>
      <w:r w:rsidR="00A14DF8" w:rsidRPr="0017689E">
        <w:rPr>
          <w:strike/>
          <w:lang w:val="en-US"/>
        </w:rPr>
        <w:t>)</w:t>
      </w:r>
      <w:r w:rsidRPr="00E16EAA">
        <w:rPr>
          <w:iCs/>
          <w:color w:val="000000"/>
          <w:lang w:val="en-US"/>
        </w:rPr>
        <w:t xml:space="preserve">, Contracting Parties applying this Regulation </w:t>
      </w:r>
      <w:r w:rsidRPr="0084571D">
        <w:rPr>
          <w:iCs/>
          <w:color w:val="000000"/>
          <w:lang w:val="en-US"/>
        </w:rPr>
        <w:t>shall not be obliged to accept type approvals to the preceding series</w:t>
      </w:r>
      <w:r w:rsidRPr="00E16EAA">
        <w:rPr>
          <w:iCs/>
          <w:color w:val="000000"/>
          <w:lang w:val="en-US"/>
        </w:rPr>
        <w:t xml:space="preserve"> of amendments, first issued after 6 July 2022.</w:t>
      </w:r>
    </w:p>
    <w:p w14:paraId="508D549E" w14:textId="77777777" w:rsidR="0084571D" w:rsidRDefault="0084571D" w:rsidP="0084571D">
      <w:pPr>
        <w:pStyle w:val="SingleTxtG"/>
        <w:ind w:left="2268"/>
        <w:rPr>
          <w:iCs/>
          <w:color w:val="000000"/>
          <w:lang w:val="en-US"/>
        </w:rPr>
      </w:pPr>
      <w:commentRangeStart w:id="0"/>
      <w:r w:rsidRPr="0084571D">
        <w:rPr>
          <w:iCs/>
          <w:color w:val="000000"/>
          <w:highlight w:val="yellow"/>
          <w:lang w:val="en-US"/>
        </w:rPr>
        <w:t>as from … shall not be obliged to accept .. first issued after …</w:t>
      </w:r>
      <w:commentRangeEnd w:id="0"/>
      <w:r w:rsidR="008D4C51">
        <w:rPr>
          <w:rStyle w:val="CommentReference"/>
        </w:rPr>
        <w:commentReference w:id="0"/>
      </w:r>
    </w:p>
    <w:p w14:paraId="58F416B3" w14:textId="77777777" w:rsidR="0084571D" w:rsidRPr="00E16EAA" w:rsidRDefault="0084571D" w:rsidP="00D87E97">
      <w:pPr>
        <w:pStyle w:val="SingleTxtG"/>
        <w:ind w:left="2268" w:hanging="1134"/>
        <w:rPr>
          <w:iCs/>
          <w:color w:val="000000"/>
          <w:lang w:val="en-US"/>
        </w:rPr>
      </w:pPr>
    </w:p>
    <w:p w14:paraId="2717C10C" w14:textId="77777777" w:rsidR="00D87E97" w:rsidRDefault="00D87E97" w:rsidP="00D87E97">
      <w:pPr>
        <w:pStyle w:val="SingleTxtG"/>
        <w:ind w:left="2268" w:hanging="1134"/>
        <w:rPr>
          <w:iCs/>
          <w:color w:val="000000"/>
          <w:lang w:val="en-US"/>
        </w:rPr>
      </w:pPr>
      <w:r w:rsidRPr="00E16EAA">
        <w:rPr>
          <w:iCs/>
          <w:color w:val="000000"/>
          <w:lang w:val="en-US"/>
        </w:rPr>
        <w:t>12.3.</w:t>
      </w:r>
      <w:r w:rsidRPr="00E16EAA">
        <w:rPr>
          <w:iCs/>
          <w:color w:val="000000"/>
          <w:lang w:val="en-US"/>
        </w:rPr>
        <w:tab/>
      </w:r>
      <w:r w:rsidRPr="00186999">
        <w:rPr>
          <w:iCs/>
          <w:color w:val="000000"/>
          <w:highlight w:val="yellow"/>
          <w:lang w:val="en-US"/>
        </w:rPr>
        <w:t>Until</w:t>
      </w:r>
      <w:r w:rsidRPr="00E16EAA">
        <w:rPr>
          <w:iCs/>
          <w:color w:val="000000"/>
          <w:lang w:val="en-US"/>
        </w:rPr>
        <w:t xml:space="preserve"> 6 July 2022, for vehicle types of category M</w:t>
      </w:r>
      <w:r w:rsidRPr="00E16EAA">
        <w:rPr>
          <w:iCs/>
          <w:color w:val="000000"/>
          <w:vertAlign w:val="subscript"/>
          <w:lang w:val="en-US"/>
        </w:rPr>
        <w:t>1</w:t>
      </w:r>
      <w:r w:rsidRPr="00E16EAA">
        <w:rPr>
          <w:iCs/>
          <w:color w:val="000000"/>
          <w:lang w:val="en-US"/>
        </w:rPr>
        <w:t xml:space="preserve"> </w:t>
      </w:r>
      <w:r w:rsidR="00186999">
        <w:rPr>
          <w:iCs/>
          <w:color w:val="000000"/>
          <w:lang w:val="en-US"/>
        </w:rPr>
        <w:t>(</w:t>
      </w:r>
      <w:r w:rsidR="00186999" w:rsidRPr="00186999">
        <w:rPr>
          <w:iCs/>
          <w:color w:val="000000"/>
          <w:lang w:val="en-US"/>
        </w:rPr>
        <w:sym w:font="Wingdings" w:char="F0E8"/>
      </w:r>
      <w:r w:rsidR="00186999">
        <w:rPr>
          <w:iCs/>
          <w:color w:val="FF0000"/>
          <w:lang w:val="en-US"/>
        </w:rPr>
        <w:t>M</w:t>
      </w:r>
      <w:r w:rsidR="00186999" w:rsidRPr="0084571D">
        <w:rPr>
          <w:iCs/>
          <w:color w:val="FF0000"/>
          <w:vertAlign w:val="subscript"/>
          <w:lang w:val="en-US"/>
        </w:rPr>
        <w:t>1</w:t>
      </w:r>
      <w:r w:rsidR="00186999" w:rsidRPr="00A14DF8">
        <w:rPr>
          <w:iCs/>
          <w:color w:val="FF0000"/>
          <w:lang w:val="en-US"/>
        </w:rPr>
        <w:t xml:space="preserve"> not </w:t>
      </w:r>
      <w:r w:rsidR="00186999" w:rsidRPr="00A14DF8">
        <w:rPr>
          <w:color w:val="FF0000"/>
          <w:lang w:val="en-US"/>
        </w:rPr>
        <w:t>fitted with dual wheels on an axle</w:t>
      </w:r>
      <w:r w:rsidR="00186999">
        <w:rPr>
          <w:lang w:val="en-US"/>
        </w:rPr>
        <w:t xml:space="preserve">) </w:t>
      </w:r>
      <w:r w:rsidRPr="00E16EAA">
        <w:rPr>
          <w:iCs/>
          <w:color w:val="000000"/>
          <w:lang w:val="en-US"/>
        </w:rPr>
        <w:t>and until 6 July 2024 for vehicle types of other categories than M</w:t>
      </w:r>
      <w:r w:rsidRPr="00E16EAA">
        <w:rPr>
          <w:iCs/>
          <w:color w:val="000000"/>
          <w:vertAlign w:val="subscript"/>
          <w:lang w:val="en-US"/>
        </w:rPr>
        <w:t>1</w:t>
      </w:r>
      <w:r w:rsidR="00186999">
        <w:rPr>
          <w:iCs/>
          <w:color w:val="000000"/>
          <w:lang w:val="en-US"/>
        </w:rPr>
        <w:t xml:space="preserve"> (</w:t>
      </w:r>
      <w:r w:rsidR="00186999" w:rsidRPr="00186999">
        <w:rPr>
          <w:iCs/>
          <w:color w:val="000000"/>
          <w:lang w:val="en-US"/>
        </w:rPr>
        <w:sym w:font="Wingdings" w:char="F0E8"/>
      </w:r>
      <w:r w:rsidR="00186999" w:rsidRPr="00A14DF8">
        <w:rPr>
          <w:iCs/>
          <w:color w:val="FF0000"/>
          <w:lang w:val="en-US"/>
        </w:rPr>
        <w:t>N</w:t>
      </w:r>
      <w:r w:rsidR="00186999" w:rsidRPr="0084571D">
        <w:rPr>
          <w:iCs/>
          <w:color w:val="FF0000"/>
          <w:vertAlign w:val="subscript"/>
          <w:lang w:val="en-US"/>
        </w:rPr>
        <w:t>1</w:t>
      </w:r>
      <w:r w:rsidR="00186999" w:rsidRPr="00A14DF8">
        <w:rPr>
          <w:iCs/>
          <w:color w:val="FF0000"/>
          <w:lang w:val="en-US"/>
        </w:rPr>
        <w:t xml:space="preserve"> not </w:t>
      </w:r>
      <w:r w:rsidR="00186999" w:rsidRPr="00A14DF8">
        <w:rPr>
          <w:color w:val="FF0000"/>
          <w:lang w:val="en-US"/>
        </w:rPr>
        <w:t>fitted with dual wheels on an axle</w:t>
      </w:r>
      <w:r w:rsidR="00186999">
        <w:rPr>
          <w:lang w:val="en-US"/>
        </w:rPr>
        <w:t>)</w:t>
      </w:r>
      <w:r w:rsidRPr="00E16EAA">
        <w:rPr>
          <w:iCs/>
          <w:color w:val="000000"/>
          <w:lang w:val="en-US"/>
        </w:rPr>
        <w:t xml:space="preserve">, Contracting Parties applying this Regulation </w:t>
      </w:r>
      <w:r w:rsidRPr="00186999">
        <w:rPr>
          <w:iCs/>
          <w:color w:val="000000"/>
          <w:highlight w:val="yellow"/>
          <w:lang w:val="en-US"/>
        </w:rPr>
        <w:t>shall accept</w:t>
      </w:r>
      <w:r w:rsidRPr="00E16EAA">
        <w:rPr>
          <w:iCs/>
          <w:color w:val="000000"/>
          <w:lang w:val="en-US"/>
        </w:rPr>
        <w:t xml:space="preserve"> type approvals </w:t>
      </w:r>
      <w:r w:rsidRPr="00186999">
        <w:rPr>
          <w:iCs/>
          <w:color w:val="000000"/>
          <w:highlight w:val="yellow"/>
          <w:lang w:val="en-US"/>
        </w:rPr>
        <w:t>to the preceding series</w:t>
      </w:r>
      <w:r w:rsidRPr="00E16EAA">
        <w:rPr>
          <w:iCs/>
          <w:color w:val="000000"/>
          <w:lang w:val="en-US"/>
        </w:rPr>
        <w:t xml:space="preserve"> of amendments, first issued before 6 July 2022.</w:t>
      </w:r>
    </w:p>
    <w:p w14:paraId="5555B20A" w14:textId="77777777" w:rsidR="0084571D" w:rsidRDefault="0084571D" w:rsidP="0084571D">
      <w:pPr>
        <w:pStyle w:val="SingleTxtG"/>
        <w:ind w:left="2268"/>
        <w:rPr>
          <w:iCs/>
          <w:color w:val="000000"/>
          <w:lang w:val="en-US"/>
        </w:rPr>
      </w:pPr>
      <w:commentRangeStart w:id="1"/>
      <w:r>
        <w:rPr>
          <w:iCs/>
          <w:color w:val="000000"/>
          <w:highlight w:val="yellow"/>
          <w:lang w:val="en-US"/>
        </w:rPr>
        <w:t>until</w:t>
      </w:r>
      <w:r w:rsidRPr="0084571D">
        <w:rPr>
          <w:iCs/>
          <w:color w:val="000000"/>
          <w:highlight w:val="yellow"/>
          <w:lang w:val="en-US"/>
        </w:rPr>
        <w:t xml:space="preserve"> … shall accept .. first issued </w:t>
      </w:r>
      <w:r>
        <w:rPr>
          <w:iCs/>
          <w:color w:val="000000"/>
          <w:highlight w:val="yellow"/>
          <w:lang w:val="en-US"/>
        </w:rPr>
        <w:t>before</w:t>
      </w:r>
      <w:r w:rsidRPr="0084571D">
        <w:rPr>
          <w:iCs/>
          <w:color w:val="000000"/>
          <w:highlight w:val="yellow"/>
          <w:lang w:val="en-US"/>
        </w:rPr>
        <w:t xml:space="preserve"> …</w:t>
      </w:r>
      <w:commentRangeEnd w:id="1"/>
      <w:r w:rsidR="008A23EA">
        <w:rPr>
          <w:rStyle w:val="CommentReference"/>
        </w:rPr>
        <w:commentReference w:id="1"/>
      </w:r>
    </w:p>
    <w:p w14:paraId="539C0AD0" w14:textId="77777777" w:rsidR="0084571D" w:rsidRPr="00E16EAA" w:rsidRDefault="0084571D" w:rsidP="00D87E97">
      <w:pPr>
        <w:pStyle w:val="SingleTxtG"/>
        <w:ind w:left="2268" w:hanging="1134"/>
        <w:rPr>
          <w:iCs/>
          <w:color w:val="000000"/>
          <w:lang w:val="en-US"/>
        </w:rPr>
      </w:pPr>
    </w:p>
    <w:p w14:paraId="2457BDF5" w14:textId="77777777" w:rsidR="00D87E97" w:rsidRDefault="00D87E97" w:rsidP="00D87E97">
      <w:pPr>
        <w:pStyle w:val="SingleTxtG"/>
        <w:ind w:left="2268" w:hanging="1134"/>
        <w:rPr>
          <w:iCs/>
          <w:color w:val="000000"/>
          <w:lang w:val="en-US"/>
        </w:rPr>
      </w:pPr>
      <w:r w:rsidRPr="00E16EAA">
        <w:rPr>
          <w:iCs/>
          <w:color w:val="000000"/>
          <w:lang w:val="en-US"/>
        </w:rPr>
        <w:t>12.4.</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w:t>
      </w:r>
      <w:r w:rsidR="0084571D">
        <w:rPr>
          <w:iCs/>
          <w:color w:val="000000"/>
          <w:lang w:val="en-US"/>
        </w:rPr>
        <w:t>(</w:t>
      </w:r>
      <w:r w:rsidR="0084571D" w:rsidRPr="00186999">
        <w:rPr>
          <w:iCs/>
          <w:color w:val="000000"/>
          <w:lang w:val="en-US"/>
        </w:rPr>
        <w:sym w:font="Wingdings" w:char="F0E8"/>
      </w:r>
      <w:r w:rsidR="0084571D">
        <w:rPr>
          <w:iCs/>
          <w:color w:val="FF0000"/>
          <w:lang w:val="en-US"/>
        </w:rPr>
        <w:t>M</w:t>
      </w:r>
      <w:r w:rsidR="0084571D" w:rsidRPr="0084571D">
        <w:rPr>
          <w:iCs/>
          <w:color w:val="FF0000"/>
          <w:vertAlign w:val="subscript"/>
          <w:lang w:val="en-US"/>
        </w:rPr>
        <w:t>1</w:t>
      </w:r>
      <w:r w:rsidR="0084571D" w:rsidRPr="00A14DF8">
        <w:rPr>
          <w:iCs/>
          <w:color w:val="FF0000"/>
          <w:lang w:val="en-US"/>
        </w:rPr>
        <w:t xml:space="preserve"> not </w:t>
      </w:r>
      <w:r w:rsidR="0084571D" w:rsidRPr="00A14DF8">
        <w:rPr>
          <w:color w:val="FF0000"/>
          <w:lang w:val="en-US"/>
        </w:rPr>
        <w:t>fitted with dual wheels on an axle</w:t>
      </w:r>
      <w:r w:rsidR="0084571D">
        <w:rPr>
          <w:lang w:val="en-US"/>
        </w:rPr>
        <w:t xml:space="preserve">) </w:t>
      </w:r>
      <w:r w:rsidRPr="00E16EAA">
        <w:rPr>
          <w:iCs/>
          <w:color w:val="000000"/>
          <w:lang w:val="en-US"/>
        </w:rPr>
        <w:t>and as from 6 July 2024 for vehicle types of other categories than M</w:t>
      </w:r>
      <w:r w:rsidRPr="00E16EAA">
        <w:rPr>
          <w:iCs/>
          <w:color w:val="000000"/>
          <w:vertAlign w:val="subscript"/>
          <w:lang w:val="en-US"/>
        </w:rPr>
        <w:t>1</w:t>
      </w:r>
      <w:r w:rsidR="0084571D">
        <w:rPr>
          <w:iCs/>
          <w:color w:val="000000"/>
          <w:lang w:val="en-US"/>
        </w:rPr>
        <w:t xml:space="preserve"> (</w:t>
      </w:r>
      <w:r w:rsidR="0084571D" w:rsidRPr="00186999">
        <w:rPr>
          <w:iCs/>
          <w:color w:val="000000"/>
          <w:lang w:val="en-US"/>
        </w:rPr>
        <w:sym w:font="Wingdings" w:char="F0E8"/>
      </w:r>
      <w:r w:rsidR="0084571D" w:rsidRPr="00A14DF8">
        <w:rPr>
          <w:iCs/>
          <w:color w:val="FF0000"/>
          <w:lang w:val="en-US"/>
        </w:rPr>
        <w:t>N</w:t>
      </w:r>
      <w:r w:rsidR="0084571D" w:rsidRPr="0084571D">
        <w:rPr>
          <w:iCs/>
          <w:color w:val="FF0000"/>
          <w:vertAlign w:val="subscript"/>
          <w:lang w:val="en-US"/>
        </w:rPr>
        <w:t>1</w:t>
      </w:r>
      <w:r w:rsidR="0084571D" w:rsidRPr="00A14DF8">
        <w:rPr>
          <w:iCs/>
          <w:color w:val="FF0000"/>
          <w:lang w:val="en-US"/>
        </w:rPr>
        <w:t xml:space="preserve"> not </w:t>
      </w:r>
      <w:r w:rsidR="0084571D" w:rsidRPr="00A14DF8">
        <w:rPr>
          <w:color w:val="FF0000"/>
          <w:lang w:val="en-US"/>
        </w:rPr>
        <w:t>fitted with dual wheels on an axle</w:t>
      </w:r>
      <w:r w:rsidR="0084571D">
        <w:rPr>
          <w:lang w:val="en-US"/>
        </w:rPr>
        <w:t>)</w:t>
      </w:r>
      <w:r w:rsidRPr="00E16EAA">
        <w:rPr>
          <w:iCs/>
          <w:color w:val="000000"/>
          <w:lang w:val="en-US"/>
        </w:rPr>
        <w:t>,</w:t>
      </w:r>
      <w:r>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51F2529" w14:textId="77777777" w:rsidR="0084571D" w:rsidRDefault="0084571D" w:rsidP="0084571D">
      <w:pPr>
        <w:pStyle w:val="SingleTxtG"/>
        <w:ind w:left="2268"/>
        <w:rPr>
          <w:iCs/>
          <w:color w:val="000000"/>
          <w:lang w:val="en-US"/>
        </w:rPr>
      </w:pPr>
      <w:commentRangeStart w:id="2"/>
      <w:r w:rsidRPr="0084571D">
        <w:rPr>
          <w:iCs/>
          <w:color w:val="000000"/>
          <w:highlight w:val="yellow"/>
          <w:lang w:val="en-US"/>
        </w:rPr>
        <w:t xml:space="preserve">as from … shall not be obliged to accept .. issued </w:t>
      </w:r>
      <w:r>
        <w:rPr>
          <w:iCs/>
          <w:color w:val="000000"/>
          <w:highlight w:val="yellow"/>
          <w:lang w:val="en-US"/>
        </w:rPr>
        <w:t xml:space="preserve">to </w:t>
      </w:r>
      <w:r w:rsidRPr="0084571D">
        <w:rPr>
          <w:iCs/>
          <w:color w:val="000000"/>
          <w:highlight w:val="yellow"/>
          <w:lang w:val="en-US"/>
        </w:rPr>
        <w:t>…</w:t>
      </w:r>
      <w:commentRangeEnd w:id="2"/>
      <w:r w:rsidR="00EE27D4">
        <w:rPr>
          <w:rStyle w:val="CommentReference"/>
        </w:rPr>
        <w:commentReference w:id="2"/>
      </w:r>
    </w:p>
    <w:p w14:paraId="26E188D6" w14:textId="77777777" w:rsidR="0084571D" w:rsidRPr="00E16EAA" w:rsidRDefault="0084571D" w:rsidP="00D87E97">
      <w:pPr>
        <w:pStyle w:val="SingleTxtG"/>
        <w:ind w:left="2268" w:hanging="1134"/>
        <w:rPr>
          <w:iCs/>
          <w:color w:val="000000"/>
          <w:lang w:val="en-US"/>
        </w:rPr>
      </w:pPr>
    </w:p>
    <w:p w14:paraId="354B45A5" w14:textId="77777777" w:rsidR="00D87E97" w:rsidRPr="00E16EAA" w:rsidRDefault="00D87E97" w:rsidP="00D87E97">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Pr>
          <w:iCs/>
          <w:color w:val="000000"/>
          <w:lang w:val="en-US"/>
        </w:rPr>
        <w:t>/</w:t>
      </w:r>
      <w:r w:rsidRPr="00E16EAA">
        <w:rPr>
          <w:iCs/>
          <w:color w:val="000000"/>
          <w:lang w:val="en-US"/>
        </w:rPr>
        <w:t>are only obliged to accept type approval granted in accordance with the 01 series of amendments.</w:t>
      </w:r>
    </w:p>
    <w:p w14:paraId="23BBA4DB" w14:textId="77777777" w:rsidR="00D87E97" w:rsidRDefault="00D87E97" w:rsidP="00D87E97">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r w:rsidR="0084571D">
        <w:rPr>
          <w:iCs/>
          <w:color w:val="000000"/>
          <w:lang w:val="en-US"/>
        </w:rPr>
        <w:t xml:space="preserve"> </w:t>
      </w:r>
      <w:r w:rsidR="0084571D" w:rsidRPr="00E16EAA">
        <w:rPr>
          <w:iCs/>
          <w:color w:val="000000"/>
          <w:lang w:val="en-US"/>
        </w:rPr>
        <w:t>M</w:t>
      </w:r>
      <w:r w:rsidR="0084571D" w:rsidRPr="00E16EAA">
        <w:rPr>
          <w:iCs/>
          <w:color w:val="000000"/>
          <w:vertAlign w:val="subscript"/>
          <w:lang w:val="en-US"/>
        </w:rPr>
        <w:t>1</w:t>
      </w:r>
      <w:r w:rsidR="0084571D">
        <w:rPr>
          <w:iCs/>
          <w:color w:val="000000"/>
          <w:lang w:val="en-US"/>
        </w:rPr>
        <w:t xml:space="preserve"> (</w:t>
      </w:r>
      <w:r w:rsidR="0084571D" w:rsidRPr="00186999">
        <w:rPr>
          <w:iCs/>
          <w:color w:val="000000"/>
          <w:lang w:val="en-US"/>
        </w:rPr>
        <w:sym w:font="Wingdings" w:char="F0E8"/>
      </w:r>
      <w:r w:rsidR="0084571D" w:rsidRPr="0084571D">
        <w:rPr>
          <w:iCs/>
          <w:color w:val="FF0000"/>
          <w:lang w:val="en-US"/>
        </w:rPr>
        <w:t>M</w:t>
      </w:r>
      <w:r w:rsidR="0084571D" w:rsidRPr="0084571D">
        <w:rPr>
          <w:iCs/>
          <w:color w:val="FF0000"/>
          <w:vertAlign w:val="subscript"/>
          <w:lang w:val="en-US"/>
        </w:rPr>
        <w:t>1</w:t>
      </w:r>
      <w:r w:rsidR="0084571D" w:rsidRPr="0084571D">
        <w:rPr>
          <w:iCs/>
          <w:color w:val="FF0000"/>
          <w:lang w:val="en-US"/>
        </w:rPr>
        <w:t xml:space="preserve"> &amp; N</w:t>
      </w:r>
      <w:r w:rsidR="0084571D" w:rsidRPr="0084571D">
        <w:rPr>
          <w:iCs/>
          <w:color w:val="FF0000"/>
          <w:vertAlign w:val="subscript"/>
          <w:lang w:val="en-US"/>
        </w:rPr>
        <w:t>1</w:t>
      </w:r>
      <w:r w:rsidR="0084571D" w:rsidRPr="0084571D">
        <w:rPr>
          <w:iCs/>
          <w:color w:val="FF0000"/>
          <w:lang w:val="en-US"/>
        </w:rPr>
        <w:t xml:space="preserve"> </w:t>
      </w:r>
      <w:r w:rsidR="0084571D" w:rsidRPr="00A14DF8">
        <w:rPr>
          <w:iCs/>
          <w:color w:val="FF0000"/>
          <w:lang w:val="en-US"/>
        </w:rPr>
        <w:t xml:space="preserve">not </w:t>
      </w:r>
      <w:r w:rsidR="0084571D" w:rsidRPr="00A14DF8">
        <w:rPr>
          <w:color w:val="FF0000"/>
          <w:lang w:val="en-US"/>
        </w:rPr>
        <w:t>fitted with dual wheels on an axle</w:t>
      </w:r>
      <w:r w:rsidR="0084571D">
        <w:rPr>
          <w:lang w:val="en-US"/>
        </w:rPr>
        <w:t>)</w:t>
      </w:r>
      <w:r w:rsidRPr="00E16EAA">
        <w:rPr>
          <w:iCs/>
          <w:color w:val="000000"/>
          <w:lang w:val="en-US"/>
        </w:rPr>
        <w:t>.</w:t>
      </w:r>
    </w:p>
    <w:p w14:paraId="70B03E32" w14:textId="77777777" w:rsidR="0084571D" w:rsidRDefault="0084571D" w:rsidP="0084571D">
      <w:pPr>
        <w:pStyle w:val="SingleTxtG"/>
        <w:ind w:left="2268"/>
        <w:rPr>
          <w:iCs/>
          <w:color w:val="000000"/>
          <w:lang w:val="en-US"/>
        </w:rPr>
      </w:pPr>
      <w:r>
        <w:rPr>
          <w:iCs/>
          <w:color w:val="000000"/>
          <w:highlight w:val="yellow"/>
          <w:lang w:val="en-US"/>
        </w:rPr>
        <w:t xml:space="preserve">notwithstanding §12.4 </w:t>
      </w:r>
      <w:r w:rsidRPr="0084571D">
        <w:rPr>
          <w:iCs/>
          <w:color w:val="000000"/>
          <w:highlight w:val="yellow"/>
          <w:lang w:val="en-US"/>
        </w:rPr>
        <w:t xml:space="preserve">… shall </w:t>
      </w:r>
      <w:r>
        <w:rPr>
          <w:iCs/>
          <w:color w:val="000000"/>
          <w:highlight w:val="yellow"/>
          <w:lang w:val="en-US"/>
        </w:rPr>
        <w:t xml:space="preserve">continue </w:t>
      </w:r>
      <w:r w:rsidRPr="0084571D">
        <w:rPr>
          <w:iCs/>
          <w:color w:val="000000"/>
          <w:highlight w:val="yellow"/>
          <w:lang w:val="en-US"/>
        </w:rPr>
        <w:t xml:space="preserve">to accept .. issued </w:t>
      </w:r>
      <w:r>
        <w:rPr>
          <w:iCs/>
          <w:color w:val="000000"/>
          <w:highlight w:val="yellow"/>
          <w:lang w:val="en-US"/>
        </w:rPr>
        <w:t xml:space="preserve">to </w:t>
      </w:r>
      <w:r w:rsidRPr="0084571D">
        <w:rPr>
          <w:iCs/>
          <w:color w:val="000000"/>
          <w:highlight w:val="yellow"/>
          <w:lang w:val="en-US"/>
        </w:rPr>
        <w:t>…</w:t>
      </w:r>
    </w:p>
    <w:p w14:paraId="344EFFCC" w14:textId="77777777" w:rsidR="0084571D" w:rsidRPr="00E16EAA" w:rsidRDefault="0084571D" w:rsidP="00D87E97">
      <w:pPr>
        <w:pStyle w:val="SingleTxtG"/>
        <w:ind w:left="2268" w:hanging="1134"/>
        <w:rPr>
          <w:iCs/>
          <w:color w:val="000000"/>
          <w:lang w:val="en-US"/>
        </w:rPr>
      </w:pPr>
    </w:p>
    <w:p w14:paraId="55B803DC" w14:textId="77777777" w:rsidR="00D87E97" w:rsidRPr="00F2631B" w:rsidRDefault="00D87E97" w:rsidP="00D87E97">
      <w:pPr>
        <w:pStyle w:val="SingleTxtG"/>
        <w:ind w:left="2268" w:hanging="1134"/>
        <w:rPr>
          <w:bCs/>
          <w:iCs/>
          <w:color w:val="000000" w:themeColor="text1"/>
          <w:lang w:val="en-US"/>
        </w:rPr>
      </w:pPr>
      <w:r w:rsidRPr="00F2631B">
        <w:rPr>
          <w:bCs/>
          <w:iCs/>
          <w:color w:val="000000" w:themeColor="text1"/>
          <w:lang w:val="en-US"/>
        </w:rPr>
        <w:lastRenderedPageBreak/>
        <w:t>12.7.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iCs/>
          <w:color w:val="000000"/>
          <w:lang w:eastAsia="ja-JP"/>
        </w:rPr>
        <w:footnoteReference w:id="1"/>
      </w:r>
      <w:r w:rsidRPr="00ED66ED">
        <w:rPr>
          <w:rFonts w:eastAsia="Yu Mincho"/>
          <w:bCs/>
          <w:iCs/>
          <w:color w:val="000000"/>
          <w:lang w:val="en-US" w:eastAsia="ja-JP"/>
        </w:rPr>
        <w:t xml:space="preserve"> </w:t>
      </w:r>
    </w:p>
    <w:p w14:paraId="0F78E518" w14:textId="77777777" w:rsidR="00461573" w:rsidRPr="00D87E97" w:rsidRDefault="00D87E97" w:rsidP="0084571D">
      <w:pPr>
        <w:pStyle w:val="SingleTxtG"/>
        <w:ind w:left="2268" w:hanging="1134"/>
        <w:rPr>
          <w:lang w:val="en-US"/>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Pr>
          <w:bCs/>
          <w:iCs/>
          <w:color w:val="000000" w:themeColor="text1"/>
          <w:vertAlign w:val="superscript"/>
          <w:lang w:val="en-US"/>
        </w:rPr>
        <w:t>3</w:t>
      </w:r>
    </w:p>
    <w:sectPr w:rsidR="00461573" w:rsidRPr="00D87E97" w:rsidSect="0084571D">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lopotek Manfred" w:date="2020-12-18T16:21:00Z" w:initials="KM">
    <w:p w14:paraId="77EFE371" w14:textId="43032015" w:rsidR="008D4C51" w:rsidRPr="00A156CC" w:rsidRDefault="008D4C51">
      <w:pPr>
        <w:pStyle w:val="CommentText"/>
        <w:rPr>
          <w:lang w:val="en-US"/>
        </w:rPr>
      </w:pPr>
      <w:r>
        <w:rPr>
          <w:rStyle w:val="CommentReference"/>
        </w:rPr>
        <w:annotationRef/>
      </w:r>
      <w:r w:rsidR="00EE27D4">
        <w:rPr>
          <w:lang w:val="en-US"/>
        </w:rPr>
        <w:t>I</w:t>
      </w:r>
      <w:r w:rsidR="00A156CC" w:rsidRPr="00A156CC">
        <w:rPr>
          <w:lang w:val="en-US"/>
        </w:rPr>
        <w:t>t is up to the Contracting Parties to decide;</w:t>
      </w:r>
      <w:r w:rsidR="00A156CC">
        <w:rPr>
          <w:lang w:val="en-US"/>
        </w:rPr>
        <w:t xml:space="preserve"> the Date mentioned</w:t>
      </w:r>
      <w:r w:rsidR="008A23EA">
        <w:rPr>
          <w:lang w:val="en-US"/>
        </w:rPr>
        <w:t xml:space="preserve"> is due to GSR</w:t>
      </w:r>
    </w:p>
  </w:comment>
  <w:comment w:id="1" w:author="Klopotek Manfred" w:date="2020-12-18T16:23:00Z" w:initials="KM">
    <w:p w14:paraId="79A36C62" w14:textId="672CD6BB" w:rsidR="008A23EA" w:rsidRPr="00EE27D4" w:rsidRDefault="008A23EA">
      <w:pPr>
        <w:pStyle w:val="CommentText"/>
        <w:rPr>
          <w:lang w:val="en-US"/>
        </w:rPr>
      </w:pPr>
      <w:r>
        <w:rPr>
          <w:rStyle w:val="CommentReference"/>
        </w:rPr>
        <w:annotationRef/>
      </w:r>
      <w:r w:rsidRPr="00EE27D4">
        <w:rPr>
          <w:lang w:val="en-US"/>
        </w:rPr>
        <w:t xml:space="preserve">None of the Contracting Parties </w:t>
      </w:r>
      <w:r w:rsidR="00EE27D4" w:rsidRPr="00EE27D4">
        <w:rPr>
          <w:lang w:val="en-US"/>
        </w:rPr>
        <w:t>s</w:t>
      </w:r>
      <w:r w:rsidR="00EE27D4">
        <w:rPr>
          <w:lang w:val="en-US"/>
        </w:rPr>
        <w:t>hall refuse to accept</w:t>
      </w:r>
    </w:p>
  </w:comment>
  <w:comment w:id="2" w:author="Klopotek Manfred" w:date="2020-12-18T16:23:00Z" w:initials="KM">
    <w:p w14:paraId="3E36A56A" w14:textId="66F8F9B8" w:rsidR="00EE27D4" w:rsidRPr="00EE27D4" w:rsidRDefault="00EE27D4">
      <w:pPr>
        <w:pStyle w:val="CommentText"/>
        <w:rPr>
          <w:lang w:val="en-US"/>
        </w:rPr>
      </w:pPr>
      <w:r>
        <w:rPr>
          <w:rStyle w:val="CommentReference"/>
        </w:rPr>
        <w:annotationRef/>
      </w:r>
      <w:r>
        <w:rPr>
          <w:lang w:val="en-US"/>
        </w:rPr>
        <w:t>I</w:t>
      </w:r>
      <w:r w:rsidRPr="00A156CC">
        <w:rPr>
          <w:lang w:val="en-US"/>
        </w:rPr>
        <w:t>t is up to the Contracting Parties</w:t>
      </w:r>
      <w:r w:rsidR="00FC6F62">
        <w:rPr>
          <w:lang w:val="en-US"/>
        </w:rPr>
        <w:t xml:space="preserve"> except for EU</w:t>
      </w:r>
      <w:r w:rsidRPr="00A156CC">
        <w:rPr>
          <w:lang w:val="en-US"/>
        </w:rPr>
        <w:t xml:space="preserve"> to decide</w:t>
      </w:r>
      <w:r w:rsidR="00C7495D">
        <w:rPr>
          <w:lang w:val="en-US"/>
        </w:rPr>
        <w:t xml:space="preserve"> because the GSR requires a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EFE371" w15:done="0"/>
  <w15:commentEx w15:paraId="79A36C62" w15:done="0"/>
  <w15:commentEx w15:paraId="3E36A5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FE371" w16cid:durableId="238755A7"/>
  <w16cid:commentId w16cid:paraId="79A36C62" w16cid:durableId="238755F5"/>
  <w16cid:commentId w16cid:paraId="3E36A56A" w16cid:durableId="238756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DAAB" w14:textId="77777777" w:rsidR="00D87E97" w:rsidRDefault="00D87E97" w:rsidP="00D87E97">
      <w:pPr>
        <w:spacing w:after="0" w:line="240" w:lineRule="auto"/>
      </w:pPr>
      <w:r>
        <w:separator/>
      </w:r>
    </w:p>
  </w:endnote>
  <w:endnote w:type="continuationSeparator" w:id="0">
    <w:p w14:paraId="42DAD854" w14:textId="77777777" w:rsidR="00D87E97" w:rsidRDefault="00D87E97" w:rsidP="00D8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2EA6" w14:textId="77777777" w:rsidR="00D243CC" w:rsidRDefault="00D2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F835" w14:textId="77777777" w:rsidR="00B24C89" w:rsidRPr="00843818" w:rsidRDefault="00B24C89" w:rsidP="00B24C89">
    <w:pPr>
      <w:pStyle w:val="Footer"/>
      <w:spacing w:before="240"/>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sz w:val="18"/>
        <w:lang w:val="fr-FR"/>
      </w:rPr>
      <w:t>1</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sz w:val="18"/>
        <w:lang w:val="fr-FR"/>
      </w:rPr>
      <w:t>11</w:t>
    </w:r>
    <w:r w:rsidRPr="00404204">
      <w:rPr>
        <w:rFonts w:ascii="Arial" w:hAnsi="Arial" w:cs="Arial"/>
        <w:b/>
        <w:bCs/>
        <w:sz w:val="18"/>
        <w:lang w:val="fr-FR"/>
      </w:rPr>
      <w:fldChar w:fldCharType="end"/>
    </w:r>
  </w:p>
  <w:p w14:paraId="75A5C731" w14:textId="77777777" w:rsidR="00B24C89" w:rsidRDefault="00B24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9292" w14:textId="77777777" w:rsidR="00D243CC" w:rsidRDefault="00D2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56F4" w14:textId="77777777" w:rsidR="00D87E97" w:rsidRDefault="00D87E97" w:rsidP="00D87E97">
      <w:pPr>
        <w:spacing w:after="0" w:line="240" w:lineRule="auto"/>
      </w:pPr>
      <w:r>
        <w:separator/>
      </w:r>
    </w:p>
  </w:footnote>
  <w:footnote w:type="continuationSeparator" w:id="0">
    <w:p w14:paraId="55AADD82" w14:textId="77777777" w:rsidR="00D87E97" w:rsidRDefault="00D87E97" w:rsidP="00D87E97">
      <w:pPr>
        <w:spacing w:after="0" w:line="240" w:lineRule="auto"/>
      </w:pPr>
      <w:r>
        <w:continuationSeparator/>
      </w:r>
    </w:p>
  </w:footnote>
  <w:footnote w:id="1">
    <w:p w14:paraId="38E692DF" w14:textId="77777777" w:rsidR="00D87E97" w:rsidRPr="004331C8" w:rsidRDefault="00D87E97" w:rsidP="00D87E97">
      <w:pPr>
        <w:pStyle w:val="FootnoteText"/>
        <w:rPr>
          <w:lang w:val="en-US"/>
        </w:rPr>
      </w:pPr>
      <w:r w:rsidRPr="00027D8E">
        <w:rPr>
          <w:lang w:val="en-US"/>
        </w:rPr>
        <w:tab/>
      </w:r>
      <w:r>
        <w:rPr>
          <w:rStyle w:val="FootnoteReference"/>
        </w:rPr>
        <w:footnoteRef/>
      </w:r>
      <w:r w:rsidRPr="00ED66ED">
        <w:rPr>
          <w:lang w:val="en-US"/>
        </w:rP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A511" w14:textId="77777777" w:rsidR="00D243CC" w:rsidRDefault="00D2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4B43" w14:textId="1E159957" w:rsidR="00B24C89" w:rsidRPr="00B24C89" w:rsidRDefault="00B24C89" w:rsidP="00B24C89">
    <w:pPr>
      <w:pStyle w:val="Header"/>
      <w:jc w:val="center"/>
      <w:rPr>
        <w:lang w:val="en-US"/>
      </w:rPr>
    </w:pPr>
    <w:r w:rsidRPr="00B24C89">
      <w:rPr>
        <w:lang w:val="en-US"/>
      </w:rPr>
      <w:t xml:space="preserve">This document </w:t>
    </w:r>
    <w:r>
      <w:rPr>
        <w:lang w:val="en-US"/>
      </w:rPr>
      <w:t xml:space="preserve">has been prepared by the </w:t>
    </w:r>
    <w:proofErr w:type="spellStart"/>
    <w:r>
      <w:rPr>
        <w:lang w:val="en-US"/>
      </w:rPr>
      <w:t>Secretary</w:t>
    </w:r>
    <w:r w:rsidR="00D243CC">
      <w:rPr>
        <w:lang w:val="en-US"/>
      </w:rPr>
      <w:t>,</w:t>
    </w:r>
    <w:r w:rsidRPr="00B24C89">
      <w:rPr>
        <w:lang w:val="en-US"/>
      </w:rPr>
      <w:t>is</w:t>
    </w:r>
    <w:proofErr w:type="spellEnd"/>
    <w:r w:rsidRPr="00B24C89">
      <w:rPr>
        <w:lang w:val="en-US"/>
      </w:rPr>
      <w:t xml:space="preserve"> based on</w:t>
    </w:r>
    <w:r>
      <w:rPr>
        <w:lang w:val="en-US"/>
      </w:rPr>
      <w:t xml:space="preserve"> </w:t>
    </w:r>
    <w:r w:rsidRPr="00B24C89">
      <w:rPr>
        <w:rStyle w:val="Strong"/>
        <w:rFonts w:ascii="Arial" w:hAnsi="Arial" w:cs="Arial"/>
        <w:color w:val="333333"/>
        <w:sz w:val="20"/>
        <w:szCs w:val="20"/>
        <w:lang w:val="en-US"/>
      </w:rPr>
      <w:t>ECE/TRANS/WP.29/2021/10/Rev.1 </w:t>
    </w:r>
    <w:r w:rsidRPr="00B24C89">
      <w:rPr>
        <w:lang w:val="en-US"/>
      </w:rPr>
      <w:t xml:space="preserve">and </w:t>
    </w:r>
    <w:r w:rsidR="00D243CC">
      <w:rPr>
        <w:lang w:val="en-US"/>
      </w:rPr>
      <w:t xml:space="preserve">has </w:t>
    </w:r>
    <w:r w:rsidR="00D243CC" w:rsidRPr="00D243CC">
      <w:rPr>
        <w:lang w:val="en-US"/>
      </w:rPr>
      <w:t>been</w:t>
    </w:r>
    <w:r w:rsidRPr="00D243CC">
      <w:rPr>
        <w:lang w:val="en-US"/>
      </w:rPr>
      <w:t xml:space="preserve"> revised during the 14</w:t>
    </w:r>
    <w:r w:rsidRPr="00D243CC">
      <w:rPr>
        <w:vertAlign w:val="superscript"/>
        <w:lang w:val="en-US"/>
      </w:rPr>
      <w:t>th</w:t>
    </w:r>
    <w:r w:rsidRPr="00D243CC">
      <w:rPr>
        <w:lang w:val="en-US"/>
      </w:rPr>
      <w:t xml:space="preserve"> meeting</w:t>
    </w:r>
    <w:bookmarkStart w:id="3" w:name="_GoBack"/>
    <w:bookmarkEnd w:id="3"/>
    <w:r w:rsidRPr="00B24C89">
      <w:rPr>
        <w:lang w:val="en-US"/>
      </w:rPr>
      <w:t xml:space="preserve"> of TF TPMSTI</w:t>
    </w:r>
  </w:p>
  <w:p w14:paraId="22811937" w14:textId="77777777" w:rsidR="00B24C89" w:rsidRPr="00B24C89" w:rsidRDefault="00B24C89" w:rsidP="00B24C89">
    <w:pPr>
      <w:pStyle w:val="Header"/>
      <w:jc w:val="center"/>
      <w:rPr>
        <w:lang w:val="en-US"/>
      </w:rPr>
    </w:pPr>
  </w:p>
  <w:p w14:paraId="4DB11E95" w14:textId="67DFED6F" w:rsidR="00B24C89" w:rsidRPr="00C07DEC" w:rsidRDefault="00B24C89" w:rsidP="00B24C89">
    <w:pPr>
      <w:pStyle w:val="Header"/>
      <w:jc w:val="right"/>
    </w:pPr>
    <w:r w:rsidRPr="00C07DEC">
      <w:t>TPMSTI-</w:t>
    </w:r>
    <w:r>
      <w:t>14-03 Rev.1</w:t>
    </w:r>
  </w:p>
  <w:p w14:paraId="5886AE3F" w14:textId="77777777" w:rsidR="00B24C89" w:rsidRDefault="00B24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75AA" w14:textId="77777777" w:rsidR="00D243CC" w:rsidRDefault="00D243C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opotek Manfred">
    <w15:presenceInfo w15:providerId="AD" w15:userId="S::manfred.klopotek@scania.com::ae188048-1db7-4565-889c-bdb297e8d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97"/>
    <w:rsid w:val="0012124B"/>
    <w:rsid w:val="0017689E"/>
    <w:rsid w:val="00186999"/>
    <w:rsid w:val="001A3ECC"/>
    <w:rsid w:val="00220435"/>
    <w:rsid w:val="00461573"/>
    <w:rsid w:val="0084571D"/>
    <w:rsid w:val="008A23EA"/>
    <w:rsid w:val="008D4C51"/>
    <w:rsid w:val="00A14DF8"/>
    <w:rsid w:val="00A156CC"/>
    <w:rsid w:val="00B24C89"/>
    <w:rsid w:val="00C7495D"/>
    <w:rsid w:val="00D243CC"/>
    <w:rsid w:val="00D87E97"/>
    <w:rsid w:val="00EE27D4"/>
    <w:rsid w:val="00FC6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EF71E"/>
  <w15:chartTrackingRefBased/>
  <w15:docId w15:val="{94B7F470-AF53-4A62-936A-E486149F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97"/>
    <w:rPr>
      <w:rFonts w:ascii="Segoe UI" w:hAnsi="Segoe UI" w:cs="Segoe UI"/>
      <w:sz w:val="18"/>
      <w:szCs w:val="18"/>
    </w:rPr>
  </w:style>
  <w:style w:type="paragraph" w:customStyle="1" w:styleId="HChG">
    <w:name w:val="_ H _Ch_G"/>
    <w:basedOn w:val="Normal"/>
    <w:next w:val="Normal"/>
    <w:link w:val="HChGChar"/>
    <w:qFormat/>
    <w:rsid w:val="00D87E9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D87E97"/>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styleId="FootnoteReference">
    <w:name w:val="footnote reference"/>
    <w:aliases w:val="4_G,(Footnote Reference),-E Fußnotenzeichen,BVI fnr, BVI fnr,Footnote symbol,Footnote,Footnote Reference Superscript,SUPERS"/>
    <w:qFormat/>
    <w:rsid w:val="00D87E97"/>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D87E9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aliases w:val="5_G Char,PP Char,5_G_6 Char"/>
    <w:basedOn w:val="DefaultParagraphFont"/>
    <w:link w:val="FootnoteText"/>
    <w:rsid w:val="00D87E97"/>
    <w:rPr>
      <w:rFonts w:ascii="Times New Roman" w:eastAsia="Times New Roman" w:hAnsi="Times New Roman" w:cs="Times New Roman"/>
      <w:sz w:val="18"/>
      <w:szCs w:val="20"/>
      <w:lang w:val="fr-CH"/>
    </w:rPr>
  </w:style>
  <w:style w:type="character" w:styleId="CommentReference">
    <w:name w:val="annotation reference"/>
    <w:uiPriority w:val="99"/>
    <w:rsid w:val="00D87E97"/>
    <w:rPr>
      <w:sz w:val="16"/>
      <w:szCs w:val="16"/>
    </w:rPr>
  </w:style>
  <w:style w:type="paragraph" w:styleId="CommentText">
    <w:name w:val="annotation text"/>
    <w:basedOn w:val="Normal"/>
    <w:link w:val="CommentTextChar"/>
    <w:semiHidden/>
    <w:rsid w:val="00D87E97"/>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semiHidden/>
    <w:rsid w:val="00D87E97"/>
    <w:rPr>
      <w:rFonts w:ascii="Times New Roman" w:eastAsia="Times New Roman" w:hAnsi="Times New Roman" w:cs="Times New Roman"/>
      <w:sz w:val="20"/>
      <w:szCs w:val="20"/>
      <w:lang w:val="fr-CH"/>
    </w:rPr>
  </w:style>
  <w:style w:type="character" w:customStyle="1" w:styleId="SingleTxtGChar">
    <w:name w:val="_ Single Txt_G Char"/>
    <w:link w:val="SingleTxtG"/>
    <w:qFormat/>
    <w:rsid w:val="00D87E97"/>
    <w:rPr>
      <w:rFonts w:ascii="Times New Roman" w:eastAsia="Times New Roman" w:hAnsi="Times New Roman" w:cs="Times New Roman"/>
      <w:sz w:val="20"/>
      <w:szCs w:val="20"/>
      <w:lang w:val="fr-CH"/>
    </w:rPr>
  </w:style>
  <w:style w:type="character" w:customStyle="1" w:styleId="HChGChar">
    <w:name w:val="_ H _Ch_G Char"/>
    <w:link w:val="HChG"/>
    <w:rsid w:val="00D87E97"/>
    <w:rPr>
      <w:rFonts w:ascii="Times New Roman" w:eastAsia="Times New Roman" w:hAnsi="Times New Roman" w:cs="Times New Roman"/>
      <w:b/>
      <w:sz w:val="28"/>
      <w:szCs w:val="20"/>
      <w:lang w:val="fr-CH"/>
    </w:rPr>
  </w:style>
  <w:style w:type="paragraph" w:styleId="CommentSubject">
    <w:name w:val="annotation subject"/>
    <w:basedOn w:val="CommentText"/>
    <w:next w:val="CommentText"/>
    <w:link w:val="CommentSubjectChar"/>
    <w:uiPriority w:val="99"/>
    <w:semiHidden/>
    <w:unhideWhenUsed/>
    <w:rsid w:val="008D4C51"/>
    <w:pPr>
      <w:suppressAutoHyphens w:val="0"/>
      <w:spacing w:after="160" w:line="240" w:lineRule="auto"/>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8D4C51"/>
    <w:rPr>
      <w:rFonts w:ascii="Times New Roman" w:eastAsia="Times New Roman" w:hAnsi="Times New Roman" w:cs="Times New Roman"/>
      <w:b/>
      <w:bCs/>
      <w:sz w:val="20"/>
      <w:szCs w:val="20"/>
      <w:lang w:val="fr-CH"/>
    </w:rPr>
  </w:style>
  <w:style w:type="paragraph" w:styleId="Header">
    <w:name w:val="header"/>
    <w:basedOn w:val="Normal"/>
    <w:link w:val="HeaderChar"/>
    <w:uiPriority w:val="99"/>
    <w:unhideWhenUsed/>
    <w:rsid w:val="00B24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C89"/>
  </w:style>
  <w:style w:type="paragraph" w:styleId="Footer">
    <w:name w:val="footer"/>
    <w:basedOn w:val="Normal"/>
    <w:link w:val="FooterChar"/>
    <w:uiPriority w:val="99"/>
    <w:unhideWhenUsed/>
    <w:rsid w:val="00B24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C89"/>
  </w:style>
  <w:style w:type="character" w:styleId="Strong">
    <w:name w:val="Strong"/>
    <w:basedOn w:val="DefaultParagraphFont"/>
    <w:uiPriority w:val="22"/>
    <w:qFormat/>
    <w:rsid w:val="00B24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C2C6D-A816-4FA7-A4AE-FCC1685D5A4B}">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bbaba591-5868-4d92-94c5-d3e565773f09"/>
    <ds:schemaRef ds:uri="http://purl.org/dc/terms/"/>
  </ds:schemaRefs>
</ds:datastoreItem>
</file>

<file path=customXml/itemProps2.xml><?xml version="1.0" encoding="utf-8"?>
<ds:datastoreItem xmlns:ds="http://schemas.openxmlformats.org/officeDocument/2006/customXml" ds:itemID="{F0C728E4-EAEB-49E6-8CC5-AA45274D021C}">
  <ds:schemaRefs>
    <ds:schemaRef ds:uri="http://schemas.microsoft.com/sharepoint/v3/contenttype/forms"/>
  </ds:schemaRefs>
</ds:datastoreItem>
</file>

<file path=customXml/itemProps3.xml><?xml version="1.0" encoding="utf-8"?>
<ds:datastoreItem xmlns:ds="http://schemas.openxmlformats.org/officeDocument/2006/customXml" ds:itemID="{253A2ABB-CD1F-4B4C-91C8-34FDA8BB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Klopotek Manfred</dc:creator>
  <cp:keywords/>
  <dc:description/>
  <cp:lastModifiedBy>Klopotek Manfred</cp:lastModifiedBy>
  <cp:revision>3</cp:revision>
  <cp:lastPrinted>2020-12-18T14:03:00Z</cp:lastPrinted>
  <dcterms:created xsi:type="dcterms:W3CDTF">2021-05-28T15:17:00Z</dcterms:created>
  <dcterms:modified xsi:type="dcterms:W3CDTF">2021-05-28T15:27:00Z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2020-12-18T15:30:17.4157508+01:00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