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D81D" w14:textId="77777777" w:rsidR="00326F82" w:rsidRDefault="00326F82" w:rsidP="00326F82">
      <w:pPr>
        <w:pStyle w:val="Paragraphedeliste"/>
        <w:rPr>
          <w:u w:val="single"/>
          <w:lang w:val="en-GB"/>
        </w:rPr>
      </w:pPr>
    </w:p>
    <w:p w14:paraId="6B3C1ED7" w14:textId="77777777" w:rsidR="00326F82" w:rsidRDefault="00326F82" w:rsidP="00326F82">
      <w:pPr>
        <w:pStyle w:val="Paragraphedeliste"/>
        <w:rPr>
          <w:u w:val="single"/>
          <w:lang w:val="en-GB"/>
        </w:rPr>
      </w:pPr>
    </w:p>
    <w:p w14:paraId="26180828" w14:textId="45C6807D" w:rsidR="007170D5" w:rsidRPr="009D1A94" w:rsidRDefault="007170D5" w:rsidP="007170D5">
      <w:pPr>
        <w:pStyle w:val="Paragraphedeliste"/>
        <w:numPr>
          <w:ilvl w:val="0"/>
          <w:numId w:val="2"/>
        </w:numPr>
        <w:rPr>
          <w:u w:val="single"/>
          <w:lang w:val="en-GB"/>
        </w:rPr>
      </w:pPr>
      <w:r w:rsidRPr="009D1A94">
        <w:rPr>
          <w:u w:val="single"/>
          <w:lang w:val="en-GB"/>
        </w:rPr>
        <w:t xml:space="preserve">Correction of </w:t>
      </w:r>
      <w:r>
        <w:rPr>
          <w:u w:val="single"/>
          <w:lang w:val="en-GB"/>
        </w:rPr>
        <w:t>F</w:t>
      </w:r>
      <w:r w:rsidRPr="009D1A94">
        <w:rPr>
          <w:u w:val="single"/>
          <w:lang w:val="en-GB"/>
        </w:rPr>
        <w:t>igure</w:t>
      </w:r>
      <w:r>
        <w:rPr>
          <w:u w:val="single"/>
          <w:lang w:val="en-GB"/>
        </w:rPr>
        <w:t xml:space="preserve"> 1</w:t>
      </w:r>
      <w:r w:rsidRPr="009D1A94">
        <w:rPr>
          <w:u w:val="single"/>
          <w:lang w:val="en-GB"/>
        </w:rPr>
        <w:t>.</w:t>
      </w:r>
    </w:p>
    <w:p w14:paraId="77F0AEDF" w14:textId="77777777" w:rsidR="005526F9" w:rsidRDefault="005526F9" w:rsidP="007170D5">
      <w:pPr>
        <w:rPr>
          <w:lang w:val="en-GB"/>
        </w:rPr>
      </w:pPr>
    </w:p>
    <w:p w14:paraId="02FDBBF4" w14:textId="4C691FAB" w:rsidR="007170D5" w:rsidRPr="00C6610A" w:rsidRDefault="007170D5" w:rsidP="007170D5">
      <w:pPr>
        <w:rPr>
          <w:i/>
          <w:iCs/>
          <w:lang w:val="en-GB"/>
        </w:rPr>
      </w:pPr>
      <w:r w:rsidRPr="00C6610A">
        <w:rPr>
          <w:lang w:val="en-GB"/>
        </w:rPr>
        <w:t>Proposal for a Supplement [x] to 04, 05 and 06 series of amendments to UN Regulation No. 10</w:t>
      </w:r>
      <w:r w:rsidRPr="00C6610A">
        <w:rPr>
          <w:i/>
          <w:iCs/>
          <w:lang w:val="en-GB"/>
        </w:rPr>
        <w:br/>
        <w:t xml:space="preserve">Annex 4 - Paragraph 1, amend to read: </w:t>
      </w:r>
    </w:p>
    <w:p w14:paraId="5B2035D0" w14:textId="77777777" w:rsidR="007170D5" w:rsidRPr="00C6610A" w:rsidRDefault="007170D5" w:rsidP="007170D5">
      <w:pPr>
        <w:rPr>
          <w:lang w:val="en-GB"/>
        </w:rPr>
      </w:pPr>
    </w:p>
    <w:p w14:paraId="7DBD52EA" w14:textId="548CAFB6" w:rsidR="007170D5" w:rsidRPr="00C6610A" w:rsidRDefault="007170D5" w:rsidP="007170D5">
      <w:pPr>
        <w:rPr>
          <w:lang w:val="en-GB"/>
        </w:rPr>
      </w:pPr>
      <w:r>
        <w:rPr>
          <w:noProof/>
        </w:rPr>
        <mc:AlternateContent>
          <mc:Choice Requires="wps">
            <w:drawing>
              <wp:anchor distT="0" distB="0" distL="114300" distR="114300" simplePos="0" relativeHeight="251659264" behindDoc="0" locked="0" layoutInCell="1" allowOverlap="1" wp14:anchorId="7C7CDA71" wp14:editId="2E642FDB">
                <wp:simplePos x="0" y="0"/>
                <wp:positionH relativeFrom="column">
                  <wp:posOffset>1318895</wp:posOffset>
                </wp:positionH>
                <wp:positionV relativeFrom="paragraph">
                  <wp:posOffset>1565275</wp:posOffset>
                </wp:positionV>
                <wp:extent cx="380365" cy="1163955"/>
                <wp:effectExtent l="0" t="0" r="0" b="0"/>
                <wp:wrapNone/>
                <wp:docPr id="1"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80365" cy="1163955"/>
                        </a:xfrm>
                        <a:prstGeom prst="rect">
                          <a:avLst/>
                        </a:prstGeom>
                        <a:noFill/>
                        <a:ln w="6350">
                          <a:noFill/>
                        </a:ln>
                      </wps:spPr>
                      <wps:txbx>
                        <w:txbxContent>
                          <w:p w14:paraId="0F114F33" w14:textId="77777777" w:rsidR="007170D5" w:rsidRPr="007170D5" w:rsidRDefault="007170D5" w:rsidP="007170D5">
                            <w:pPr>
                              <w:rPr>
                                <w:b/>
                                <w:bCs/>
                                <w:sz w:val="20"/>
                                <w:szCs w:val="20"/>
                              </w:rPr>
                            </w:pPr>
                            <w:r w:rsidRPr="007170D5">
                              <w:rPr>
                                <w:b/>
                                <w:bCs/>
                                <w:sz w:val="20"/>
                                <w:szCs w:val="20"/>
                                <w:highlight w:val="green"/>
                                <w:lang w:val="en-GB"/>
                              </w:rPr>
                              <w:t>(3,00 m ± 0,05 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CDA71" id="_x0000_t202" coordsize="21600,21600" o:spt="202" path="m,l,21600r21600,l21600,xe">
                <v:stroke joinstyle="miter"/>
                <v:path gradientshapeok="t" o:connecttype="rect"/>
              </v:shapetype>
              <v:shape id="Textové pole 14" o:spid="_x0000_s1026" type="#_x0000_t202" style="position:absolute;margin-left:103.85pt;margin-top:123.25pt;width:29.95pt;height:9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" filled="f" stroked="f" strokeweight=".5pt">
                <v:textbox style="layout-flow:vertical-ideographic">
                  <w:txbxContent>
                    <w:p w14:paraId="0F114F33" w14:textId="77777777" w:rsidR="007170D5" w:rsidRPr="007170D5" w:rsidRDefault="007170D5" w:rsidP="007170D5">
                      <w:pPr>
                        <w:rPr>
                          <w:b/>
                          <w:bCs/>
                          <w:sz w:val="20"/>
                          <w:szCs w:val="20"/>
                        </w:rPr>
                      </w:pPr>
                      <w:r w:rsidRPr="007170D5">
                        <w:rPr>
                          <w:b/>
                          <w:bCs/>
                          <w:sz w:val="20"/>
                          <w:szCs w:val="20"/>
                          <w:highlight w:val="green"/>
                          <w:lang w:val="en-GB"/>
                        </w:rPr>
                        <w:t>(3,00 m ± 0,05 m)</w:t>
                      </w:r>
                    </w:p>
                  </w:txbxContent>
                </v:textbox>
              </v:shape>
            </w:pict>
          </mc:Fallback>
        </mc:AlternateContent>
      </w:r>
      <w:r w:rsidRPr="00C6610A">
        <w:rPr>
          <w:noProof/>
          <w:lang w:val="en-GB"/>
        </w:rPr>
        <w:drawing>
          <wp:inline distT="0" distB="0" distL="0" distR="0" wp14:anchorId="49CBE282" wp14:editId="2DBD69F9">
            <wp:extent cx="4968671" cy="5883150"/>
            <wp:effectExtent l="0" t="0" r="3810" b="381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68671" cy="5883150"/>
                    </a:xfrm>
                    <a:prstGeom prst="rect">
                      <a:avLst/>
                    </a:prstGeom>
                  </pic:spPr>
                </pic:pic>
              </a:graphicData>
            </a:graphic>
          </wp:inline>
        </w:drawing>
      </w:r>
    </w:p>
    <w:p w14:paraId="6322D07E" w14:textId="77777777" w:rsidR="007170D5" w:rsidRPr="00C6610A" w:rsidRDefault="007170D5" w:rsidP="007170D5">
      <w:pPr>
        <w:rPr>
          <w:lang w:val="en-GB"/>
        </w:rPr>
      </w:pPr>
    </w:p>
    <w:p w14:paraId="49A56AC8" w14:textId="77777777" w:rsidR="007170D5" w:rsidRPr="00C6610A" w:rsidRDefault="007170D5" w:rsidP="007170D5">
      <w:pPr>
        <w:rPr>
          <w:b/>
          <w:bCs/>
          <w:u w:val="single"/>
          <w:lang w:val="en-GB"/>
        </w:rPr>
      </w:pPr>
      <w:r w:rsidRPr="00C6610A">
        <w:rPr>
          <w:b/>
          <w:bCs/>
          <w:u w:val="single"/>
          <w:lang w:val="en-GB"/>
        </w:rPr>
        <w:t>Justification:</w:t>
      </w:r>
    </w:p>
    <w:p w14:paraId="69FE61E8" w14:textId="77777777" w:rsidR="007170D5" w:rsidRPr="00C6610A" w:rsidRDefault="007170D5" w:rsidP="007170D5">
      <w:pPr>
        <w:pStyle w:val="Paragraphedeliste"/>
        <w:numPr>
          <w:ilvl w:val="0"/>
          <w:numId w:val="1"/>
        </w:numPr>
        <w:rPr>
          <w:lang w:val="en-GB"/>
        </w:rPr>
      </w:pPr>
      <w:r w:rsidRPr="00C6610A">
        <w:rPr>
          <w:lang w:val="en-GB"/>
        </w:rPr>
        <w:t>CISPR 12 includes note (</w:t>
      </w:r>
      <w:r w:rsidRPr="009541E8">
        <w:rPr>
          <w:i/>
          <w:iCs/>
          <w:lang w:val="en-GB"/>
        </w:rPr>
        <w:t>The 10,0 m ± 0,2 m dimension may be changed to 3,00 m ± 0,05 m in accordance with 5.2.3.2 and 5.2.3.4.)</w:t>
      </w:r>
    </w:p>
    <w:p w14:paraId="5EFEE6A8" w14:textId="77777777" w:rsidR="007170D5" w:rsidRDefault="007170D5" w:rsidP="007170D5">
      <w:pPr>
        <w:pStyle w:val="Paragraphedeliste"/>
        <w:rPr>
          <w:lang w:val="en-GB"/>
        </w:rPr>
      </w:pPr>
      <w:r w:rsidRPr="00C6610A">
        <w:rPr>
          <w:lang w:val="en-GB"/>
        </w:rPr>
        <w:t xml:space="preserve">UN Regulation </w:t>
      </w:r>
      <w:r>
        <w:rPr>
          <w:lang w:val="en-GB"/>
        </w:rPr>
        <w:t xml:space="preserve">No. 10 </w:t>
      </w:r>
      <w:r w:rsidRPr="00C6610A">
        <w:rPr>
          <w:lang w:val="en-GB"/>
        </w:rPr>
        <w:t xml:space="preserve">includes conditions for alternative 3 m measurement directly in the </w:t>
      </w:r>
      <w:r>
        <w:rPr>
          <w:lang w:val="en-GB"/>
        </w:rPr>
        <w:t>figure</w:t>
      </w:r>
      <w:r w:rsidRPr="00C6610A">
        <w:rPr>
          <w:lang w:val="en-GB"/>
        </w:rPr>
        <w:t>.</w:t>
      </w:r>
    </w:p>
    <w:p w14:paraId="73E3B204" w14:textId="77777777" w:rsidR="007170D5" w:rsidRPr="00C6610A" w:rsidRDefault="007170D5" w:rsidP="007170D5">
      <w:pPr>
        <w:pStyle w:val="Paragraphedeliste"/>
        <w:rPr>
          <w:lang w:val="en-GB"/>
        </w:rPr>
      </w:pPr>
      <w:r w:rsidRPr="00C6610A">
        <w:rPr>
          <w:lang w:val="en-GB"/>
        </w:rPr>
        <w:t>Formal correction only, forgotten alternative shall be included into the figure.</w:t>
      </w:r>
      <w:r w:rsidRPr="00C6610A">
        <w:rPr>
          <w:lang w:val="en-GB"/>
        </w:rPr>
        <w:br/>
      </w:r>
    </w:p>
    <w:p w14:paraId="01312E61" w14:textId="77777777" w:rsidR="007170D5" w:rsidRPr="00C6610A" w:rsidRDefault="007170D5" w:rsidP="007170D5">
      <w:pPr>
        <w:rPr>
          <w:lang w:val="en-GB"/>
        </w:rPr>
      </w:pPr>
      <w:r w:rsidRPr="00C6610A">
        <w:rPr>
          <w:lang w:val="en-GB"/>
        </w:rPr>
        <w:br w:type="page"/>
      </w:r>
    </w:p>
    <w:p w14:paraId="56CCFA81" w14:textId="77777777" w:rsidR="007170D5" w:rsidRPr="009D1A94" w:rsidRDefault="007170D5" w:rsidP="007170D5">
      <w:pPr>
        <w:pStyle w:val="Paragraphedeliste"/>
        <w:numPr>
          <w:ilvl w:val="0"/>
          <w:numId w:val="2"/>
        </w:numPr>
        <w:rPr>
          <w:u w:val="single"/>
          <w:lang w:val="en-GB"/>
        </w:rPr>
      </w:pPr>
      <w:r w:rsidRPr="009D1A94">
        <w:rPr>
          <w:u w:val="single"/>
          <w:lang w:val="en-GB"/>
        </w:rPr>
        <w:lastRenderedPageBreak/>
        <w:t>Just open question to paragraph 6.10.2.</w:t>
      </w:r>
    </w:p>
    <w:p w14:paraId="10B31AB5" w14:textId="77777777" w:rsidR="007170D5" w:rsidRPr="00C6610A" w:rsidRDefault="007170D5" w:rsidP="007170D5">
      <w:pPr>
        <w:rPr>
          <w:highlight w:val="green"/>
          <w:lang w:val="en-GB"/>
        </w:rPr>
      </w:pPr>
    </w:p>
    <w:p w14:paraId="421449A7" w14:textId="77777777" w:rsidR="007170D5" w:rsidRPr="00C6610A" w:rsidRDefault="007170D5" w:rsidP="007170D5">
      <w:pPr>
        <w:ind w:left="709" w:hanging="709"/>
        <w:rPr>
          <w:lang w:val="en-GB"/>
        </w:rPr>
      </w:pPr>
      <w:r w:rsidRPr="00120A37">
        <w:rPr>
          <w:lang w:val="en-GB"/>
        </w:rPr>
        <w:t>6.10.2.</w:t>
      </w:r>
      <w:r>
        <w:rPr>
          <w:lang w:val="en-GB"/>
        </w:rPr>
        <w:tab/>
      </w:r>
      <w:r w:rsidRPr="00120A37">
        <w:rPr>
          <w:lang w:val="en-GB"/>
        </w:rPr>
        <w:t>Vehicles which do not have electrical/electronic systems with "immunity related functions" need not be tested for immunity to radiated disturbances and shall be deemed to comply with paragraph 6.4. and with Annex 6 to this Regulation.</w:t>
      </w:r>
    </w:p>
    <w:p w14:paraId="1F5A527A" w14:textId="77777777" w:rsidR="007170D5" w:rsidRPr="00C6610A" w:rsidRDefault="007170D5" w:rsidP="007170D5">
      <w:pPr>
        <w:rPr>
          <w:lang w:val="en-GB"/>
        </w:rPr>
      </w:pPr>
    </w:p>
    <w:p w14:paraId="671ADEBF" w14:textId="77777777" w:rsidR="007170D5" w:rsidRDefault="007170D5" w:rsidP="007170D5">
      <w:pPr>
        <w:rPr>
          <w:b/>
          <w:bCs/>
          <w:u w:val="single"/>
          <w:lang w:val="en-GB"/>
        </w:rPr>
      </w:pPr>
      <w:r w:rsidRPr="00F94E3E">
        <w:rPr>
          <w:b/>
          <w:bCs/>
          <w:u w:val="single"/>
          <w:lang w:val="en-GB"/>
        </w:rPr>
        <w:t>Questio</w:t>
      </w:r>
      <w:r>
        <w:rPr>
          <w:b/>
          <w:bCs/>
          <w:u w:val="single"/>
          <w:lang w:val="en-GB"/>
        </w:rPr>
        <w:t>n:</w:t>
      </w:r>
    </w:p>
    <w:p w14:paraId="0CE029B8" w14:textId="77777777" w:rsidR="007170D5" w:rsidRPr="00746F4D" w:rsidRDefault="007170D5" w:rsidP="007170D5">
      <w:pPr>
        <w:pStyle w:val="Paragraphedeliste"/>
        <w:numPr>
          <w:ilvl w:val="0"/>
          <w:numId w:val="1"/>
        </w:numPr>
        <w:rPr>
          <w:lang w:val="en-GB"/>
        </w:rPr>
      </w:pPr>
      <w:r w:rsidRPr="00746F4D">
        <w:rPr>
          <w:lang w:val="en-GB"/>
        </w:rPr>
        <w:t>Is the paragraph still needed?</w:t>
      </w:r>
    </w:p>
    <w:p w14:paraId="0EAD33A4" w14:textId="77777777" w:rsidR="007170D5" w:rsidRPr="00C6610A" w:rsidRDefault="007170D5" w:rsidP="007170D5">
      <w:pPr>
        <w:rPr>
          <w:highlight w:val="green"/>
          <w:lang w:val="en-GB"/>
        </w:rPr>
      </w:pPr>
      <w:r w:rsidRPr="00C6610A">
        <w:rPr>
          <w:highlight w:val="green"/>
          <w:lang w:val="en-GB"/>
        </w:rPr>
        <w:br w:type="page"/>
      </w:r>
    </w:p>
    <w:p w14:paraId="25A2CC1C" w14:textId="2A2ABD95" w:rsidR="007170D5" w:rsidRDefault="007170D5" w:rsidP="007170D5">
      <w:pPr>
        <w:pStyle w:val="Paragraphedeliste"/>
        <w:numPr>
          <w:ilvl w:val="0"/>
          <w:numId w:val="2"/>
        </w:numPr>
        <w:rPr>
          <w:u w:val="single"/>
          <w:lang w:val="en-GB"/>
        </w:rPr>
      </w:pPr>
      <w:r w:rsidRPr="009D1A94">
        <w:rPr>
          <w:u w:val="single"/>
          <w:lang w:val="en-GB"/>
        </w:rPr>
        <w:lastRenderedPageBreak/>
        <w:t>Testing conditions for categories L5, L6 vehicles</w:t>
      </w:r>
    </w:p>
    <w:p w14:paraId="44B7B686" w14:textId="77777777" w:rsidR="005526F9" w:rsidRPr="009D1A94" w:rsidRDefault="005526F9" w:rsidP="005526F9">
      <w:pPr>
        <w:pStyle w:val="Paragraphedeliste"/>
        <w:rPr>
          <w:u w:val="single"/>
          <w:lang w:val="en-GB"/>
        </w:rPr>
      </w:pPr>
    </w:p>
    <w:p w14:paraId="717D041E" w14:textId="77777777" w:rsidR="007170D5" w:rsidRPr="00C6610A" w:rsidRDefault="007170D5" w:rsidP="007170D5">
      <w:pPr>
        <w:rPr>
          <w:i/>
          <w:iCs/>
          <w:lang w:val="en-GB"/>
        </w:rPr>
      </w:pPr>
      <w:r w:rsidRPr="00C6610A">
        <w:rPr>
          <w:lang w:val="en-GB"/>
        </w:rPr>
        <w:t>Proposal for a Supplement [x] to 04, 05 and 06 series of amendments to UN Regulation No. 10</w:t>
      </w:r>
      <w:r w:rsidRPr="00C6610A">
        <w:rPr>
          <w:i/>
          <w:iCs/>
          <w:lang w:val="en-GB"/>
        </w:rPr>
        <w:br/>
        <w:t xml:space="preserve">Annex 6, Paragraph 3.3.4., amend to read: </w:t>
      </w:r>
    </w:p>
    <w:p w14:paraId="6413EAB5" w14:textId="77777777" w:rsidR="007170D5" w:rsidRPr="00C6610A" w:rsidRDefault="007170D5" w:rsidP="007170D5">
      <w:pPr>
        <w:ind w:left="709" w:hanging="709"/>
        <w:rPr>
          <w:lang w:val="en-GB"/>
        </w:rPr>
      </w:pPr>
      <w:r w:rsidRPr="00C6610A">
        <w:rPr>
          <w:lang w:val="en-GB"/>
        </w:rPr>
        <w:t>"3.3.4.</w:t>
      </w:r>
      <w:r w:rsidRPr="00C6610A">
        <w:rPr>
          <w:lang w:val="en-GB"/>
        </w:rPr>
        <w:tab/>
        <w:t>Either at 1.0 ± 0.2 m behind the vertical centreline of the vehicle's front wheel</w:t>
      </w:r>
      <w:r w:rsidRPr="00C6610A">
        <w:rPr>
          <w:b/>
          <w:bCs/>
          <w:lang w:val="en-GB"/>
        </w:rPr>
        <w:t>(s)</w:t>
      </w:r>
      <w:r w:rsidRPr="00C6610A">
        <w:rPr>
          <w:lang w:val="en-GB"/>
        </w:rPr>
        <w:t xml:space="preserve"> (point C in Figure 1 of Appendix 1 to this annex) in the case of three-wheeled</w:t>
      </w:r>
      <w:r w:rsidRPr="00C6610A">
        <w:rPr>
          <w:b/>
          <w:bCs/>
          <w:lang w:val="en-GB"/>
        </w:rPr>
        <w:t xml:space="preserve"> or four-wheeled </w:t>
      </w:r>
      <w:r w:rsidRPr="00C6610A">
        <w:rPr>
          <w:lang w:val="en-GB"/>
        </w:rPr>
        <w:t xml:space="preserve">vehicles. </w:t>
      </w:r>
      <w:r w:rsidRPr="00C6610A">
        <w:rPr>
          <w:lang w:val="en-GB"/>
        </w:rPr>
        <w:br/>
      </w:r>
      <w:r w:rsidRPr="00C6610A">
        <w:rPr>
          <w:lang w:val="en-GB"/>
        </w:rPr>
        <w:br/>
        <w:t>Or at 0.2 ± 0.2 m behind the vertical centreline of the vehicle's front wheel (point D in Figure 2 of Appendix 1 to this annex) in the case of two-wheeled vehicles."</w:t>
      </w:r>
    </w:p>
    <w:p w14:paraId="6B200CAD" w14:textId="77777777" w:rsidR="007170D5" w:rsidRPr="00C6610A" w:rsidRDefault="007170D5" w:rsidP="007170D5">
      <w:pPr>
        <w:ind w:left="709" w:hanging="709"/>
        <w:rPr>
          <w:lang w:val="en-GB"/>
        </w:rPr>
      </w:pPr>
    </w:p>
    <w:p w14:paraId="47932A67" w14:textId="77777777" w:rsidR="007170D5" w:rsidRPr="00C6610A" w:rsidRDefault="007170D5" w:rsidP="007170D5">
      <w:pPr>
        <w:rPr>
          <w:i/>
          <w:iCs/>
          <w:lang w:val="en-GB"/>
        </w:rPr>
      </w:pPr>
      <w:r w:rsidRPr="00C6610A">
        <w:rPr>
          <w:lang w:val="en-GB"/>
        </w:rPr>
        <w:t>[</w:t>
      </w:r>
      <w:r w:rsidRPr="00C6610A">
        <w:rPr>
          <w:highlight w:val="cyan"/>
          <w:lang w:val="en-GB"/>
        </w:rPr>
        <w:t>or alternatively</w:t>
      </w:r>
      <w:r w:rsidRPr="00C6610A">
        <w:rPr>
          <w:lang w:val="en-GB"/>
        </w:rPr>
        <w:t xml:space="preserve"> </w:t>
      </w:r>
      <w:r w:rsidRPr="00C6610A">
        <w:rPr>
          <w:i/>
          <w:iCs/>
          <w:lang w:val="en-GB"/>
        </w:rPr>
        <w:t xml:space="preserve">Annex 6, Paragraph 3.2., amend to read: </w:t>
      </w:r>
    </w:p>
    <w:p w14:paraId="73CE9E70" w14:textId="77777777" w:rsidR="007170D5" w:rsidRPr="00C6610A" w:rsidRDefault="007170D5" w:rsidP="007170D5">
      <w:pPr>
        <w:rPr>
          <w:lang w:val="en-GB"/>
        </w:rPr>
      </w:pPr>
      <w:r w:rsidRPr="00C6610A">
        <w:rPr>
          <w:lang w:val="en-GB"/>
        </w:rPr>
        <w:t>3.2. For categories M, N, O, T, R</w:t>
      </w:r>
      <w:r w:rsidRPr="00C6610A">
        <w:rPr>
          <w:b/>
          <w:bCs/>
          <w:lang w:val="en-GB"/>
        </w:rPr>
        <w:t>,</w:t>
      </w:r>
      <w:r w:rsidRPr="00C6610A">
        <w:rPr>
          <w:lang w:val="en-GB"/>
        </w:rPr>
        <w:t xml:space="preserve"> </w:t>
      </w:r>
      <w:r w:rsidRPr="00C6610A">
        <w:rPr>
          <w:strike/>
          <w:lang w:val="en-GB"/>
        </w:rPr>
        <w:t>and</w:t>
      </w:r>
      <w:r w:rsidRPr="00C6610A">
        <w:rPr>
          <w:lang w:val="en-GB"/>
        </w:rPr>
        <w:t xml:space="preserve"> S</w:t>
      </w:r>
      <w:r w:rsidRPr="00C6610A">
        <w:rPr>
          <w:b/>
          <w:bCs/>
          <w:lang w:val="en-GB"/>
        </w:rPr>
        <w:t>, L6 and L7</w:t>
      </w:r>
      <w:r w:rsidRPr="00C6610A">
        <w:rPr>
          <w:lang w:val="en-GB"/>
        </w:rPr>
        <w:t xml:space="preserve"> vehicles according to ISO 11451-2.]</w:t>
      </w:r>
    </w:p>
    <w:p w14:paraId="58A1138A" w14:textId="77777777" w:rsidR="007170D5" w:rsidRPr="00C6610A" w:rsidRDefault="007170D5" w:rsidP="007170D5">
      <w:pPr>
        <w:rPr>
          <w:lang w:val="en-GB"/>
        </w:rPr>
      </w:pPr>
    </w:p>
    <w:p w14:paraId="367781DB" w14:textId="77777777" w:rsidR="007170D5" w:rsidRPr="00C6610A" w:rsidRDefault="007170D5" w:rsidP="007170D5">
      <w:pPr>
        <w:rPr>
          <w:b/>
          <w:bCs/>
          <w:u w:val="single"/>
          <w:lang w:val="en-GB"/>
        </w:rPr>
      </w:pPr>
      <w:r w:rsidRPr="00C6610A">
        <w:rPr>
          <w:b/>
          <w:bCs/>
          <w:u w:val="single"/>
          <w:lang w:val="en-GB"/>
        </w:rPr>
        <w:t>Justification:</w:t>
      </w:r>
    </w:p>
    <w:p w14:paraId="21BD778A" w14:textId="77777777" w:rsidR="007170D5" w:rsidRPr="00C6610A" w:rsidRDefault="007170D5" w:rsidP="007170D5">
      <w:pPr>
        <w:pStyle w:val="Paragraphedeliste"/>
        <w:numPr>
          <w:ilvl w:val="0"/>
          <w:numId w:val="1"/>
        </w:numPr>
        <w:rPr>
          <w:lang w:val="en-GB"/>
        </w:rPr>
      </w:pPr>
      <w:r w:rsidRPr="00C6610A">
        <w:rPr>
          <w:lang w:val="en-GB"/>
        </w:rPr>
        <w:t xml:space="preserve">Paragraph 3.3. of annex 6 prescribes reference point for category L vehicles for immunity of vehicles to electromagnetic radiation, but paragraph 3.3.4. specifies reference point for two and three-wheeled vehicles only. </w:t>
      </w:r>
      <w:r w:rsidRPr="00C6610A">
        <w:rPr>
          <w:lang w:val="en-GB"/>
        </w:rPr>
        <w:br/>
        <w:t>Reference point for category L6 and L7 defined in R.E.3 is not covered, and test setup is not clear.</w:t>
      </w:r>
    </w:p>
    <w:p w14:paraId="7C9FBFD2" w14:textId="77777777" w:rsidR="007170D5" w:rsidRPr="00C6610A" w:rsidRDefault="007170D5" w:rsidP="007170D5">
      <w:pPr>
        <w:pStyle w:val="Paragraphedeliste"/>
        <w:numPr>
          <w:ilvl w:val="0"/>
          <w:numId w:val="1"/>
        </w:numPr>
        <w:rPr>
          <w:lang w:val="en-GB"/>
        </w:rPr>
      </w:pPr>
      <w:r w:rsidRPr="00C6610A">
        <w:rPr>
          <w:lang w:val="en-GB"/>
        </w:rPr>
        <w:t xml:space="preserve">L2, L5 can have two front wheels, by analogy the same test setup </w:t>
      </w:r>
      <w:r>
        <w:rPr>
          <w:lang w:val="en-GB"/>
        </w:rPr>
        <w:t>is preferred</w:t>
      </w:r>
      <w:r w:rsidRPr="00C6610A">
        <w:rPr>
          <w:lang w:val="en-GB"/>
        </w:rPr>
        <w:t xml:space="preserve"> for L6, L7.</w:t>
      </w:r>
    </w:p>
    <w:p w14:paraId="178EE190" w14:textId="77777777" w:rsidR="007170D5" w:rsidRDefault="007170D5" w:rsidP="007170D5">
      <w:pPr>
        <w:pStyle w:val="Paragraphedeliste"/>
        <w:numPr>
          <w:ilvl w:val="0"/>
          <w:numId w:val="1"/>
        </w:numPr>
        <w:rPr>
          <w:lang w:val="en-GB"/>
        </w:rPr>
      </w:pPr>
      <w:r w:rsidRPr="006C4348">
        <w:rPr>
          <w:lang w:val="en-GB"/>
        </w:rPr>
        <w:t>References to R.E.3:</w:t>
      </w:r>
      <w:r w:rsidRPr="006C4348">
        <w:rPr>
          <w:lang w:val="en-GB"/>
        </w:rPr>
        <w:br/>
        <w:t xml:space="preserve">2.1.6. "Category L6": A vehicle with four wheels whose unladen mass is not more </w:t>
      </w:r>
      <w:proofErr w:type="gramStart"/>
      <w:r w:rsidRPr="006C4348">
        <w:rPr>
          <w:lang w:val="en-GB"/>
        </w:rPr>
        <w:t>.....</w:t>
      </w:r>
      <w:proofErr w:type="gramEnd"/>
      <w:r w:rsidRPr="006C4348">
        <w:rPr>
          <w:lang w:val="en-GB"/>
        </w:rPr>
        <w:br/>
        <w:t>2.1.7. "Category L7": A vehicle with four wheels, other than that classified for the category L6....</w:t>
      </w:r>
    </w:p>
    <w:p w14:paraId="5F7017F8" w14:textId="77777777" w:rsidR="007170D5" w:rsidRPr="006C4348" w:rsidRDefault="007170D5" w:rsidP="007170D5">
      <w:pPr>
        <w:pStyle w:val="Paragraphedeliste"/>
        <w:numPr>
          <w:ilvl w:val="0"/>
          <w:numId w:val="1"/>
        </w:numPr>
        <w:rPr>
          <w:lang w:val="en-GB"/>
        </w:rPr>
      </w:pPr>
      <w:r w:rsidRPr="006C4348">
        <w:rPr>
          <w:lang w:val="en-GB"/>
        </w:rPr>
        <w:t>Technical background:</w:t>
      </w:r>
    </w:p>
    <w:tbl>
      <w:tblPr>
        <w:tblStyle w:val="Grilledutablea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5910"/>
      </w:tblGrid>
      <w:tr w:rsidR="007170D5" w:rsidRPr="00C6610A" w14:paraId="6DE95774" w14:textId="77777777" w:rsidTr="002E7B3C">
        <w:tc>
          <w:tcPr>
            <w:tcW w:w="4150" w:type="dxa"/>
          </w:tcPr>
          <w:p w14:paraId="6A5469F2" w14:textId="77777777" w:rsidR="007170D5" w:rsidRPr="00C6610A" w:rsidRDefault="007170D5" w:rsidP="002E7B3C">
            <w:pPr>
              <w:rPr>
                <w:lang w:val="en-GB"/>
              </w:rPr>
            </w:pPr>
            <w:r w:rsidRPr="00C6610A">
              <w:rPr>
                <w:lang w:val="en-GB"/>
              </w:rPr>
              <w:t>Regulation No. 10, 3.3.4. (current text)</w:t>
            </w:r>
          </w:p>
        </w:tc>
        <w:tc>
          <w:tcPr>
            <w:tcW w:w="5910" w:type="dxa"/>
          </w:tcPr>
          <w:p w14:paraId="4371557C" w14:textId="77777777" w:rsidR="007170D5" w:rsidRPr="00C6610A" w:rsidRDefault="007170D5" w:rsidP="002E7B3C">
            <w:pPr>
              <w:rPr>
                <w:lang w:val="en-GB"/>
              </w:rPr>
            </w:pPr>
          </w:p>
        </w:tc>
      </w:tr>
      <w:tr w:rsidR="007170D5" w:rsidRPr="00C6610A" w14:paraId="0B5CA763" w14:textId="77777777" w:rsidTr="002E7B3C">
        <w:tc>
          <w:tcPr>
            <w:tcW w:w="4150" w:type="dxa"/>
          </w:tcPr>
          <w:p w14:paraId="2BCCDC14" w14:textId="77777777" w:rsidR="007170D5" w:rsidRPr="00C6610A" w:rsidRDefault="007170D5" w:rsidP="002E7B3C">
            <w:pPr>
              <w:rPr>
                <w:noProof/>
                <w:lang w:val="en-GB"/>
              </w:rPr>
            </w:pPr>
            <w:r w:rsidRPr="00C6610A">
              <w:rPr>
                <w:noProof/>
                <w:lang w:val="en-GB"/>
              </w:rPr>
              <w:t>two-wheeled vehicles</w:t>
            </w:r>
            <w:r w:rsidRPr="00C6610A">
              <w:rPr>
                <w:noProof/>
                <w:lang w:val="en-GB"/>
              </w:rPr>
              <w:br/>
              <w:t>0.2 ± 0.2 m behind ...front wheel</w:t>
            </w:r>
          </w:p>
        </w:tc>
        <w:tc>
          <w:tcPr>
            <w:tcW w:w="5910" w:type="dxa"/>
          </w:tcPr>
          <w:p w14:paraId="6D23A422" w14:textId="77777777" w:rsidR="007170D5" w:rsidRPr="00C6610A" w:rsidRDefault="007170D5" w:rsidP="002E7B3C">
            <w:pPr>
              <w:rPr>
                <w:noProof/>
                <w:lang w:val="en-GB"/>
              </w:rPr>
            </w:pPr>
            <w:r w:rsidRPr="00C6610A">
              <w:rPr>
                <w:noProof/>
                <w:lang w:val="en-GB"/>
              </w:rPr>
              <w:t>three-wheeled vehicles</w:t>
            </w:r>
            <w:r w:rsidRPr="00C6610A">
              <w:rPr>
                <w:noProof/>
                <w:lang w:val="en-GB"/>
              </w:rPr>
              <w:br/>
              <w:t>1.0 ± 0.2 m behind...</w:t>
            </w:r>
            <w:r w:rsidRPr="00C6610A">
              <w:rPr>
                <w:lang w:val="en-GB"/>
              </w:rPr>
              <w:t xml:space="preserve"> </w:t>
            </w:r>
            <w:r w:rsidRPr="00C6610A">
              <w:rPr>
                <w:noProof/>
                <w:lang w:val="en-GB"/>
              </w:rPr>
              <w:t>front wheel</w:t>
            </w:r>
          </w:p>
        </w:tc>
      </w:tr>
      <w:tr w:rsidR="007170D5" w:rsidRPr="00C6610A" w14:paraId="4FD0C050" w14:textId="77777777" w:rsidTr="002E7B3C">
        <w:tc>
          <w:tcPr>
            <w:tcW w:w="4150" w:type="dxa"/>
          </w:tcPr>
          <w:p w14:paraId="7C8E3E54" w14:textId="77777777" w:rsidR="007170D5" w:rsidRPr="00C6610A" w:rsidRDefault="007170D5" w:rsidP="002E7B3C">
            <w:pPr>
              <w:rPr>
                <w:lang w:val="en-GB"/>
              </w:rPr>
            </w:pPr>
            <w:r w:rsidRPr="00C6610A">
              <w:rPr>
                <w:noProof/>
                <w:lang w:val="en-GB"/>
              </w:rPr>
              <w:drawing>
                <wp:inline distT="0" distB="0" distL="0" distR="0" wp14:anchorId="569739A4" wp14:editId="72B30ABD">
                  <wp:extent cx="1860923" cy="2160000"/>
                  <wp:effectExtent l="0" t="0" r="635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0923" cy="2160000"/>
                          </a:xfrm>
                          <a:prstGeom prst="rect">
                            <a:avLst/>
                          </a:prstGeom>
                        </pic:spPr>
                      </pic:pic>
                    </a:graphicData>
                  </a:graphic>
                </wp:inline>
              </w:drawing>
            </w:r>
          </w:p>
        </w:tc>
        <w:tc>
          <w:tcPr>
            <w:tcW w:w="5910" w:type="dxa"/>
          </w:tcPr>
          <w:p w14:paraId="77FA13A6" w14:textId="77777777" w:rsidR="007170D5" w:rsidRPr="00C6610A" w:rsidRDefault="007170D5" w:rsidP="002E7B3C">
            <w:pPr>
              <w:rPr>
                <w:lang w:val="en-GB"/>
              </w:rPr>
            </w:pPr>
            <w:r w:rsidRPr="00C6610A">
              <w:rPr>
                <w:noProof/>
                <w:lang w:val="en-GB"/>
              </w:rPr>
              <w:drawing>
                <wp:inline distT="0" distB="0" distL="0" distR="0" wp14:anchorId="30636125" wp14:editId="095AC954">
                  <wp:extent cx="1681318" cy="2160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1318" cy="2160000"/>
                          </a:xfrm>
                          <a:prstGeom prst="rect">
                            <a:avLst/>
                          </a:prstGeom>
                        </pic:spPr>
                      </pic:pic>
                    </a:graphicData>
                  </a:graphic>
                </wp:inline>
              </w:drawing>
            </w:r>
          </w:p>
        </w:tc>
      </w:tr>
    </w:tbl>
    <w:p w14:paraId="166EA464" w14:textId="77777777" w:rsidR="007170D5" w:rsidRPr="00C6610A" w:rsidRDefault="007170D5" w:rsidP="007170D5">
      <w:pPr>
        <w:rPr>
          <w:lang w:val="en-GB"/>
        </w:rPr>
      </w:pPr>
    </w:p>
    <w:tbl>
      <w:tblPr>
        <w:tblStyle w:val="Grilledutableau"/>
        <w:tblW w:w="10060" w:type="dxa"/>
        <w:tblLook w:val="04A0" w:firstRow="1" w:lastRow="0" w:firstColumn="1" w:lastColumn="0" w:noHBand="0" w:noVBand="1"/>
      </w:tblPr>
      <w:tblGrid>
        <w:gridCol w:w="4150"/>
        <w:gridCol w:w="5910"/>
      </w:tblGrid>
      <w:tr w:rsidR="007170D5" w:rsidRPr="00C6610A" w14:paraId="32480A9C" w14:textId="77777777" w:rsidTr="002E7B3C">
        <w:tc>
          <w:tcPr>
            <w:tcW w:w="4150" w:type="dxa"/>
            <w:tcBorders>
              <w:top w:val="nil"/>
              <w:left w:val="nil"/>
              <w:bottom w:val="nil"/>
              <w:right w:val="nil"/>
            </w:tcBorders>
          </w:tcPr>
          <w:p w14:paraId="2DA55650" w14:textId="77777777" w:rsidR="007170D5" w:rsidRPr="00C6610A" w:rsidRDefault="007170D5" w:rsidP="002E7B3C">
            <w:pPr>
              <w:rPr>
                <w:lang w:val="en-GB"/>
              </w:rPr>
            </w:pPr>
            <w:r w:rsidRPr="00C6610A">
              <w:rPr>
                <w:lang w:val="en-GB"/>
              </w:rPr>
              <w:t>ISO11451-2</w:t>
            </w:r>
          </w:p>
        </w:tc>
        <w:tc>
          <w:tcPr>
            <w:tcW w:w="5910" w:type="dxa"/>
            <w:tcBorders>
              <w:top w:val="nil"/>
              <w:left w:val="nil"/>
              <w:bottom w:val="nil"/>
              <w:right w:val="nil"/>
            </w:tcBorders>
          </w:tcPr>
          <w:p w14:paraId="3AED0791" w14:textId="77777777" w:rsidR="007170D5" w:rsidRPr="00C6610A" w:rsidRDefault="007170D5" w:rsidP="002E7B3C">
            <w:pPr>
              <w:rPr>
                <w:lang w:val="en-GB"/>
              </w:rPr>
            </w:pPr>
          </w:p>
        </w:tc>
      </w:tr>
      <w:tr w:rsidR="007170D5" w:rsidRPr="00C6610A" w14:paraId="0B196D98" w14:textId="77777777" w:rsidTr="002E7B3C">
        <w:tc>
          <w:tcPr>
            <w:tcW w:w="4150" w:type="dxa"/>
            <w:tcBorders>
              <w:top w:val="nil"/>
              <w:left w:val="nil"/>
              <w:bottom w:val="nil"/>
              <w:right w:val="nil"/>
            </w:tcBorders>
          </w:tcPr>
          <w:p w14:paraId="10CBE0B6" w14:textId="77777777" w:rsidR="007170D5" w:rsidRPr="00C6610A" w:rsidRDefault="007170D5" w:rsidP="002E7B3C">
            <w:pPr>
              <w:rPr>
                <w:noProof/>
                <w:lang w:val="en-GB"/>
              </w:rPr>
            </w:pPr>
            <w:r w:rsidRPr="00C6610A">
              <w:rPr>
                <w:noProof/>
                <w:lang w:val="en-GB"/>
              </w:rPr>
              <w:t xml:space="preserve">(0,2 ± 0,2) m behind the front </w:t>
            </w:r>
          </w:p>
          <w:p w14:paraId="78785804" w14:textId="77777777" w:rsidR="007170D5" w:rsidRPr="00C6610A" w:rsidRDefault="007170D5" w:rsidP="002E7B3C">
            <w:pPr>
              <w:rPr>
                <w:noProof/>
                <w:lang w:val="en-GB"/>
              </w:rPr>
            </w:pPr>
            <w:r w:rsidRPr="00C6610A">
              <w:rPr>
                <w:noProof/>
                <w:lang w:val="en-GB"/>
              </w:rPr>
              <w:t>axle</w:t>
            </w:r>
          </w:p>
        </w:tc>
        <w:tc>
          <w:tcPr>
            <w:tcW w:w="5910" w:type="dxa"/>
            <w:tcBorders>
              <w:top w:val="nil"/>
              <w:left w:val="nil"/>
              <w:bottom w:val="nil"/>
              <w:right w:val="nil"/>
            </w:tcBorders>
          </w:tcPr>
          <w:p w14:paraId="3BD5909B" w14:textId="77777777" w:rsidR="007170D5" w:rsidRPr="00C6610A" w:rsidRDefault="007170D5" w:rsidP="002E7B3C">
            <w:pPr>
              <w:rPr>
                <w:noProof/>
                <w:lang w:val="en-GB"/>
              </w:rPr>
            </w:pPr>
            <w:r w:rsidRPr="00C6610A">
              <w:rPr>
                <w:b/>
                <w:bCs/>
                <w:noProof/>
                <w:lang w:val="en-GB"/>
              </w:rPr>
              <w:t>or</w:t>
            </w:r>
            <w:r w:rsidRPr="00C6610A">
              <w:rPr>
                <w:noProof/>
                <w:lang w:val="en-GB"/>
              </w:rPr>
              <w:t xml:space="preserve"> (1 ± 0,2) m inside the vehicle, measured from the point of intersection of the vehicle windscreen and hood</w:t>
            </w:r>
          </w:p>
        </w:tc>
      </w:tr>
      <w:tr w:rsidR="007170D5" w:rsidRPr="00C6610A" w14:paraId="56CB59E4" w14:textId="77777777" w:rsidTr="002E7B3C">
        <w:tc>
          <w:tcPr>
            <w:tcW w:w="4150" w:type="dxa"/>
            <w:tcBorders>
              <w:top w:val="nil"/>
              <w:left w:val="nil"/>
              <w:bottom w:val="nil"/>
              <w:right w:val="nil"/>
            </w:tcBorders>
          </w:tcPr>
          <w:p w14:paraId="698E072E" w14:textId="77777777" w:rsidR="007170D5" w:rsidRPr="00C6610A" w:rsidRDefault="007170D5" w:rsidP="002E7B3C">
            <w:pPr>
              <w:rPr>
                <w:lang w:val="en-GB"/>
              </w:rPr>
            </w:pPr>
            <w:r w:rsidRPr="00C6610A">
              <w:rPr>
                <w:noProof/>
                <w:lang w:val="en-GB"/>
              </w:rPr>
              <w:drawing>
                <wp:inline distT="0" distB="0" distL="0" distR="0" wp14:anchorId="66B0951B" wp14:editId="1F551EC7">
                  <wp:extent cx="2498526" cy="195146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8526" cy="1951463"/>
                          </a:xfrm>
                          <a:prstGeom prst="rect">
                            <a:avLst/>
                          </a:prstGeom>
                        </pic:spPr>
                      </pic:pic>
                    </a:graphicData>
                  </a:graphic>
                </wp:inline>
              </w:drawing>
            </w:r>
          </w:p>
        </w:tc>
        <w:tc>
          <w:tcPr>
            <w:tcW w:w="5910" w:type="dxa"/>
            <w:tcBorders>
              <w:top w:val="nil"/>
              <w:left w:val="nil"/>
              <w:bottom w:val="nil"/>
              <w:right w:val="nil"/>
            </w:tcBorders>
          </w:tcPr>
          <w:p w14:paraId="08B65AF0" w14:textId="77777777" w:rsidR="007170D5" w:rsidRPr="00C6610A" w:rsidRDefault="007170D5" w:rsidP="002E7B3C">
            <w:pPr>
              <w:rPr>
                <w:lang w:val="en-GB"/>
              </w:rPr>
            </w:pPr>
            <w:r w:rsidRPr="00C6610A">
              <w:rPr>
                <w:noProof/>
                <w:lang w:val="en-GB"/>
              </w:rPr>
              <w:drawing>
                <wp:inline distT="0" distB="0" distL="0" distR="0" wp14:anchorId="1F8A7656" wp14:editId="1DEA8401">
                  <wp:extent cx="2619394" cy="1695462"/>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9394" cy="1695462"/>
                          </a:xfrm>
                          <a:prstGeom prst="rect">
                            <a:avLst/>
                          </a:prstGeom>
                        </pic:spPr>
                      </pic:pic>
                    </a:graphicData>
                  </a:graphic>
                </wp:inline>
              </w:drawing>
            </w:r>
          </w:p>
        </w:tc>
      </w:tr>
      <w:tr w:rsidR="007170D5" w:rsidRPr="00C6610A" w14:paraId="23928266" w14:textId="77777777" w:rsidTr="002E7B3C">
        <w:tc>
          <w:tcPr>
            <w:tcW w:w="10060" w:type="dxa"/>
            <w:gridSpan w:val="2"/>
            <w:tcBorders>
              <w:top w:val="nil"/>
              <w:left w:val="nil"/>
              <w:bottom w:val="nil"/>
              <w:right w:val="nil"/>
            </w:tcBorders>
          </w:tcPr>
          <w:p w14:paraId="52445C37" w14:textId="77777777" w:rsidR="007170D5" w:rsidRPr="00C6610A" w:rsidRDefault="007170D5" w:rsidP="002E7B3C">
            <w:pPr>
              <w:rPr>
                <w:lang w:val="en-GB"/>
              </w:rPr>
            </w:pPr>
            <w:r w:rsidRPr="00C6610A">
              <w:rPr>
                <w:noProof/>
                <w:lang w:val="en-GB"/>
              </w:rPr>
              <w:t xml:space="preserve">whichever results in a reference point </w:t>
            </w:r>
            <w:r w:rsidRPr="00C6610A">
              <w:rPr>
                <w:b/>
                <w:bCs/>
                <w:noProof/>
                <w:lang w:val="en-GB"/>
              </w:rPr>
              <w:t>closer to the antenna</w:t>
            </w:r>
          </w:p>
        </w:tc>
      </w:tr>
    </w:tbl>
    <w:p w14:paraId="081F0C62" w14:textId="77777777" w:rsidR="005526F9" w:rsidRDefault="005526F9">
      <w:pPr>
        <w:rPr>
          <w:u w:val="single"/>
          <w:lang w:val="en-GB"/>
        </w:rPr>
      </w:pPr>
      <w:r>
        <w:rPr>
          <w:u w:val="single"/>
          <w:lang w:val="en-GB"/>
        </w:rPr>
        <w:br w:type="page"/>
      </w:r>
    </w:p>
    <w:p w14:paraId="33A43AD6" w14:textId="24E6587D" w:rsidR="007170D5" w:rsidRPr="00572504" w:rsidRDefault="000310D2" w:rsidP="007170D5">
      <w:pPr>
        <w:pStyle w:val="Paragraphedeliste"/>
        <w:numPr>
          <w:ilvl w:val="0"/>
          <w:numId w:val="2"/>
        </w:numPr>
        <w:rPr>
          <w:u w:val="single"/>
          <w:lang w:val="en-GB"/>
        </w:rPr>
      </w:pPr>
      <w:r>
        <w:rPr>
          <w:u w:val="single"/>
          <w:lang w:val="en-GB"/>
        </w:rPr>
        <w:lastRenderedPageBreak/>
        <w:t>M</w:t>
      </w:r>
      <w:r w:rsidR="007170D5" w:rsidRPr="00572504">
        <w:rPr>
          <w:u w:val="single"/>
          <w:lang w:val="en-GB"/>
        </w:rPr>
        <w:t>easurement of narrowband electromagnetic emissions at the vehicle broadcast radio antenna</w:t>
      </w:r>
    </w:p>
    <w:p w14:paraId="0B2EC4BB" w14:textId="77777777" w:rsidR="005526F9" w:rsidRDefault="005526F9" w:rsidP="007170D5">
      <w:pPr>
        <w:rPr>
          <w:lang w:val="en-GB"/>
        </w:rPr>
      </w:pPr>
    </w:p>
    <w:p w14:paraId="3E71EAD9" w14:textId="6771935A" w:rsidR="007170D5" w:rsidRPr="00C6610A" w:rsidRDefault="007170D5" w:rsidP="007170D5">
      <w:pPr>
        <w:rPr>
          <w:i/>
          <w:iCs/>
          <w:lang w:val="en-GB"/>
        </w:rPr>
      </w:pPr>
      <w:r w:rsidRPr="00572504">
        <w:rPr>
          <w:lang w:val="en-GB"/>
        </w:rPr>
        <w:t>Proposal for a Supplement [x] to 04, 05 and 06 series of amendments to UN Regulation No. 10</w:t>
      </w:r>
      <w:r w:rsidRPr="00572504">
        <w:rPr>
          <w:lang w:val="en-GB"/>
        </w:rPr>
        <w:br/>
      </w:r>
      <w:r w:rsidRPr="00C6610A">
        <w:rPr>
          <w:highlight w:val="cyan"/>
          <w:lang w:val="en-GB"/>
        </w:rPr>
        <w:t>[Proposal for [x] series of amendments to UN Regulation No. 10]</w:t>
      </w:r>
      <w:r w:rsidRPr="00C6610A">
        <w:rPr>
          <w:i/>
          <w:iCs/>
          <w:lang w:val="en-GB"/>
        </w:rPr>
        <w:br/>
        <w:t xml:space="preserve">Annex 5, Paragraph 1.3., amend to read: </w:t>
      </w:r>
    </w:p>
    <w:p w14:paraId="334B6F22" w14:textId="77777777" w:rsidR="007170D5" w:rsidRPr="00C6610A" w:rsidRDefault="007170D5" w:rsidP="007170D5">
      <w:pPr>
        <w:ind w:left="709" w:hanging="709"/>
        <w:rPr>
          <w:lang w:val="en-GB"/>
        </w:rPr>
      </w:pPr>
      <w:r w:rsidRPr="00C6610A">
        <w:rPr>
          <w:lang w:val="en-GB"/>
        </w:rPr>
        <w:t xml:space="preserve">1.3. </w:t>
      </w:r>
      <w:r w:rsidRPr="00C6610A">
        <w:rPr>
          <w:lang w:val="en-GB"/>
        </w:rPr>
        <w:tab/>
      </w:r>
      <w:r w:rsidRPr="00C81F44">
        <w:rPr>
          <w:strike/>
          <w:lang w:val="en-GB"/>
        </w:rPr>
        <w:t>As an initial step</w:t>
      </w:r>
      <w:r w:rsidRPr="00C6610A">
        <w:rPr>
          <w:b/>
          <w:bCs/>
          <w:lang w:val="en-GB"/>
        </w:rPr>
        <w:t xml:space="preserve"> Optionally</w:t>
      </w:r>
      <w:r w:rsidRPr="00C6610A">
        <w:rPr>
          <w:lang w:val="en-GB"/>
        </w:rPr>
        <w:t xml:space="preserve"> the levels of emissions in the Frequency Modulation (FM band (76 to 108 MHz) </w:t>
      </w:r>
      <w:proofErr w:type="gramStart"/>
      <w:r w:rsidRPr="00C81F44">
        <w:rPr>
          <w:strike/>
          <w:lang w:val="en-GB"/>
        </w:rPr>
        <w:t>shall</w:t>
      </w:r>
      <w:r w:rsidRPr="00C6610A">
        <w:rPr>
          <w:lang w:val="en-GB"/>
        </w:rPr>
        <w:t xml:space="preserve"> </w:t>
      </w:r>
      <w:r w:rsidRPr="005E6882">
        <w:rPr>
          <w:b/>
          <w:bCs/>
          <w:lang w:val="en-GB"/>
        </w:rPr>
        <w:t>may</w:t>
      </w:r>
      <w:proofErr w:type="gramEnd"/>
      <w:r>
        <w:rPr>
          <w:lang w:val="en-GB"/>
        </w:rPr>
        <w:t xml:space="preserve"> </w:t>
      </w:r>
      <w:r w:rsidRPr="00C6610A">
        <w:rPr>
          <w:lang w:val="en-GB"/>
        </w:rPr>
        <w:t>be measured at the vehicle broadcast radio antenna with an average detector. If the level specified in paragraph 6.3.2.4. of this Regulation is not exceeded, then the vehicle shall be deemed to comply with the requirements of this annex in respect of that frequency band and the full test shall not be carried out.</w:t>
      </w:r>
    </w:p>
    <w:p w14:paraId="6FF33F32" w14:textId="77777777" w:rsidR="007170D5" w:rsidRPr="00C6610A" w:rsidRDefault="007170D5" w:rsidP="007170D5">
      <w:pPr>
        <w:rPr>
          <w:b/>
          <w:bCs/>
          <w:u w:val="single"/>
          <w:lang w:val="en-GB"/>
        </w:rPr>
      </w:pPr>
    </w:p>
    <w:p w14:paraId="61CC44D1" w14:textId="77777777" w:rsidR="007170D5" w:rsidRPr="00C6610A" w:rsidRDefault="007170D5" w:rsidP="007170D5">
      <w:pPr>
        <w:rPr>
          <w:b/>
          <w:bCs/>
          <w:u w:val="single"/>
          <w:lang w:val="en-GB"/>
        </w:rPr>
      </w:pPr>
      <w:r w:rsidRPr="00C6610A">
        <w:rPr>
          <w:b/>
          <w:bCs/>
          <w:u w:val="single"/>
          <w:lang w:val="en-GB"/>
        </w:rPr>
        <w:t>Justification:</w:t>
      </w:r>
    </w:p>
    <w:p w14:paraId="7478F63E" w14:textId="77777777" w:rsidR="007170D5" w:rsidRPr="00C6610A" w:rsidRDefault="007170D5" w:rsidP="007170D5">
      <w:pPr>
        <w:pStyle w:val="Paragraphedeliste"/>
        <w:numPr>
          <w:ilvl w:val="0"/>
          <w:numId w:val="1"/>
        </w:numPr>
        <w:rPr>
          <w:lang w:val="en-GB"/>
        </w:rPr>
      </w:pPr>
      <w:r w:rsidRPr="00C6610A">
        <w:rPr>
          <w:lang w:val="en-GB"/>
        </w:rPr>
        <w:t>Old and partly redundant as an initial step there is prescribed to measure narrowband electromagnetic emissions from vehicles at the broadcast radio antenna. This shortened test procedure does not cover whole frequency range.</w:t>
      </w:r>
    </w:p>
    <w:p w14:paraId="5F8B8D13" w14:textId="77777777" w:rsidR="007170D5" w:rsidRPr="00C6610A" w:rsidRDefault="007170D5" w:rsidP="007170D5">
      <w:pPr>
        <w:pStyle w:val="Paragraphedeliste"/>
        <w:numPr>
          <w:ilvl w:val="0"/>
          <w:numId w:val="1"/>
        </w:numPr>
        <w:rPr>
          <w:lang w:val="en-GB"/>
        </w:rPr>
      </w:pPr>
      <w:r w:rsidRPr="00C6610A">
        <w:rPr>
          <w:lang w:val="en-GB"/>
        </w:rPr>
        <w:t xml:space="preserve">The method shall not be required as an initial step in case of providing full tests procedure. </w:t>
      </w:r>
    </w:p>
    <w:p w14:paraId="07B0091E" w14:textId="77777777" w:rsidR="007170D5" w:rsidRPr="00C6610A" w:rsidRDefault="007170D5" w:rsidP="007170D5">
      <w:pPr>
        <w:pStyle w:val="Paragraphedeliste"/>
        <w:rPr>
          <w:lang w:val="en-GB"/>
        </w:rPr>
      </w:pPr>
      <w:r>
        <w:rPr>
          <w:lang w:val="en-GB"/>
        </w:rPr>
        <w:t>M</w:t>
      </w:r>
      <w:r w:rsidRPr="00E55063">
        <w:rPr>
          <w:lang w:val="en-GB"/>
        </w:rPr>
        <w:t>easurement of narrowband electromagnetic emissions at the vehicle broadcast radio antenna</w:t>
      </w:r>
      <w:r>
        <w:rPr>
          <w:lang w:val="en-GB"/>
        </w:rPr>
        <w:t xml:space="preserve"> method could</w:t>
      </w:r>
      <w:r w:rsidRPr="00C6610A">
        <w:rPr>
          <w:lang w:val="en-GB"/>
        </w:rPr>
        <w:t xml:space="preserve"> be used as an option only.</w:t>
      </w:r>
    </w:p>
    <w:p w14:paraId="075A7701" w14:textId="77777777" w:rsidR="007170D5" w:rsidRPr="00676A2F" w:rsidRDefault="007170D5" w:rsidP="007170D5">
      <w:pPr>
        <w:pStyle w:val="Paragraphedeliste"/>
        <w:numPr>
          <w:ilvl w:val="0"/>
          <w:numId w:val="1"/>
        </w:numPr>
        <w:rPr>
          <w:highlight w:val="cyan"/>
          <w:lang w:val="en-GB"/>
        </w:rPr>
      </w:pPr>
      <w:r w:rsidRPr="00C6610A">
        <w:rPr>
          <w:highlight w:val="cyan"/>
          <w:lang w:val="en-GB"/>
        </w:rPr>
        <w:t>[Alternatively, there could be open discussion if the procedure is still valid and suitable. Only NOK results launch</w:t>
      </w:r>
      <w:r>
        <w:rPr>
          <w:highlight w:val="cyan"/>
          <w:lang w:val="en-GB"/>
        </w:rPr>
        <w:t>es</w:t>
      </w:r>
      <w:r w:rsidRPr="00676A2F">
        <w:rPr>
          <w:highlight w:val="cyan"/>
          <w:lang w:val="en-GB"/>
        </w:rPr>
        <w:t xml:space="preserve"> complete measurem</w:t>
      </w:r>
      <w:r w:rsidRPr="00AF119D">
        <w:rPr>
          <w:highlight w:val="cyan"/>
          <w:lang w:val="en-GB"/>
        </w:rPr>
        <w:t>ent in whole frequency range</w:t>
      </w:r>
      <w:r w:rsidRPr="00676A2F">
        <w:rPr>
          <w:highlight w:val="cyan"/>
          <w:lang w:val="en-GB"/>
        </w:rPr>
        <w:t>.]</w:t>
      </w:r>
    </w:p>
    <w:p w14:paraId="34941032" w14:textId="77777777" w:rsidR="007170D5" w:rsidRPr="00C6610A" w:rsidRDefault="007170D5" w:rsidP="007170D5">
      <w:pPr>
        <w:rPr>
          <w:lang w:val="en-GB"/>
        </w:rPr>
      </w:pPr>
    </w:p>
    <w:p w14:paraId="2F3E15CC" w14:textId="77777777" w:rsidR="007170D5" w:rsidRPr="00C6610A" w:rsidRDefault="007170D5" w:rsidP="007170D5">
      <w:pPr>
        <w:rPr>
          <w:lang w:val="en-GB"/>
        </w:rPr>
      </w:pPr>
    </w:p>
    <w:p w14:paraId="7BD6FF75" w14:textId="77777777" w:rsidR="007170D5" w:rsidRPr="00C6610A" w:rsidRDefault="007170D5" w:rsidP="007170D5">
      <w:pPr>
        <w:rPr>
          <w:highlight w:val="cyan"/>
          <w:lang w:val="en-GB"/>
        </w:rPr>
      </w:pPr>
    </w:p>
    <w:p w14:paraId="02132F3B" w14:textId="77777777" w:rsidR="007170D5" w:rsidRPr="00C6610A" w:rsidRDefault="007170D5" w:rsidP="007170D5">
      <w:pPr>
        <w:rPr>
          <w:highlight w:val="cyan"/>
          <w:lang w:val="en-GB"/>
        </w:rPr>
      </w:pPr>
    </w:p>
    <w:p w14:paraId="3507AA80" w14:textId="77777777" w:rsidR="007170D5" w:rsidRPr="00C6610A" w:rsidRDefault="007170D5" w:rsidP="007170D5">
      <w:pPr>
        <w:rPr>
          <w:highlight w:val="green"/>
          <w:lang w:val="en-GB"/>
        </w:rPr>
      </w:pPr>
      <w:r w:rsidRPr="00C6610A">
        <w:rPr>
          <w:highlight w:val="green"/>
          <w:lang w:val="en-GB"/>
        </w:rPr>
        <w:br w:type="page"/>
      </w:r>
    </w:p>
    <w:p w14:paraId="0224AF99" w14:textId="77777777" w:rsidR="007170D5" w:rsidRPr="008D5F15" w:rsidRDefault="007170D5" w:rsidP="007170D5">
      <w:pPr>
        <w:pStyle w:val="Paragraphedeliste"/>
        <w:numPr>
          <w:ilvl w:val="0"/>
          <w:numId w:val="2"/>
        </w:numPr>
        <w:rPr>
          <w:u w:val="single"/>
          <w:lang w:val="en-GB"/>
        </w:rPr>
      </w:pPr>
      <w:r>
        <w:rPr>
          <w:u w:val="single"/>
          <w:lang w:val="en-GB"/>
        </w:rPr>
        <w:lastRenderedPageBreak/>
        <w:t>Requirements for t</w:t>
      </w:r>
      <w:r w:rsidRPr="008D5F15">
        <w:rPr>
          <w:u w:val="single"/>
          <w:lang w:val="en-GB"/>
        </w:rPr>
        <w:t>rolleybuses</w:t>
      </w:r>
    </w:p>
    <w:p w14:paraId="39D052F0" w14:textId="77777777" w:rsidR="005526F9" w:rsidRDefault="005526F9" w:rsidP="007170D5">
      <w:pPr>
        <w:rPr>
          <w:lang w:val="en-GB"/>
        </w:rPr>
      </w:pPr>
    </w:p>
    <w:p w14:paraId="54712273" w14:textId="56E211C3" w:rsidR="007170D5" w:rsidRPr="00C6610A" w:rsidRDefault="007170D5" w:rsidP="007170D5">
      <w:pPr>
        <w:rPr>
          <w:i/>
          <w:iCs/>
          <w:lang w:val="en-GB"/>
        </w:rPr>
      </w:pPr>
      <w:r w:rsidRPr="00572504">
        <w:rPr>
          <w:lang w:val="en-GB"/>
        </w:rPr>
        <w:t>Proposal for a Supplement [x] to 04, 05 and 06 series of amendments to UN Regulation No. 10</w:t>
      </w:r>
      <w:r w:rsidRPr="00572504">
        <w:rPr>
          <w:lang w:val="en-GB"/>
        </w:rPr>
        <w:br/>
      </w:r>
      <w:r w:rsidRPr="00C6610A">
        <w:rPr>
          <w:highlight w:val="cyan"/>
          <w:lang w:val="en-GB"/>
        </w:rPr>
        <w:t>[Proposal for [x] series of amendments to UN Regulation No. 10]</w:t>
      </w:r>
      <w:r w:rsidRPr="00C6610A">
        <w:rPr>
          <w:i/>
          <w:iCs/>
          <w:lang w:val="en-GB"/>
        </w:rPr>
        <w:br/>
        <w:t xml:space="preserve">Annex </w:t>
      </w:r>
      <w:r>
        <w:rPr>
          <w:i/>
          <w:iCs/>
          <w:lang w:val="en-GB"/>
        </w:rPr>
        <w:t>4</w:t>
      </w:r>
      <w:r w:rsidRPr="00C6610A">
        <w:rPr>
          <w:i/>
          <w:iCs/>
          <w:lang w:val="en-GB"/>
        </w:rPr>
        <w:t>, Paragraph 1.</w:t>
      </w:r>
      <w:r>
        <w:rPr>
          <w:i/>
          <w:iCs/>
          <w:lang w:val="en-GB"/>
        </w:rPr>
        <w:t>2</w:t>
      </w:r>
      <w:r w:rsidRPr="00C6610A">
        <w:rPr>
          <w:i/>
          <w:iCs/>
          <w:lang w:val="en-GB"/>
        </w:rPr>
        <w:t xml:space="preserve">., amend to read: </w:t>
      </w:r>
    </w:p>
    <w:p w14:paraId="13437385" w14:textId="77777777" w:rsidR="007170D5" w:rsidRDefault="007170D5" w:rsidP="007170D5">
      <w:pPr>
        <w:ind w:left="709" w:hanging="709"/>
        <w:rPr>
          <w:lang w:val="en-GB"/>
        </w:rPr>
      </w:pPr>
      <w:r>
        <w:rPr>
          <w:lang w:val="en-GB"/>
        </w:rPr>
        <w:t>1.2</w:t>
      </w:r>
      <w:r>
        <w:rPr>
          <w:lang w:val="en-GB"/>
        </w:rPr>
        <w:tab/>
      </w:r>
      <w:r w:rsidRPr="001C1366">
        <w:rPr>
          <w:lang w:val="en-GB"/>
        </w:rPr>
        <w:t>Test method</w:t>
      </w:r>
      <w:r>
        <w:rPr>
          <w:lang w:val="en-GB"/>
        </w:rPr>
        <w:br/>
      </w:r>
      <w:r w:rsidRPr="001C1366">
        <w:rPr>
          <w:lang w:val="en-GB"/>
        </w:rPr>
        <w:t xml:space="preserve">This test is intended to measure the broadband emissions generated by electrical or electronic systems fitted to the vehicle (e.g. ignition system or electric motors). </w:t>
      </w:r>
      <w:r>
        <w:rPr>
          <w:lang w:val="en-GB"/>
        </w:rPr>
        <w:br/>
      </w:r>
      <w:r w:rsidRPr="001C1366">
        <w:rPr>
          <w:lang w:val="en-GB"/>
        </w:rPr>
        <w:t>If not otherwise stated in this annex the test shall be performed according to CISPR 12</w:t>
      </w:r>
      <w:r>
        <w:rPr>
          <w:lang w:val="en-GB"/>
        </w:rPr>
        <w:t>,</w:t>
      </w:r>
      <w:r w:rsidRPr="001C1366">
        <w:rPr>
          <w:b/>
          <w:bCs/>
          <w:lang w:val="en-GB"/>
        </w:rPr>
        <w:t xml:space="preserve"> </w:t>
      </w:r>
      <w:r>
        <w:rPr>
          <w:b/>
          <w:bCs/>
          <w:lang w:val="en-GB"/>
        </w:rPr>
        <w:t>n</w:t>
      </w:r>
      <w:r w:rsidRPr="001C1366">
        <w:rPr>
          <w:b/>
          <w:bCs/>
          <w:lang w:val="en-GB"/>
        </w:rPr>
        <w:t>otwithstanding to Annex G of the CISPR 12</w:t>
      </w:r>
      <w:r w:rsidRPr="001C1366">
        <w:rPr>
          <w:lang w:val="en-GB"/>
        </w:rPr>
        <w:t xml:space="preserve">. </w:t>
      </w:r>
    </w:p>
    <w:p w14:paraId="1DB3625A" w14:textId="77777777" w:rsidR="007170D5" w:rsidRDefault="007170D5" w:rsidP="007170D5">
      <w:pPr>
        <w:rPr>
          <w:i/>
          <w:iCs/>
          <w:lang w:val="en-GB"/>
        </w:rPr>
      </w:pPr>
    </w:p>
    <w:p w14:paraId="05D0D08B" w14:textId="77777777" w:rsidR="007170D5" w:rsidRPr="00C6610A" w:rsidRDefault="007170D5" w:rsidP="007170D5">
      <w:pPr>
        <w:rPr>
          <w:i/>
          <w:iCs/>
          <w:lang w:val="en-GB"/>
        </w:rPr>
      </w:pPr>
      <w:r w:rsidRPr="00C6610A">
        <w:rPr>
          <w:i/>
          <w:iCs/>
          <w:lang w:val="en-GB"/>
        </w:rPr>
        <w:t xml:space="preserve">Annex </w:t>
      </w:r>
      <w:r>
        <w:rPr>
          <w:i/>
          <w:iCs/>
          <w:lang w:val="en-GB"/>
        </w:rPr>
        <w:t>5</w:t>
      </w:r>
      <w:r w:rsidRPr="00C6610A">
        <w:rPr>
          <w:i/>
          <w:iCs/>
          <w:lang w:val="en-GB"/>
        </w:rPr>
        <w:t>, Paragraph 1.</w:t>
      </w:r>
      <w:r>
        <w:rPr>
          <w:i/>
          <w:iCs/>
          <w:lang w:val="en-GB"/>
        </w:rPr>
        <w:t>2</w:t>
      </w:r>
      <w:r w:rsidRPr="00C6610A">
        <w:rPr>
          <w:i/>
          <w:iCs/>
          <w:lang w:val="en-GB"/>
        </w:rPr>
        <w:t xml:space="preserve">., amend to read: </w:t>
      </w:r>
    </w:p>
    <w:p w14:paraId="36DD20AA" w14:textId="77777777" w:rsidR="007170D5" w:rsidRDefault="007170D5" w:rsidP="007170D5">
      <w:pPr>
        <w:ind w:left="709" w:hanging="709"/>
        <w:rPr>
          <w:b/>
          <w:bCs/>
          <w:lang w:val="en-GB"/>
        </w:rPr>
      </w:pPr>
      <w:r w:rsidRPr="006C4348">
        <w:rPr>
          <w:lang w:val="en-GB"/>
        </w:rPr>
        <w:t>1.2.</w:t>
      </w:r>
      <w:r>
        <w:rPr>
          <w:lang w:val="en-GB"/>
        </w:rPr>
        <w:tab/>
      </w:r>
      <w:r w:rsidRPr="006C4348">
        <w:rPr>
          <w:lang w:val="en-GB"/>
        </w:rPr>
        <w:t xml:space="preserve">Test method </w:t>
      </w:r>
      <w:r>
        <w:rPr>
          <w:lang w:val="en-GB"/>
        </w:rPr>
        <w:br/>
      </w:r>
      <w:r w:rsidRPr="006C4348">
        <w:rPr>
          <w:lang w:val="en-GB"/>
        </w:rPr>
        <w:t xml:space="preserve">This test is intended to measure the narrowband electromagnetic emissions that may emanate from microprocessor-based systems or other narrowband source. </w:t>
      </w:r>
      <w:r>
        <w:rPr>
          <w:lang w:val="en-GB"/>
        </w:rPr>
        <w:br/>
      </w:r>
      <w:r w:rsidRPr="006C4348">
        <w:rPr>
          <w:lang w:val="en-GB"/>
        </w:rPr>
        <w:t>If not otherwise stated in this annex the test shall be performed according to CISPR 12 or CISPR 25</w:t>
      </w:r>
      <w:r>
        <w:rPr>
          <w:lang w:val="en-GB"/>
        </w:rPr>
        <w:t xml:space="preserve">, </w:t>
      </w:r>
      <w:r>
        <w:rPr>
          <w:b/>
          <w:bCs/>
          <w:lang w:val="en-GB"/>
        </w:rPr>
        <w:t>n</w:t>
      </w:r>
      <w:r w:rsidRPr="001C1366">
        <w:rPr>
          <w:b/>
          <w:bCs/>
          <w:lang w:val="en-GB"/>
        </w:rPr>
        <w:t>otwithstanding to Annex G of the CISPR 12</w:t>
      </w:r>
      <w:r>
        <w:rPr>
          <w:b/>
          <w:bCs/>
          <w:lang w:val="en-GB"/>
        </w:rPr>
        <w:t xml:space="preserve"> and to Annex A of the CISPR 25.</w:t>
      </w:r>
    </w:p>
    <w:p w14:paraId="5C3AEE20" w14:textId="77777777" w:rsidR="007170D5" w:rsidRDefault="007170D5" w:rsidP="007170D5">
      <w:pPr>
        <w:ind w:left="709" w:hanging="709"/>
        <w:rPr>
          <w:b/>
          <w:bCs/>
          <w:lang w:val="en-GB"/>
        </w:rPr>
      </w:pPr>
    </w:p>
    <w:p w14:paraId="5BCE2FB1" w14:textId="77777777" w:rsidR="007170D5" w:rsidRPr="00C6610A" w:rsidRDefault="007170D5" w:rsidP="007170D5">
      <w:pPr>
        <w:rPr>
          <w:i/>
          <w:iCs/>
          <w:lang w:val="en-GB"/>
        </w:rPr>
      </w:pPr>
      <w:r>
        <w:rPr>
          <w:i/>
          <w:iCs/>
          <w:lang w:val="en-GB"/>
        </w:rPr>
        <w:t>Insert a new p</w:t>
      </w:r>
      <w:r w:rsidRPr="00C6610A">
        <w:rPr>
          <w:i/>
          <w:iCs/>
          <w:lang w:val="en-GB"/>
        </w:rPr>
        <w:t xml:space="preserve">aragraph </w:t>
      </w:r>
      <w:r>
        <w:rPr>
          <w:i/>
          <w:iCs/>
          <w:lang w:val="en-GB"/>
        </w:rPr>
        <w:t>6</w:t>
      </w:r>
      <w:r w:rsidRPr="00C6610A">
        <w:rPr>
          <w:i/>
          <w:iCs/>
          <w:lang w:val="en-GB"/>
        </w:rPr>
        <w:t>.</w:t>
      </w:r>
      <w:r>
        <w:rPr>
          <w:i/>
          <w:iCs/>
          <w:lang w:val="en-GB"/>
        </w:rPr>
        <w:t>10</w:t>
      </w:r>
      <w:r w:rsidRPr="00C6610A">
        <w:rPr>
          <w:i/>
          <w:iCs/>
          <w:lang w:val="en-GB"/>
        </w:rPr>
        <w:t>.</w:t>
      </w:r>
      <w:r>
        <w:rPr>
          <w:i/>
          <w:iCs/>
          <w:lang w:val="en-GB"/>
        </w:rPr>
        <w:t>7.4.</w:t>
      </w:r>
      <w:r w:rsidRPr="00C6610A">
        <w:rPr>
          <w:i/>
          <w:iCs/>
          <w:lang w:val="en-GB"/>
        </w:rPr>
        <w:t xml:space="preserve">, </w:t>
      </w:r>
    </w:p>
    <w:p w14:paraId="100892FD" w14:textId="77777777" w:rsidR="007170D5" w:rsidRPr="00DB005B" w:rsidRDefault="007170D5" w:rsidP="007170D5">
      <w:pPr>
        <w:ind w:left="709" w:hanging="709"/>
        <w:rPr>
          <w:lang w:val="en-GB"/>
        </w:rPr>
      </w:pPr>
      <w:r w:rsidRPr="00DB005B">
        <w:rPr>
          <w:lang w:val="en-GB"/>
        </w:rPr>
        <w:t>6.10.</w:t>
      </w:r>
      <w:r>
        <w:rPr>
          <w:lang w:val="en-GB"/>
        </w:rPr>
        <w:tab/>
      </w:r>
      <w:r w:rsidRPr="00DB005B">
        <w:rPr>
          <w:lang w:val="en-GB"/>
        </w:rPr>
        <w:t>Exceptions</w:t>
      </w:r>
    </w:p>
    <w:p w14:paraId="33FBA6CA" w14:textId="77777777" w:rsidR="007170D5" w:rsidRDefault="007170D5" w:rsidP="007170D5">
      <w:pPr>
        <w:ind w:left="709" w:hanging="709"/>
        <w:rPr>
          <w:b/>
          <w:bCs/>
          <w:lang w:val="en-GB"/>
        </w:rPr>
      </w:pPr>
      <w:r w:rsidRPr="005224F1">
        <w:rPr>
          <w:b/>
          <w:bCs/>
          <w:lang w:val="en-GB"/>
        </w:rPr>
        <w:t>6.10.7.4.</w:t>
      </w:r>
      <w:r>
        <w:rPr>
          <w:b/>
          <w:bCs/>
          <w:lang w:val="en-GB"/>
        </w:rPr>
        <w:tab/>
      </w:r>
      <w:r w:rsidRPr="005224F1">
        <w:rPr>
          <w:b/>
          <w:bCs/>
          <w:lang w:val="en-GB"/>
        </w:rPr>
        <w:t>"</w:t>
      </w:r>
      <w:r w:rsidRPr="005224F1">
        <w:rPr>
          <w:b/>
          <w:bCs/>
          <w:i/>
          <w:iCs/>
          <w:lang w:val="en-GB"/>
        </w:rPr>
        <w:t>Trolleybuses</w:t>
      </w:r>
      <w:r w:rsidRPr="005224F1">
        <w:rPr>
          <w:b/>
          <w:bCs/>
          <w:lang w:val="en-GB"/>
        </w:rPr>
        <w:t>"</w:t>
      </w:r>
      <w:r>
        <w:rPr>
          <w:b/>
          <w:bCs/>
          <w:lang w:val="en-GB"/>
        </w:rPr>
        <w:t xml:space="preserve">: AC </w:t>
      </w:r>
      <w:r w:rsidRPr="005224F1">
        <w:rPr>
          <w:b/>
          <w:bCs/>
          <w:lang w:val="en-GB"/>
        </w:rPr>
        <w:t>/</w:t>
      </w:r>
      <w:r>
        <w:rPr>
          <w:b/>
          <w:bCs/>
          <w:lang w:val="en-GB"/>
        </w:rPr>
        <w:t xml:space="preserve"> DC</w:t>
      </w:r>
      <w:r w:rsidRPr="005224F1">
        <w:rPr>
          <w:b/>
          <w:bCs/>
          <w:lang w:val="en-GB"/>
        </w:rPr>
        <w:t xml:space="preserve"> mains portion of the vehicle propulsion system shall be excluded from this </w:t>
      </w:r>
      <w:r>
        <w:rPr>
          <w:b/>
          <w:bCs/>
          <w:lang w:val="en-GB"/>
        </w:rPr>
        <w:t xml:space="preserve">Regulation. </w:t>
      </w:r>
    </w:p>
    <w:p w14:paraId="583A53AC" w14:textId="77777777" w:rsidR="007170D5" w:rsidRPr="00DB005B" w:rsidRDefault="007170D5" w:rsidP="007170D5">
      <w:pPr>
        <w:ind w:left="709" w:hanging="709"/>
        <w:rPr>
          <w:lang w:val="en-GB"/>
        </w:rPr>
      </w:pPr>
    </w:p>
    <w:p w14:paraId="50A8C17A" w14:textId="77777777" w:rsidR="007170D5" w:rsidRPr="00C6610A" w:rsidRDefault="007170D5" w:rsidP="007170D5">
      <w:pPr>
        <w:rPr>
          <w:b/>
          <w:bCs/>
          <w:u w:val="single"/>
          <w:lang w:val="en-GB"/>
        </w:rPr>
      </w:pPr>
      <w:r w:rsidRPr="00C6610A">
        <w:rPr>
          <w:b/>
          <w:bCs/>
          <w:u w:val="single"/>
          <w:lang w:val="en-GB"/>
        </w:rPr>
        <w:t>Justification:</w:t>
      </w:r>
    </w:p>
    <w:p w14:paraId="751356E9" w14:textId="77777777" w:rsidR="007170D5" w:rsidRPr="00D97CC8" w:rsidRDefault="007170D5" w:rsidP="007170D5">
      <w:pPr>
        <w:pStyle w:val="Paragraphedeliste"/>
        <w:numPr>
          <w:ilvl w:val="0"/>
          <w:numId w:val="1"/>
        </w:numPr>
        <w:rPr>
          <w:lang w:val="en-GB"/>
        </w:rPr>
      </w:pPr>
      <w:r w:rsidRPr="00D97CC8">
        <w:rPr>
          <w:lang w:val="en-GB"/>
        </w:rPr>
        <w:t xml:space="preserve">Trolleybuses are excluded from the test method of the </w:t>
      </w:r>
      <w:r>
        <w:rPr>
          <w:lang w:val="en-GB"/>
        </w:rPr>
        <w:t xml:space="preserve">current </w:t>
      </w:r>
      <w:r w:rsidRPr="00D97CC8">
        <w:rPr>
          <w:lang w:val="en-GB"/>
        </w:rPr>
        <w:t>CISPR 12 and 25 and covered by EN</w:t>
      </w:r>
      <w:r>
        <w:rPr>
          <w:lang w:val="en-GB"/>
        </w:rPr>
        <w:t xml:space="preserve"> </w:t>
      </w:r>
      <w:r w:rsidRPr="00D97CC8">
        <w:rPr>
          <w:lang w:val="en-GB"/>
        </w:rPr>
        <w:t>50121-3-1</w:t>
      </w:r>
      <w:r>
        <w:rPr>
          <w:lang w:val="en-GB"/>
        </w:rPr>
        <w:t xml:space="preserve"> even if contains</w:t>
      </w:r>
      <w:r w:rsidRPr="00D97CC8">
        <w:rPr>
          <w:lang w:val="en-GB"/>
        </w:rPr>
        <w:t xml:space="preserve"> combustion engine</w:t>
      </w:r>
      <w:r>
        <w:rPr>
          <w:lang w:val="en-GB"/>
        </w:rPr>
        <w:t>.</w:t>
      </w:r>
    </w:p>
    <w:p w14:paraId="01FA1093" w14:textId="77777777" w:rsidR="007170D5" w:rsidRPr="00566158" w:rsidRDefault="007170D5" w:rsidP="007170D5">
      <w:pPr>
        <w:pStyle w:val="Paragraphedeliste"/>
        <w:numPr>
          <w:ilvl w:val="0"/>
          <w:numId w:val="1"/>
        </w:numPr>
        <w:rPr>
          <w:lang w:val="en-GB"/>
        </w:rPr>
      </w:pPr>
      <w:r>
        <w:rPr>
          <w:lang w:val="en-GB"/>
        </w:rPr>
        <w:t>Note: N</w:t>
      </w:r>
      <w:r w:rsidRPr="006D16A8">
        <w:rPr>
          <w:lang w:val="en-GB"/>
        </w:rPr>
        <w:t>ew CISPR 12:2006 resp. CISPR 25:2008 and newer</w:t>
      </w:r>
      <w:r w:rsidRPr="0004419B">
        <w:rPr>
          <w:lang w:val="en-GB"/>
        </w:rPr>
        <w:t xml:space="preserve"> exclude </w:t>
      </w:r>
      <w:r>
        <w:rPr>
          <w:lang w:val="en-GB"/>
        </w:rPr>
        <w:t>m</w:t>
      </w:r>
      <w:r w:rsidRPr="00A10FE7">
        <w:rPr>
          <w:lang w:val="en-GB"/>
        </w:rPr>
        <w:t>ains portion of the vehicle propulsion system</w:t>
      </w:r>
      <w:r>
        <w:rPr>
          <w:lang w:val="en-GB"/>
        </w:rPr>
        <w:t xml:space="preserve"> </w:t>
      </w:r>
      <w:r w:rsidRPr="0004419B">
        <w:rPr>
          <w:lang w:val="en-GB"/>
        </w:rPr>
        <w:t xml:space="preserve">form the application of the </w:t>
      </w:r>
      <w:r>
        <w:rPr>
          <w:lang w:val="en-GB"/>
        </w:rPr>
        <w:t xml:space="preserve">test </w:t>
      </w:r>
      <w:r w:rsidRPr="0004419B">
        <w:rPr>
          <w:lang w:val="en-GB"/>
        </w:rPr>
        <w:t>method</w:t>
      </w:r>
      <w:r>
        <w:rPr>
          <w:lang w:val="en-GB"/>
        </w:rPr>
        <w:t>, see note (1) below.</w:t>
      </w:r>
    </w:p>
    <w:p w14:paraId="715A887A" w14:textId="77777777" w:rsidR="007170D5" w:rsidRDefault="007170D5" w:rsidP="007170D5">
      <w:pPr>
        <w:pStyle w:val="Paragraphedeliste"/>
        <w:numPr>
          <w:ilvl w:val="0"/>
          <w:numId w:val="1"/>
        </w:numPr>
        <w:rPr>
          <w:lang w:val="en-GB"/>
        </w:rPr>
      </w:pPr>
      <w:r>
        <w:rPr>
          <w:lang w:val="en-GB"/>
        </w:rPr>
        <w:t>S</w:t>
      </w:r>
      <w:r w:rsidRPr="0015653C">
        <w:rPr>
          <w:lang w:val="en-GB"/>
        </w:rPr>
        <w:t xml:space="preserve">ome </w:t>
      </w:r>
      <w:r>
        <w:rPr>
          <w:lang w:val="en-GB"/>
        </w:rPr>
        <w:t xml:space="preserve">contracting parties require to apply UN Regulation No. 10 for trolleybuses even without </w:t>
      </w:r>
      <w:r w:rsidRPr="009F7D8D">
        <w:rPr>
          <w:lang w:val="en-GB"/>
        </w:rPr>
        <w:t>mains independent propulsion system</w:t>
      </w:r>
      <w:r>
        <w:rPr>
          <w:lang w:val="en-GB"/>
        </w:rPr>
        <w:t>.</w:t>
      </w:r>
    </w:p>
    <w:p w14:paraId="3932AF8D" w14:textId="77777777" w:rsidR="007170D5" w:rsidRDefault="007170D5" w:rsidP="007170D5">
      <w:pPr>
        <w:pStyle w:val="Paragraphedeliste"/>
        <w:numPr>
          <w:ilvl w:val="0"/>
          <w:numId w:val="1"/>
        </w:numPr>
        <w:rPr>
          <w:lang w:val="en-GB"/>
        </w:rPr>
      </w:pPr>
      <w:r w:rsidRPr="002678B9">
        <w:rPr>
          <w:lang w:val="en-GB"/>
        </w:rPr>
        <w:t>There shall be clearly stated or declined if UN Regulation No. 10 shall be applicable</w:t>
      </w:r>
      <w:r>
        <w:rPr>
          <w:lang w:val="en-GB"/>
        </w:rPr>
        <w:t xml:space="preserve"> for trolleybuses and for main </w:t>
      </w:r>
      <w:r w:rsidRPr="0004419B">
        <w:rPr>
          <w:lang w:val="en-GB"/>
        </w:rPr>
        <w:t>propulsion system</w:t>
      </w:r>
      <w:r w:rsidRPr="002678B9">
        <w:rPr>
          <w:lang w:val="en-GB"/>
        </w:rPr>
        <w:t>.</w:t>
      </w:r>
    </w:p>
    <w:p w14:paraId="68858F1C" w14:textId="77777777" w:rsidR="007170D5" w:rsidRPr="002678B9" w:rsidRDefault="007170D5" w:rsidP="007170D5">
      <w:pPr>
        <w:pStyle w:val="Paragraphedeliste"/>
        <w:numPr>
          <w:ilvl w:val="0"/>
          <w:numId w:val="1"/>
        </w:numPr>
        <w:rPr>
          <w:lang w:val="en-GB"/>
        </w:rPr>
      </w:pPr>
      <w:r w:rsidRPr="002678B9">
        <w:rPr>
          <w:lang w:val="en-GB"/>
        </w:rPr>
        <w:t>Technical background (CISPR 12, annex G, resp. CISPR 25, annex A):</w:t>
      </w:r>
    </w:p>
    <w:p w14:paraId="66D00BAC" w14:textId="77777777" w:rsidR="007170D5" w:rsidRPr="00C6610A" w:rsidRDefault="007170D5" w:rsidP="007170D5">
      <w:pPr>
        <w:jc w:val="center"/>
        <w:rPr>
          <w:lang w:val="en-GB"/>
        </w:rPr>
      </w:pPr>
      <w:r>
        <w:rPr>
          <w:noProof/>
        </w:rPr>
        <w:lastRenderedPageBreak/>
        <w:drawing>
          <wp:inline distT="0" distB="0" distL="0" distR="0" wp14:anchorId="48D6EE22" wp14:editId="787A6B09">
            <wp:extent cx="5201779" cy="5520906"/>
            <wp:effectExtent l="0" t="0" r="0" b="381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5858" cy="5599530"/>
                    </a:xfrm>
                    <a:prstGeom prst="rect">
                      <a:avLst/>
                    </a:prstGeom>
                  </pic:spPr>
                </pic:pic>
              </a:graphicData>
            </a:graphic>
          </wp:inline>
        </w:drawing>
      </w:r>
    </w:p>
    <w:p w14:paraId="565CB1E8" w14:textId="77777777" w:rsidR="007170D5" w:rsidRPr="00186903" w:rsidRDefault="007170D5" w:rsidP="007170D5">
      <w:pPr>
        <w:pStyle w:val="Paragraphedeliste"/>
        <w:numPr>
          <w:ilvl w:val="0"/>
          <w:numId w:val="1"/>
        </w:numPr>
        <w:rPr>
          <w:i/>
          <w:iCs/>
          <w:lang w:val="en-GB"/>
        </w:rPr>
      </w:pPr>
      <w:r w:rsidRPr="00186903">
        <w:rPr>
          <w:lang w:val="en-GB"/>
        </w:rPr>
        <w:t>Following note is only in new CISPR 12:2006 resp. CISPR 25:2008 and newer:</w:t>
      </w:r>
      <w:r>
        <w:rPr>
          <w:lang w:val="en-GB"/>
        </w:rPr>
        <w:br/>
      </w:r>
      <w:r w:rsidRPr="00186903">
        <w:rPr>
          <w:i/>
          <w:iCs/>
          <w:lang w:val="en-GB"/>
        </w:rPr>
        <w:t xml:space="preserve">(1) In the case of a dual-mode trolley bus (e.g. propelled by power from either </w:t>
      </w:r>
      <w:proofErr w:type="spellStart"/>
      <w:r w:rsidRPr="00186903">
        <w:rPr>
          <w:i/>
          <w:iCs/>
          <w:lang w:val="en-GB"/>
        </w:rPr>
        <w:t>a.c</w:t>
      </w:r>
      <w:proofErr w:type="spellEnd"/>
      <w:r w:rsidRPr="00186903">
        <w:rPr>
          <w:i/>
          <w:iCs/>
          <w:lang w:val="en-GB"/>
        </w:rPr>
        <w:t>./</w:t>
      </w:r>
      <w:proofErr w:type="spellStart"/>
      <w:r w:rsidRPr="00186903">
        <w:rPr>
          <w:i/>
          <w:iCs/>
          <w:lang w:val="en-GB"/>
        </w:rPr>
        <w:t>d.c.</w:t>
      </w:r>
      <w:proofErr w:type="spellEnd"/>
      <w:r w:rsidRPr="00186903">
        <w:rPr>
          <w:i/>
          <w:iCs/>
          <w:lang w:val="en-GB"/>
        </w:rPr>
        <w:t xml:space="preserve"> mains or an internal combustion engine), the internal combustion propulsion system shall be included, but the </w:t>
      </w:r>
      <w:proofErr w:type="spellStart"/>
      <w:r w:rsidRPr="00186903">
        <w:rPr>
          <w:i/>
          <w:iCs/>
          <w:lang w:val="en-GB"/>
        </w:rPr>
        <w:t>a.c</w:t>
      </w:r>
      <w:proofErr w:type="spellEnd"/>
      <w:r w:rsidRPr="00186903">
        <w:rPr>
          <w:i/>
          <w:iCs/>
          <w:lang w:val="en-GB"/>
        </w:rPr>
        <w:t>./</w:t>
      </w:r>
      <w:proofErr w:type="spellStart"/>
      <w:r w:rsidRPr="00186903">
        <w:rPr>
          <w:i/>
          <w:iCs/>
          <w:lang w:val="en-GB"/>
        </w:rPr>
        <w:t>d.c.</w:t>
      </w:r>
      <w:proofErr w:type="spellEnd"/>
      <w:r w:rsidRPr="00186903">
        <w:rPr>
          <w:i/>
          <w:iCs/>
          <w:lang w:val="en-GB"/>
        </w:rPr>
        <w:t xml:space="preserve"> mains portion of the vehicle propulsion system shall be excluded from this standard.</w:t>
      </w:r>
    </w:p>
    <w:p w14:paraId="58A5D32B" w14:textId="77777777" w:rsidR="00080C49" w:rsidRPr="007170D5" w:rsidRDefault="00080C49">
      <w:pPr>
        <w:rPr>
          <w:lang w:val="en-GB"/>
        </w:rPr>
      </w:pPr>
    </w:p>
    <w:sectPr w:rsidR="00080C49" w:rsidRPr="007170D5" w:rsidSect="00135A33">
      <w:headerReference w:type="default" r:id="rId13"/>
      <w:pgSz w:w="11906" w:h="16838"/>
      <w:pgMar w:top="1276"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50AA" w14:textId="77777777" w:rsidR="00453A05" w:rsidRDefault="00453A05" w:rsidP="007170D5">
      <w:r>
        <w:separator/>
      </w:r>
    </w:p>
  </w:endnote>
  <w:endnote w:type="continuationSeparator" w:id="0">
    <w:p w14:paraId="325C3EFE" w14:textId="77777777" w:rsidR="00453A05" w:rsidRDefault="00453A05" w:rsidP="0071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AFAA" w14:textId="77777777" w:rsidR="00453A05" w:rsidRDefault="00453A05" w:rsidP="007170D5">
      <w:r>
        <w:separator/>
      </w:r>
    </w:p>
  </w:footnote>
  <w:footnote w:type="continuationSeparator" w:id="0">
    <w:p w14:paraId="429E5894" w14:textId="77777777" w:rsidR="00453A05" w:rsidRDefault="00453A05" w:rsidP="0071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2C90" w14:textId="655FD7AE" w:rsidR="006B5022" w:rsidRPr="00326F82" w:rsidRDefault="007170D5" w:rsidP="00326F82">
    <w:pPr>
      <w:pStyle w:val="En-tte"/>
      <w:tabs>
        <w:tab w:val="clear" w:pos="4536"/>
        <w:tab w:val="clear" w:pos="9072"/>
        <w:tab w:val="right" w:pos="10064"/>
      </w:tabs>
      <w:rPr>
        <w:sz w:val="16"/>
        <w:szCs w:val="16"/>
        <w:lang w:val="en-GB"/>
      </w:rPr>
    </w:pPr>
    <w:r w:rsidRPr="00326F82">
      <w:rPr>
        <w:sz w:val="16"/>
        <w:szCs w:val="16"/>
        <w:lang w:val="en-GB"/>
      </w:rPr>
      <w:t xml:space="preserve">Inputs from </w:t>
    </w:r>
    <w:r w:rsidR="00326F82" w:rsidRPr="00326F82">
      <w:rPr>
        <w:sz w:val="16"/>
        <w:szCs w:val="16"/>
        <w:lang w:val="en-GB"/>
      </w:rPr>
      <w:t xml:space="preserve">the expert from </w:t>
    </w:r>
    <w:r w:rsidRPr="00326F82">
      <w:rPr>
        <w:sz w:val="16"/>
        <w:szCs w:val="16"/>
        <w:lang w:val="en-GB"/>
      </w:rPr>
      <w:t>Czech Republic</w:t>
    </w:r>
    <w:r w:rsidRPr="00326F82">
      <w:rPr>
        <w:b/>
        <w:bCs/>
        <w:sz w:val="16"/>
        <w:szCs w:val="16"/>
        <w:lang w:val="en-GB"/>
      </w:rPr>
      <w:tab/>
    </w:r>
    <w:r w:rsidR="00326F82" w:rsidRPr="00326F82">
      <w:rPr>
        <w:sz w:val="16"/>
        <w:szCs w:val="16"/>
        <w:lang w:val="en-GB"/>
      </w:rPr>
      <w:t>TF-EMC-21-07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CD0"/>
    <w:multiLevelType w:val="hybridMultilevel"/>
    <w:tmpl w:val="BEBEF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CB660F"/>
    <w:multiLevelType w:val="hybridMultilevel"/>
    <w:tmpl w:val="3A7CF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D5"/>
    <w:rsid w:val="000310D2"/>
    <w:rsid w:val="00080C49"/>
    <w:rsid w:val="00135A33"/>
    <w:rsid w:val="00262EDD"/>
    <w:rsid w:val="00322377"/>
    <w:rsid w:val="00326F82"/>
    <w:rsid w:val="0035630A"/>
    <w:rsid w:val="00365F5F"/>
    <w:rsid w:val="00373634"/>
    <w:rsid w:val="004236C6"/>
    <w:rsid w:val="00453A05"/>
    <w:rsid w:val="005526F9"/>
    <w:rsid w:val="006F1270"/>
    <w:rsid w:val="007170D5"/>
    <w:rsid w:val="008941FF"/>
    <w:rsid w:val="00952DB7"/>
    <w:rsid w:val="00B63326"/>
    <w:rsid w:val="00C92062"/>
    <w:rsid w:val="00D86CEE"/>
    <w:rsid w:val="00F758F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ACC"/>
  <w15:chartTrackingRefBased/>
  <w15:docId w15:val="{DFFABCD4-8865-4E5E-AC2D-6A510610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49"/>
    <w:rPr>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7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70D5"/>
    <w:pPr>
      <w:ind w:left="720"/>
      <w:contextualSpacing/>
    </w:pPr>
  </w:style>
  <w:style w:type="paragraph" w:styleId="En-tte">
    <w:name w:val="header"/>
    <w:basedOn w:val="Normal"/>
    <w:link w:val="En-tteCar"/>
    <w:uiPriority w:val="99"/>
    <w:unhideWhenUsed/>
    <w:rsid w:val="007170D5"/>
    <w:pPr>
      <w:tabs>
        <w:tab w:val="center" w:pos="4536"/>
        <w:tab w:val="right" w:pos="9072"/>
      </w:tabs>
    </w:pPr>
  </w:style>
  <w:style w:type="character" w:customStyle="1" w:styleId="En-tteCar">
    <w:name w:val="En-tête Car"/>
    <w:basedOn w:val="Policepardfaut"/>
    <w:link w:val="En-tte"/>
    <w:uiPriority w:val="99"/>
    <w:rsid w:val="007170D5"/>
    <w:rPr>
      <w:lang w:val="cs-CZ"/>
    </w:rPr>
  </w:style>
  <w:style w:type="paragraph" w:styleId="Pieddepage">
    <w:name w:val="footer"/>
    <w:basedOn w:val="Normal"/>
    <w:link w:val="PieddepageCar"/>
    <w:uiPriority w:val="99"/>
    <w:unhideWhenUsed/>
    <w:rsid w:val="007170D5"/>
    <w:pPr>
      <w:tabs>
        <w:tab w:val="center" w:pos="4536"/>
        <w:tab w:val="right" w:pos="9072"/>
      </w:tabs>
    </w:pPr>
  </w:style>
  <w:style w:type="character" w:customStyle="1" w:styleId="PieddepageCar">
    <w:name w:val="Pied de page Car"/>
    <w:basedOn w:val="Policepardfaut"/>
    <w:link w:val="Pieddepage"/>
    <w:uiPriority w:val="99"/>
    <w:rsid w:val="007170D5"/>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935</Words>
  <Characters>5144</Characters>
  <Application>Microsoft Office Word</Application>
  <DocSecurity>4</DocSecurity>
  <Lines>42</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Piskac, Ludek</dc:creator>
  <cp:keywords/>
  <dc:description/>
  <cp:lastModifiedBy>Jean-Marc Prigent</cp:lastModifiedBy>
  <cp:revision>2</cp:revision>
  <dcterms:created xsi:type="dcterms:W3CDTF">2021-05-20T16:31:00Z</dcterms:created>
  <dcterms:modified xsi:type="dcterms:W3CDTF">2021-05-20T16:31:00Z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8094c8-480e-400b-91c4-c984b7e20814_Enabled">
    <vt:lpwstr>true</vt:lpwstr>
  </property>
  <property fmtid="{D5CDD505-2E9C-101B-9397-08002B2CF9AE}" pid="3" name="MSIP_Label_948094c8-480e-400b-91c4-c984b7e20814_SetDate">
    <vt:lpwstr>2021-05-20T13:30:52Z</vt:lpwstr>
  </property>
  <property fmtid="{D5CDD505-2E9C-101B-9397-08002B2CF9AE}" pid="4" name="MSIP_Label_948094c8-480e-400b-91c4-c984b7e20814_Method">
    <vt:lpwstr>Standard</vt:lpwstr>
  </property>
  <property fmtid="{D5CDD505-2E9C-101B-9397-08002B2CF9AE}" pid="5" name="MSIP_Label_948094c8-480e-400b-91c4-c984b7e20814_Name">
    <vt:lpwstr>948094c8-480e-400b-91c4-c984b7e20814</vt:lpwstr>
  </property>
  <property fmtid="{D5CDD505-2E9C-101B-9397-08002B2CF9AE}" pid="6" name="MSIP_Label_948094c8-480e-400b-91c4-c984b7e20814_SiteId">
    <vt:lpwstr>a1109567-0815-4e1f-88af-e23555482aaa</vt:lpwstr>
  </property>
  <property fmtid="{D5CDD505-2E9C-101B-9397-08002B2CF9AE}" pid="7" name="MSIP_Label_948094c8-480e-400b-91c4-c984b7e20814_ActionId">
    <vt:lpwstr>b95f2a4e-f347-42fe-a15d-6fd804dd2761</vt:lpwstr>
  </property>
  <property fmtid="{D5CDD505-2E9C-101B-9397-08002B2CF9AE}" pid="8" name="MSIP_Label_948094c8-480e-400b-91c4-c984b7e20814_ContentBits">
    <vt:lpwstr>0</vt:lpwstr>
  </property>
</Properties>
</file>