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E26C" w14:textId="64AD8330" w:rsidR="00886B93" w:rsidRPr="00886B93" w:rsidRDefault="00886B93" w:rsidP="00886B93">
      <w:pPr>
        <w:suppressAutoHyphens/>
        <w:spacing w:after="120" w:line="240" w:lineRule="atLeast"/>
        <w:ind w:left="1138" w:right="1138"/>
        <w:jc w:val="center"/>
        <w:rPr>
          <w:rFonts w:ascii="Times New Roman" w:eastAsia="Yu Mincho" w:hAnsi="Times New Roman" w:cs="Times New Roman"/>
          <w:b/>
          <w:sz w:val="20"/>
          <w:szCs w:val="20"/>
        </w:rPr>
      </w:pPr>
      <w:r w:rsidRPr="00886B93">
        <w:rPr>
          <w:rFonts w:ascii="Times New Roman" w:eastAsia="Yu Mincho" w:hAnsi="Times New Roman" w:cs="Times New Roman"/>
          <w:b/>
          <w:sz w:val="20"/>
          <w:szCs w:val="20"/>
        </w:rPr>
        <w:t>EDR/DSSAD IWG Recommended Revisions with Justifications to SIG ALKS DSSAD Proposal to Modify DSSAD for ALKS Provisions to Address Heavy Duty Vehicles</w:t>
      </w:r>
    </w:p>
    <w:p w14:paraId="58D59FD2" w14:textId="77777777" w:rsidR="00886B93" w:rsidRDefault="00886B93" w:rsidP="00886B93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Yu Mincho" w:hAnsi="Times New Roman" w:cs="Times New Roman"/>
          <w:bCs/>
          <w:sz w:val="20"/>
          <w:szCs w:val="20"/>
        </w:rPr>
      </w:pPr>
    </w:p>
    <w:p w14:paraId="552F6245" w14:textId="606D36A1" w:rsidR="00886B93" w:rsidRPr="00886B93" w:rsidRDefault="00886B93" w:rsidP="00886B93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Yu Mincho" w:hAnsi="Times New Roman" w:cs="Times New Roman"/>
          <w:bCs/>
          <w:sz w:val="20"/>
          <w:szCs w:val="20"/>
        </w:rPr>
      </w:pPr>
      <w:r w:rsidRPr="00886B93">
        <w:rPr>
          <w:rFonts w:ascii="Times New Roman" w:eastAsia="Yu Mincho" w:hAnsi="Times New Roman" w:cs="Times New Roman"/>
          <w:bCs/>
          <w:sz w:val="20"/>
          <w:szCs w:val="20"/>
        </w:rPr>
        <w:t>Revised proposal in “tracked changes” -</w:t>
      </w:r>
    </w:p>
    <w:p w14:paraId="15D9CCEE" w14:textId="77777777" w:rsidR="00886B93" w:rsidRPr="00886B93" w:rsidRDefault="00886B93" w:rsidP="00886B93">
      <w:pPr>
        <w:suppressAutoHyphens/>
        <w:spacing w:after="120" w:line="240" w:lineRule="atLeast"/>
        <w:ind w:left="851" w:right="1134" w:firstLine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886B93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Paragraph 8.4.3.,</w:t>
      </w:r>
      <w:r w:rsidRPr="00886B93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 xml:space="preserve"> delete and replace by new heading with subparagraphs to read:</w:t>
      </w:r>
      <w:r w:rsidRPr="00886B93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</w:t>
      </w:r>
    </w:p>
    <w:p w14:paraId="5F979476" w14:textId="77777777" w:rsidR="00886B93" w:rsidRPr="00886B93" w:rsidRDefault="00886B93" w:rsidP="00886B93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Yu Mincho" w:hAnsi="Times New Roman" w:cs="Times New Roman"/>
          <w:sz w:val="20"/>
          <w:szCs w:val="20"/>
        </w:rPr>
      </w:pPr>
      <w:r w:rsidRPr="00886B93">
        <w:rPr>
          <w:rFonts w:ascii="Times New Roman" w:eastAsia="Yu Mincho" w:hAnsi="Times New Roman" w:cs="Times New Roman"/>
          <w:sz w:val="20"/>
          <w:szCs w:val="20"/>
        </w:rPr>
        <w:t xml:space="preserve">“8.4.3. </w:t>
      </w:r>
      <w:r w:rsidRPr="00886B93">
        <w:rPr>
          <w:rFonts w:ascii="Times New Roman" w:eastAsia="Yu Mincho" w:hAnsi="Times New Roman" w:cs="Times New Roman"/>
          <w:sz w:val="20"/>
          <w:szCs w:val="20"/>
        </w:rPr>
        <w:tab/>
      </w:r>
      <w:r w:rsidRPr="00886B93">
        <w:rPr>
          <w:rFonts w:ascii="Times New Roman" w:eastAsia="Yu Mincho" w:hAnsi="Times New Roman" w:cs="Times New Roman"/>
          <w:strike/>
          <w:sz w:val="20"/>
          <w:szCs w:val="20"/>
        </w:rPr>
        <w:t>The data shall be retrievable even after an impact of a severity level set by UN Regulations Nos. 94, 95 or 137. If the main on-board vehicle power supply is not available, it shall still be possible to retrieve all data recorded on the DSSAD, as required by national and regional law.</w:t>
      </w:r>
      <w:r w:rsidRPr="00886B93">
        <w:rPr>
          <w:rFonts w:ascii="Times New Roman" w:eastAsia="Yu Mincho" w:hAnsi="Times New Roman" w:cs="Times New Roman"/>
          <w:sz w:val="20"/>
          <w:szCs w:val="20"/>
        </w:rPr>
        <w:t xml:space="preserve"> </w:t>
      </w:r>
    </w:p>
    <w:p w14:paraId="55275014" w14:textId="77777777" w:rsidR="00886B93" w:rsidRPr="00886B93" w:rsidRDefault="00886B93" w:rsidP="00886B93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Yu Mincho" w:hAnsi="Times New Roman" w:cs="Times New Roman"/>
          <w:b/>
          <w:sz w:val="20"/>
          <w:szCs w:val="20"/>
        </w:rPr>
      </w:pPr>
      <w:r w:rsidRPr="00886B93">
        <w:rPr>
          <w:rFonts w:ascii="Times New Roman" w:eastAsia="Yu Mincho" w:hAnsi="Times New Roman" w:cs="Times New Roman"/>
          <w:sz w:val="20"/>
          <w:szCs w:val="20"/>
        </w:rPr>
        <w:tab/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>Retrievability of data</w:t>
      </w:r>
    </w:p>
    <w:p w14:paraId="6037E79B" w14:textId="77777777" w:rsidR="00886B93" w:rsidRPr="00886B93" w:rsidRDefault="00886B93" w:rsidP="00886B93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Yu Mincho" w:hAnsi="Times New Roman" w:cs="Times New Roman"/>
          <w:b/>
          <w:sz w:val="20"/>
          <w:szCs w:val="20"/>
        </w:rPr>
      </w:pPr>
      <w:r w:rsidRPr="00886B93">
        <w:rPr>
          <w:rFonts w:ascii="Times New Roman" w:eastAsia="Yu Mincho" w:hAnsi="Times New Roman" w:cs="Times New Roman"/>
          <w:b/>
          <w:sz w:val="20"/>
          <w:szCs w:val="20"/>
        </w:rPr>
        <w:t>8.4.3.1.</w:t>
      </w:r>
      <w:r w:rsidRPr="00886B93">
        <w:rPr>
          <w:rFonts w:ascii="Times New Roman" w:eastAsia="Yu Mincho" w:hAnsi="Times New Roman" w:cs="Times New Roman"/>
          <w:sz w:val="20"/>
          <w:szCs w:val="20"/>
        </w:rPr>
        <w:tab/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>For vehicles of Category M</w:t>
      </w:r>
      <w:r w:rsidRPr="00886B93">
        <w:rPr>
          <w:rFonts w:ascii="Times New Roman" w:eastAsia="Yu Mincho" w:hAnsi="Times New Roman" w:cs="Times New Roman"/>
          <w:b/>
          <w:sz w:val="20"/>
          <w:szCs w:val="20"/>
          <w:vertAlign w:val="subscript"/>
        </w:rPr>
        <w:t>1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and N</w:t>
      </w:r>
      <w:r w:rsidRPr="00886B93">
        <w:rPr>
          <w:rFonts w:ascii="Times New Roman" w:eastAsia="Yu Mincho" w:hAnsi="Times New Roman" w:cs="Times New Roman"/>
          <w:b/>
          <w:sz w:val="20"/>
          <w:szCs w:val="20"/>
          <w:vertAlign w:val="subscript"/>
        </w:rPr>
        <w:t>1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the data </w:t>
      </w:r>
      <w:commentRangeStart w:id="0"/>
      <w:r w:rsidRPr="00886B93">
        <w:rPr>
          <w:rFonts w:ascii="Times New Roman" w:eastAsia="Yu Mincho" w:hAnsi="Times New Roman" w:cs="Times New Roman"/>
          <w:b/>
          <w:sz w:val="20"/>
          <w:szCs w:val="20"/>
          <w:u w:val="single"/>
        </w:rPr>
        <w:t>elements listed in paragraph 8.3.1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</w:t>
      </w:r>
      <w:commentRangeEnd w:id="0"/>
      <w:r w:rsidRPr="00886B93">
        <w:rPr>
          <w:rFonts w:ascii="Times New Roman" w:eastAsia="Times New Roman" w:hAnsi="Times New Roman" w:cs="Times New Roman"/>
          <w:sz w:val="16"/>
          <w:szCs w:val="16"/>
          <w:lang w:val="en-GB" w:eastAsia="fr-FR"/>
        </w:rPr>
        <w:commentReference w:id="0"/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>shall be retrievable even</w:t>
      </w:r>
      <w:r w:rsidRPr="00886B93">
        <w:rPr>
          <w:rFonts w:ascii="Times New Roman" w:eastAsia="Yu Mincho" w:hAnsi="Times New Roman" w:cs="Times New Roman"/>
          <w:b/>
          <w:strike/>
          <w:sz w:val="20"/>
          <w:szCs w:val="20"/>
        </w:rPr>
        <w:t xml:space="preserve"> 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>after an impact of a severity level set by UN Regulation</w:t>
      </w:r>
      <w:commentRangeStart w:id="1"/>
      <w:r w:rsidRPr="00886B93">
        <w:rPr>
          <w:rFonts w:ascii="Times New Roman" w:eastAsia="Yu Mincho" w:hAnsi="Times New Roman" w:cs="Times New Roman"/>
          <w:b/>
          <w:strike/>
          <w:sz w:val="20"/>
          <w:szCs w:val="20"/>
        </w:rPr>
        <w:t>s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</w:t>
      </w:r>
      <w:commentRangeEnd w:id="1"/>
      <w:r w:rsidRPr="00886B93">
        <w:rPr>
          <w:rFonts w:ascii="Times New Roman" w:eastAsia="Times New Roman" w:hAnsi="Times New Roman" w:cs="Times New Roman"/>
          <w:sz w:val="16"/>
          <w:szCs w:val="16"/>
          <w:lang w:val="en-GB" w:eastAsia="fr-FR"/>
        </w:rPr>
        <w:commentReference w:id="1"/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Nos. 94, 95 or 137 as applicable. </w:t>
      </w:r>
    </w:p>
    <w:p w14:paraId="5BBD0511" w14:textId="77777777" w:rsidR="00886B93" w:rsidRPr="00886B93" w:rsidRDefault="00886B93" w:rsidP="00886B93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Yu Mincho" w:hAnsi="Times New Roman" w:cs="Times New Roman"/>
          <w:b/>
          <w:sz w:val="20"/>
          <w:szCs w:val="20"/>
        </w:rPr>
      </w:pP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8.4.3.2. 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ab/>
        <w:t>For vehicles of Categories M</w:t>
      </w:r>
      <w:r w:rsidRPr="00886B93">
        <w:rPr>
          <w:rFonts w:ascii="Times New Roman" w:eastAsia="Yu Mincho" w:hAnsi="Times New Roman" w:cs="Times New Roman"/>
          <w:b/>
          <w:sz w:val="20"/>
          <w:szCs w:val="20"/>
          <w:vertAlign w:val="subscript"/>
        </w:rPr>
        <w:t>2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>, M</w:t>
      </w:r>
      <w:r w:rsidRPr="00886B93">
        <w:rPr>
          <w:rFonts w:ascii="Times New Roman" w:eastAsia="Yu Mincho" w:hAnsi="Times New Roman" w:cs="Times New Roman"/>
          <w:b/>
          <w:sz w:val="20"/>
          <w:szCs w:val="20"/>
          <w:vertAlign w:val="subscript"/>
        </w:rPr>
        <w:t>3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>, N</w:t>
      </w:r>
      <w:r w:rsidRPr="00886B93">
        <w:rPr>
          <w:rFonts w:ascii="Times New Roman" w:eastAsia="Yu Mincho" w:hAnsi="Times New Roman" w:cs="Times New Roman"/>
          <w:b/>
          <w:sz w:val="20"/>
          <w:szCs w:val="20"/>
          <w:vertAlign w:val="subscript"/>
        </w:rPr>
        <w:t>2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and N</w:t>
      </w:r>
      <w:r w:rsidRPr="00886B93">
        <w:rPr>
          <w:rFonts w:ascii="Times New Roman" w:eastAsia="Yu Mincho" w:hAnsi="Times New Roman" w:cs="Times New Roman"/>
          <w:b/>
          <w:sz w:val="20"/>
          <w:szCs w:val="20"/>
          <w:vertAlign w:val="subscript"/>
        </w:rPr>
        <w:t>3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, the following applies. </w:t>
      </w:r>
    </w:p>
    <w:p w14:paraId="7D783C42" w14:textId="77777777" w:rsidR="00886B93" w:rsidRPr="00886B93" w:rsidRDefault="00886B93" w:rsidP="00886B93">
      <w:pPr>
        <w:suppressAutoHyphens/>
        <w:spacing w:after="120" w:line="240" w:lineRule="atLeast"/>
        <w:ind w:left="2268" w:right="1134"/>
        <w:jc w:val="both"/>
        <w:rPr>
          <w:rFonts w:ascii="Times New Roman" w:eastAsia="Yu Mincho" w:hAnsi="Times New Roman" w:cs="Times New Roman"/>
          <w:b/>
          <w:sz w:val="20"/>
          <w:szCs w:val="20"/>
        </w:rPr>
      </w:pP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Either: </w:t>
      </w:r>
    </w:p>
    <w:p w14:paraId="08AC9D13" w14:textId="77777777" w:rsidR="00886B93" w:rsidRPr="00886B93" w:rsidRDefault="00886B93" w:rsidP="00886B93">
      <w:pPr>
        <w:suppressAutoHyphens/>
        <w:spacing w:after="120" w:line="240" w:lineRule="atLeast"/>
        <w:ind w:left="2268" w:right="1134"/>
        <w:jc w:val="both"/>
        <w:rPr>
          <w:rFonts w:ascii="Times New Roman" w:eastAsia="Yu Mincho" w:hAnsi="Times New Roman" w:cs="Times New Roman"/>
          <w:b/>
          <w:sz w:val="20"/>
          <w:szCs w:val="20"/>
        </w:rPr>
      </w:pPr>
      <w:r w:rsidRPr="00886B93">
        <w:rPr>
          <w:rFonts w:ascii="Times New Roman" w:eastAsia="Yu Mincho" w:hAnsi="Times New Roman" w:cs="Times New Roman"/>
          <w:b/>
          <w:sz w:val="20"/>
          <w:szCs w:val="20"/>
        </w:rPr>
        <w:t>(a)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ab/>
        <w:t xml:space="preserve">The data </w:t>
      </w:r>
      <w:r w:rsidRPr="00886B93">
        <w:rPr>
          <w:rFonts w:ascii="Times New Roman" w:eastAsia="Yu Mincho" w:hAnsi="Times New Roman" w:cs="Times New Roman"/>
          <w:b/>
          <w:sz w:val="20"/>
          <w:szCs w:val="20"/>
          <w:u w:val="single"/>
        </w:rPr>
        <w:t>elements listed in paragraph 8.3.1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shall be retrievable even after a mechanical shock </w:t>
      </w:r>
      <w:commentRangeStart w:id="2"/>
      <w:r w:rsidRPr="00886B93">
        <w:rPr>
          <w:rFonts w:ascii="Times New Roman" w:eastAsia="Yu Mincho" w:hAnsi="Times New Roman" w:cs="Times New Roman"/>
          <w:b/>
          <w:sz w:val="20"/>
          <w:szCs w:val="20"/>
          <w:u w:val="single"/>
        </w:rPr>
        <w:t>to applicable on-board data recording devices, if any, at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</w:t>
      </w:r>
      <w:commentRangeEnd w:id="2"/>
      <w:r w:rsidRPr="00886B93">
        <w:rPr>
          <w:rFonts w:ascii="Times New Roman" w:eastAsia="Times New Roman" w:hAnsi="Times New Roman" w:cs="Times New Roman"/>
          <w:sz w:val="16"/>
          <w:szCs w:val="16"/>
          <w:lang w:val="en-GB" w:eastAsia="fr-FR"/>
        </w:rPr>
        <w:commentReference w:id="2"/>
      </w:r>
      <w:r w:rsidRPr="00886B93">
        <w:rPr>
          <w:rFonts w:ascii="Times New Roman" w:eastAsia="Yu Mincho" w:hAnsi="Times New Roman" w:cs="Times New Roman"/>
          <w:b/>
          <w:strike/>
          <w:sz w:val="20"/>
          <w:szCs w:val="20"/>
        </w:rPr>
        <w:t>of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a severity level as specified in the component test of Annex 9C of the 03 series of amendment to UN Regulation No. 100, and </w:t>
      </w:r>
    </w:p>
    <w:p w14:paraId="6112A75C" w14:textId="77777777" w:rsidR="00886B93" w:rsidRPr="00886B93" w:rsidRDefault="00886B93" w:rsidP="00886B93">
      <w:pPr>
        <w:suppressAutoHyphens/>
        <w:spacing w:after="120" w:line="240" w:lineRule="atLeast"/>
        <w:ind w:left="2268" w:right="1134"/>
        <w:jc w:val="both"/>
        <w:rPr>
          <w:rFonts w:ascii="Times New Roman" w:eastAsia="Yu Mincho" w:hAnsi="Times New Roman" w:cs="Times New Roman"/>
          <w:b/>
          <w:sz w:val="20"/>
          <w:szCs w:val="20"/>
        </w:rPr>
      </w:pPr>
      <w:r w:rsidRPr="00886B93">
        <w:rPr>
          <w:rFonts w:ascii="Times New Roman" w:eastAsia="Yu Mincho" w:hAnsi="Times New Roman" w:cs="Times New Roman"/>
          <w:b/>
          <w:sz w:val="20"/>
          <w:szCs w:val="20"/>
        </w:rPr>
        <w:t>(b)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ab/>
      </w:r>
      <w:r w:rsidRPr="00886B93">
        <w:rPr>
          <w:rFonts w:ascii="Times New Roman" w:eastAsia="Yu Mincho" w:hAnsi="Times New Roman" w:cs="Times New Roman"/>
          <w:b/>
          <w:sz w:val="20"/>
          <w:szCs w:val="20"/>
          <w:u w:val="single"/>
        </w:rPr>
        <w:t>Any on-board device(s) utilized to meet this requirement by recording data elements listed in paragraph 8.3.1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</w:t>
      </w:r>
      <w:r w:rsidRPr="00886B93">
        <w:rPr>
          <w:rFonts w:ascii="Times New Roman" w:eastAsia="Yu Mincho" w:hAnsi="Times New Roman" w:cs="Times New Roman"/>
          <w:b/>
          <w:strike/>
          <w:sz w:val="20"/>
          <w:szCs w:val="20"/>
        </w:rPr>
        <w:t>The DSSAD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shall be mounted in </w:t>
      </w:r>
      <w:commentRangeStart w:id="3"/>
      <w:r w:rsidRPr="00886B93">
        <w:rPr>
          <w:rFonts w:ascii="Times New Roman" w:eastAsia="Yu Mincho" w:hAnsi="Times New Roman" w:cs="Times New Roman"/>
          <w:b/>
          <w:sz w:val="20"/>
          <w:szCs w:val="20"/>
          <w:u w:val="single"/>
        </w:rPr>
        <w:t>the vehicle cab/passenger compartment or shall be mounted in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a position</w:t>
      </w:r>
      <w:r w:rsidRPr="00886B93">
        <w:rPr>
          <w:rFonts w:ascii="Times New Roman" w:eastAsia="Yu Mincho" w:hAnsi="Times New Roman" w:cs="Times New Roman"/>
          <w:b/>
          <w:sz w:val="20"/>
          <w:szCs w:val="20"/>
          <w:u w:val="single"/>
        </w:rPr>
        <w:t>, or be of sufficient structural integrity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, </w:t>
      </w:r>
      <w:r w:rsidRPr="00886B93">
        <w:rPr>
          <w:rFonts w:ascii="Times New Roman" w:eastAsia="Yu Mincho" w:hAnsi="Times New Roman" w:cs="Times New Roman"/>
          <w:b/>
          <w:strike/>
          <w:sz w:val="20"/>
          <w:szCs w:val="20"/>
        </w:rPr>
        <w:t>such as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to </w:t>
      </w:r>
      <w:r w:rsidRPr="00886B93">
        <w:rPr>
          <w:rFonts w:ascii="Times New Roman" w:eastAsia="Yu Mincho" w:hAnsi="Times New Roman" w:cs="Times New Roman"/>
          <w:b/>
          <w:strike/>
          <w:sz w:val="20"/>
          <w:szCs w:val="20"/>
        </w:rPr>
        <w:t>be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protect</w:t>
      </w:r>
      <w:r w:rsidRPr="00886B93">
        <w:rPr>
          <w:rFonts w:ascii="Times New Roman" w:eastAsia="Yu Mincho" w:hAnsi="Times New Roman" w:cs="Times New Roman"/>
          <w:b/>
          <w:strike/>
          <w:sz w:val="20"/>
          <w:szCs w:val="20"/>
        </w:rPr>
        <w:t xml:space="preserve">ed 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against mechanical damage </w:t>
      </w:r>
      <w:r w:rsidRPr="00886B93">
        <w:rPr>
          <w:rFonts w:ascii="Times New Roman" w:eastAsia="Yu Mincho" w:hAnsi="Times New Roman" w:cs="Times New Roman"/>
          <w:b/>
          <w:sz w:val="20"/>
          <w:szCs w:val="20"/>
          <w:u w:val="single"/>
        </w:rPr>
        <w:t>that would preclude retrieval of the data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resulting from a typical vehicle crash (</w:t>
      </w:r>
      <w:proofErr w:type="gramStart"/>
      <w:r w:rsidRPr="00886B93">
        <w:rPr>
          <w:rFonts w:ascii="Times New Roman" w:eastAsia="Yu Mincho" w:hAnsi="Times New Roman" w:cs="Times New Roman"/>
          <w:b/>
          <w:sz w:val="20"/>
          <w:szCs w:val="20"/>
        </w:rPr>
        <w:t>e.g.</w:t>
      </w:r>
      <w:proofErr w:type="gramEnd"/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 frontal impact). This shall be </w:t>
      </w:r>
      <w:commentRangeEnd w:id="3"/>
      <w:r w:rsidRPr="00886B93">
        <w:rPr>
          <w:rFonts w:ascii="Times New Roman" w:eastAsia="Times New Roman" w:hAnsi="Times New Roman" w:cs="Times New Roman"/>
          <w:sz w:val="16"/>
          <w:szCs w:val="16"/>
          <w:lang w:val="en-GB" w:eastAsia="fr-FR"/>
        </w:rPr>
        <w:commentReference w:id="3"/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>demonstrated to the technical service together with appropriate documentation (</w:t>
      </w:r>
      <w:proofErr w:type="gramStart"/>
      <w:r w:rsidRPr="00886B93">
        <w:rPr>
          <w:rFonts w:ascii="Times New Roman" w:eastAsia="Yu Mincho" w:hAnsi="Times New Roman" w:cs="Times New Roman"/>
          <w:b/>
          <w:sz w:val="20"/>
          <w:szCs w:val="20"/>
        </w:rPr>
        <w:t>e.g.</w:t>
      </w:r>
      <w:proofErr w:type="gramEnd"/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calculations or simulations); </w:t>
      </w:r>
    </w:p>
    <w:p w14:paraId="23AB5CE0" w14:textId="77777777" w:rsidR="00886B93" w:rsidRPr="00886B93" w:rsidRDefault="00886B93" w:rsidP="00886B93">
      <w:pPr>
        <w:suppressAutoHyphens/>
        <w:spacing w:after="120" w:line="240" w:lineRule="atLeast"/>
        <w:ind w:left="2268" w:right="1134"/>
        <w:jc w:val="both"/>
        <w:rPr>
          <w:rFonts w:ascii="Times New Roman" w:eastAsia="Yu Mincho" w:hAnsi="Times New Roman" w:cs="Times New Roman"/>
          <w:b/>
          <w:sz w:val="20"/>
          <w:szCs w:val="20"/>
        </w:rPr>
      </w:pP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Or, alternatively, </w:t>
      </w:r>
    </w:p>
    <w:p w14:paraId="0016B8CC" w14:textId="77777777" w:rsidR="00886B93" w:rsidRPr="00886B93" w:rsidRDefault="00886B93" w:rsidP="00886B93">
      <w:pPr>
        <w:suppressAutoHyphens/>
        <w:spacing w:after="120" w:line="240" w:lineRule="atLeast"/>
        <w:ind w:left="2268" w:right="1134"/>
        <w:jc w:val="both"/>
        <w:rPr>
          <w:rFonts w:ascii="Times New Roman" w:eastAsia="Yu Mincho" w:hAnsi="Times New Roman" w:cs="Times New Roman"/>
          <w:b/>
          <w:sz w:val="20"/>
          <w:szCs w:val="20"/>
        </w:rPr>
      </w:pPr>
      <w:r w:rsidRPr="00886B93">
        <w:rPr>
          <w:rFonts w:ascii="Times New Roman" w:eastAsia="Yu Mincho" w:hAnsi="Times New Roman" w:cs="Times New Roman"/>
          <w:b/>
          <w:strike/>
          <w:sz w:val="20"/>
          <w:szCs w:val="20"/>
        </w:rPr>
        <w:t>Sufficient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Crash protection </w:t>
      </w:r>
      <w:r w:rsidRPr="00886B93">
        <w:rPr>
          <w:rFonts w:ascii="Times New Roman" w:eastAsia="Yu Mincho" w:hAnsi="Times New Roman" w:cs="Times New Roman"/>
          <w:b/>
          <w:sz w:val="20"/>
          <w:szCs w:val="20"/>
          <w:u w:val="single"/>
        </w:rPr>
        <w:t>of any on-board recording devices used to record data elements listed in paragraph 8.3.1,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may be demonstrated by the manufacturer by fulfilling the requirements of paragraph 8.4.3.1. (</w:t>
      </w:r>
      <w:proofErr w:type="gramStart"/>
      <w:r w:rsidRPr="00886B93">
        <w:rPr>
          <w:rFonts w:ascii="Times New Roman" w:eastAsia="Yu Mincho" w:hAnsi="Times New Roman" w:cs="Times New Roman"/>
          <w:b/>
          <w:sz w:val="20"/>
          <w:szCs w:val="20"/>
        </w:rPr>
        <w:t>e.g.</w:t>
      </w:r>
      <w:proofErr w:type="gramEnd"/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for M</w:t>
      </w:r>
      <w:r w:rsidRPr="00886B93">
        <w:rPr>
          <w:rFonts w:ascii="Times New Roman" w:eastAsia="Yu Mincho" w:hAnsi="Times New Roman" w:cs="Times New Roman"/>
          <w:b/>
          <w:sz w:val="20"/>
          <w:szCs w:val="20"/>
          <w:vertAlign w:val="subscript"/>
        </w:rPr>
        <w:t>2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/ N</w:t>
      </w:r>
      <w:r w:rsidRPr="00886B93">
        <w:rPr>
          <w:rFonts w:ascii="Times New Roman" w:eastAsia="Yu Mincho" w:hAnsi="Times New Roman" w:cs="Times New Roman"/>
          <w:b/>
          <w:sz w:val="20"/>
          <w:szCs w:val="20"/>
          <w:vertAlign w:val="subscript"/>
        </w:rPr>
        <w:t>2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vehicles derived from M</w:t>
      </w:r>
      <w:r w:rsidRPr="00886B93">
        <w:rPr>
          <w:rFonts w:ascii="Times New Roman" w:eastAsia="Yu Mincho" w:hAnsi="Times New Roman" w:cs="Times New Roman"/>
          <w:b/>
          <w:sz w:val="20"/>
          <w:szCs w:val="20"/>
          <w:vertAlign w:val="subscript"/>
        </w:rPr>
        <w:t>1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/ N</w:t>
      </w:r>
      <w:r w:rsidRPr="00886B93">
        <w:rPr>
          <w:rFonts w:ascii="Times New Roman" w:eastAsia="Yu Mincho" w:hAnsi="Times New Roman" w:cs="Times New Roman"/>
          <w:b/>
          <w:sz w:val="20"/>
          <w:szCs w:val="20"/>
          <w:vertAlign w:val="subscript"/>
        </w:rPr>
        <w:t>1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). </w:t>
      </w:r>
    </w:p>
    <w:p w14:paraId="02BC1F2A" w14:textId="77777777" w:rsidR="00886B93" w:rsidRPr="00886B93" w:rsidRDefault="00886B93" w:rsidP="00886B93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Yu Mincho" w:hAnsi="Times New Roman" w:cs="Times New Roman"/>
          <w:b/>
          <w:sz w:val="20"/>
          <w:szCs w:val="20"/>
        </w:rPr>
      </w:pP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8.4.3.3. 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ab/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ab/>
        <w:t xml:space="preserve">If the main on-board vehicle power supply is not available, </w:t>
      </w:r>
      <w:r w:rsidRPr="00886B93">
        <w:rPr>
          <w:rFonts w:ascii="Times New Roman" w:eastAsia="Yu Mincho" w:hAnsi="Times New Roman" w:cs="Times New Roman"/>
          <w:b/>
          <w:sz w:val="20"/>
          <w:szCs w:val="20"/>
          <w:u w:val="single"/>
        </w:rPr>
        <w:t>it shall still be possible to retrieve all recorded data elements listed in paragraph 8.3.1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 xml:space="preserve"> </w:t>
      </w:r>
      <w:r w:rsidRPr="00886B93">
        <w:rPr>
          <w:rFonts w:ascii="Times New Roman" w:eastAsia="Yu Mincho" w:hAnsi="Times New Roman" w:cs="Times New Roman"/>
          <w:b/>
          <w:strike/>
          <w:sz w:val="20"/>
          <w:szCs w:val="20"/>
        </w:rPr>
        <w:t>recorded on the DSSAD</w:t>
      </w:r>
      <w:r w:rsidRPr="00886B93">
        <w:rPr>
          <w:rFonts w:ascii="Times New Roman" w:eastAsia="Yu Mincho" w:hAnsi="Times New Roman" w:cs="Times New Roman"/>
          <w:b/>
          <w:sz w:val="20"/>
          <w:szCs w:val="20"/>
        </w:rPr>
        <w:t>, as required by national and regional law.”</w:t>
      </w:r>
    </w:p>
    <w:p w14:paraId="06043274" w14:textId="77777777" w:rsidR="00886B93" w:rsidRPr="00886B93" w:rsidRDefault="00886B93" w:rsidP="00886B93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Yu Mincho" w:hAnsi="Times New Roman" w:cs="Times New Roman"/>
          <w:b/>
          <w:sz w:val="20"/>
          <w:szCs w:val="20"/>
        </w:rPr>
      </w:pPr>
    </w:p>
    <w:p w14:paraId="6A104301" w14:textId="77777777" w:rsidR="00886B93" w:rsidRPr="00886B93" w:rsidRDefault="00886B93" w:rsidP="00886B93">
      <w:pPr>
        <w:suppressAutoHyphens/>
        <w:spacing w:before="240"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fr-FR"/>
        </w:rPr>
      </w:pPr>
      <w:r w:rsidRPr="00886B93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fr-FR"/>
        </w:rPr>
        <w:tab/>
      </w:r>
      <w:r w:rsidRPr="00886B93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fr-FR"/>
        </w:rPr>
        <w:tab/>
      </w:r>
      <w:r w:rsidRPr="00886B93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fr-FR"/>
        </w:rPr>
        <w:tab/>
      </w:r>
    </w:p>
    <w:p w14:paraId="14BE49BF" w14:textId="77777777" w:rsidR="001B4DA2" w:rsidRDefault="001B4DA2"/>
    <w:sectPr w:rsidR="001B4DA2" w:rsidSect="00D84AF3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ott Schmidt" w:date="2021-07-01T07:38:00Z" w:initials="SS">
    <w:p w14:paraId="0CE77439" w14:textId="77777777" w:rsidR="00886B93" w:rsidRDefault="00886B93" w:rsidP="00886B93">
      <w:pPr>
        <w:pStyle w:val="CommentText"/>
      </w:pPr>
      <w:r>
        <w:rPr>
          <w:rStyle w:val="CommentReference"/>
        </w:rPr>
        <w:annotationRef/>
      </w:r>
      <w:r>
        <w:t>Clarifies that this only applies to the specified data elements and not to other data recording devices used by a manufacturer for other reasons.</w:t>
      </w:r>
    </w:p>
  </w:comment>
  <w:comment w:id="1" w:author="Scott Schmidt" w:date="2021-07-01T07:38:00Z" w:initials="SS">
    <w:p w14:paraId="26625D77" w14:textId="77777777" w:rsidR="00886B93" w:rsidRDefault="00886B93" w:rsidP="00886B93">
      <w:pPr>
        <w:pStyle w:val="CommentText"/>
      </w:pPr>
      <w:r>
        <w:rPr>
          <w:rStyle w:val="CommentReference"/>
        </w:rPr>
        <w:annotationRef/>
      </w:r>
      <w:r>
        <w:t>“Regulation” should be singular to clarify that this provision is intended to only require testing in one of the three referenced crash tests.</w:t>
      </w:r>
    </w:p>
  </w:comment>
  <w:comment w:id="2" w:author="Scott Schmidt" w:date="2021-07-01T07:40:00Z" w:initials="SS">
    <w:p w14:paraId="26A85EE5" w14:textId="77777777" w:rsidR="00886B93" w:rsidRDefault="00886B93" w:rsidP="00886B93">
      <w:pPr>
        <w:pStyle w:val="CommentText"/>
      </w:pPr>
      <w:r>
        <w:rPr>
          <w:rStyle w:val="CommentReference"/>
        </w:rPr>
        <w:annotationRef/>
      </w:r>
      <w:r>
        <w:t xml:space="preserve">This addresses potential inertial loading failure mechanism with a </w:t>
      </w:r>
      <w:r w:rsidRPr="00204F16">
        <w:rPr>
          <w:b/>
          <w:bCs/>
          <w:u w:val="single"/>
        </w:rPr>
        <w:t>component test</w:t>
      </w:r>
      <w:r>
        <w:t xml:space="preserve"> that is at a severity appropriate for Heavy Duty vehicles.</w:t>
      </w:r>
    </w:p>
    <w:p w14:paraId="244D47AB" w14:textId="77777777" w:rsidR="00886B93" w:rsidRDefault="00886B93" w:rsidP="00886B93">
      <w:pPr>
        <w:pStyle w:val="CommentText"/>
      </w:pPr>
    </w:p>
  </w:comment>
  <w:comment w:id="3" w:author="Scott Schmidt" w:date="2021-07-01T07:41:00Z" w:initials="SS">
    <w:p w14:paraId="43C321BE" w14:textId="77777777" w:rsidR="00886B93" w:rsidRDefault="00886B93" w:rsidP="00886B93">
      <w:pPr>
        <w:pStyle w:val="CommentText"/>
      </w:pPr>
      <w:r>
        <w:rPr>
          <w:rStyle w:val="CommentReference"/>
        </w:rPr>
        <w:annotationRef/>
      </w:r>
      <w:r>
        <w:t>Addresses placement to prevent potential direct impact/crushing loads that would preclude retrieval of the regulated data.  Also adds an “objective” compliance option that meets the intent of the provision.</w:t>
      </w:r>
    </w:p>
    <w:p w14:paraId="2FF25FD3" w14:textId="77777777" w:rsidR="00886B93" w:rsidRDefault="00886B93" w:rsidP="00886B9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E77439" w15:done="0"/>
  <w15:commentEx w15:paraId="26625D77" w15:done="0"/>
  <w15:commentEx w15:paraId="244D47AB" w15:done="0"/>
  <w15:commentEx w15:paraId="2FF25F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7EF73" w16cex:dateUtc="2021-07-01T11:38:00Z"/>
  <w16cex:commentExtensible w16cex:durableId="2487EF8D" w16cex:dateUtc="2021-07-01T11:38:00Z"/>
  <w16cex:commentExtensible w16cex:durableId="2487EFD6" w16cex:dateUtc="2021-07-01T11:40:00Z"/>
  <w16cex:commentExtensible w16cex:durableId="2487F03A" w16cex:dateUtc="2021-07-01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E77439" w16cid:durableId="2487EF73"/>
  <w16cid:commentId w16cid:paraId="26625D77" w16cid:durableId="2487EF8D"/>
  <w16cid:commentId w16cid:paraId="244D47AB" w16cid:durableId="2487EFD6"/>
  <w16cid:commentId w16cid:paraId="2FF25FD3" w16cid:durableId="2487F0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9FCB" w14:textId="77777777" w:rsidR="00243EBC" w:rsidRDefault="00243EBC" w:rsidP="00886B93">
      <w:pPr>
        <w:spacing w:after="0" w:line="240" w:lineRule="auto"/>
      </w:pPr>
      <w:r>
        <w:separator/>
      </w:r>
    </w:p>
  </w:endnote>
  <w:endnote w:type="continuationSeparator" w:id="0">
    <w:p w14:paraId="51C5AC59" w14:textId="77777777" w:rsidR="00243EBC" w:rsidRDefault="00243EBC" w:rsidP="0088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66DC" w14:textId="77777777" w:rsidR="009C62EB" w:rsidRPr="009C62EB" w:rsidRDefault="00243EBC" w:rsidP="009C62EB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</w:instrText>
    </w:r>
    <w:r w:rsidRPr="00844BB6">
      <w:rPr>
        <w:b/>
        <w:sz w:val="18"/>
      </w:rPr>
      <w:instrText xml:space="preserve">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3F59" w14:textId="77777777" w:rsidR="00BC2088" w:rsidRPr="009C62EB" w:rsidRDefault="00243EBC" w:rsidP="009C62EB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D756" w14:textId="77777777" w:rsidR="00695FD4" w:rsidRDefault="00243EBC">
    <w:pPr>
      <w:pStyle w:val="Footer"/>
      <w:rPr>
        <w:b/>
        <w:bCs/>
        <w:sz w:val="18"/>
        <w:szCs w:val="18"/>
        <w:lang w:val="fr-CH"/>
      </w:rPr>
    </w:pPr>
  </w:p>
  <w:p w14:paraId="2B02BCE2" w14:textId="77777777" w:rsidR="00D24600" w:rsidRPr="00695FD4" w:rsidRDefault="00243EBC">
    <w:pPr>
      <w:pStyle w:val="Footer"/>
      <w:rPr>
        <w:b/>
        <w:bCs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3868" w14:textId="77777777" w:rsidR="00243EBC" w:rsidRDefault="00243EBC" w:rsidP="00886B93">
      <w:pPr>
        <w:spacing w:after="0" w:line="240" w:lineRule="auto"/>
      </w:pPr>
      <w:r>
        <w:separator/>
      </w:r>
    </w:p>
  </w:footnote>
  <w:footnote w:type="continuationSeparator" w:id="0">
    <w:p w14:paraId="04B7E64C" w14:textId="77777777" w:rsidR="00243EBC" w:rsidRDefault="00243EBC" w:rsidP="0088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E76A" w14:textId="77777777" w:rsidR="009E1B16" w:rsidRPr="009E1B16" w:rsidRDefault="00243EBC">
    <w:pPr>
      <w:pStyle w:val="Header"/>
      <w:rPr>
        <w:lang w:val="fr-CH"/>
      </w:rPr>
    </w:pPr>
    <w:r>
      <w:rPr>
        <w:lang w:val="fr-CH"/>
      </w:rPr>
      <w:t>ECE/TRANS/WP.29/GRVA/2021/</w:t>
    </w:r>
    <w:r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CACD" w14:textId="77777777" w:rsidR="0054350C" w:rsidRDefault="00243EBC" w:rsidP="00652F5C">
    <w:pPr>
      <w:pStyle w:val="Header"/>
    </w:pPr>
  </w:p>
  <w:tbl>
    <w:tblPr>
      <w:tblW w:w="8930" w:type="dxa"/>
      <w:tblLook w:val="0000" w:firstRow="0" w:lastRow="0" w:firstColumn="0" w:lastColumn="0" w:noHBand="0" w:noVBand="0"/>
    </w:tblPr>
    <w:tblGrid>
      <w:gridCol w:w="4253"/>
      <w:gridCol w:w="4677"/>
    </w:tblGrid>
    <w:tr w:rsidR="007442B5" w:rsidRPr="002A0E4B" w14:paraId="78FBA209" w14:textId="77777777" w:rsidTr="00687E28">
      <w:tc>
        <w:tcPr>
          <w:tcW w:w="4253" w:type="dxa"/>
        </w:tcPr>
        <w:p w14:paraId="60A9DFA1" w14:textId="1E195F4F" w:rsidR="007442B5" w:rsidRPr="002A0E4B" w:rsidRDefault="00243EBC" w:rsidP="007442B5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</w:p>
      </w:tc>
      <w:tc>
        <w:tcPr>
          <w:tcW w:w="4677" w:type="dxa"/>
        </w:tcPr>
        <w:p w14:paraId="10070947" w14:textId="02F0FA6B" w:rsidR="007442B5" w:rsidRPr="00C739F2" w:rsidRDefault="00243EBC" w:rsidP="007442B5">
          <w:pPr>
            <w:tabs>
              <w:tab w:val="center" w:pos="4677"/>
              <w:tab w:val="right" w:pos="9355"/>
            </w:tabs>
            <w:spacing w:line="240" w:lineRule="auto"/>
            <w:ind w:left="1592"/>
            <w:rPr>
              <w:lang w:eastAsia="ar-SA"/>
            </w:rPr>
          </w:pPr>
        </w:p>
      </w:tc>
    </w:tr>
  </w:tbl>
  <w:p w14:paraId="68842AC7" w14:textId="77777777" w:rsidR="002A0E4B" w:rsidRDefault="00243EBC" w:rsidP="00652F5C">
    <w:pPr>
      <w:pStyle w:val="Header"/>
    </w:pPr>
  </w:p>
  <w:p w14:paraId="316A09B5" w14:textId="77777777" w:rsidR="00212863" w:rsidRDefault="00243EBC" w:rsidP="00652F5C">
    <w:pPr>
      <w:pStyle w:val="Header"/>
      <w:tabs>
        <w:tab w:val="left" w:pos="5381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ott Schmidt">
    <w15:presenceInfo w15:providerId="AD" w15:userId="S::SSchmidt@autosinnovate.org::17f7f6fc-af0b-4480-ac09-97e7c2dcea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93"/>
    <w:rsid w:val="001B4DA2"/>
    <w:rsid w:val="00243EBC"/>
    <w:rsid w:val="008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B9E35"/>
  <w15:chartTrackingRefBased/>
  <w15:docId w15:val="{CACB924B-CB9B-4B8D-961D-BA57A1ED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8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B93"/>
  </w:style>
  <w:style w:type="paragraph" w:styleId="Header">
    <w:name w:val="header"/>
    <w:basedOn w:val="Normal"/>
    <w:link w:val="HeaderChar"/>
    <w:uiPriority w:val="99"/>
    <w:semiHidden/>
    <w:unhideWhenUsed/>
    <w:rsid w:val="0088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B93"/>
  </w:style>
  <w:style w:type="character" w:styleId="CommentReference">
    <w:name w:val="annotation reference"/>
    <w:basedOn w:val="DefaultParagraphFont"/>
    <w:unhideWhenUsed/>
    <w:rsid w:val="00886B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rsid w:val="00886B93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Schmidt</dc:creator>
  <cp:keywords/>
  <dc:description/>
  <cp:lastModifiedBy>Scott Schmidt</cp:lastModifiedBy>
  <cp:revision>1</cp:revision>
  <dcterms:created xsi:type="dcterms:W3CDTF">2021-07-01T11:50:00Z</dcterms:created>
  <dcterms:modified xsi:type="dcterms:W3CDTF">2021-07-01T11:57:00Z</dcterms:modified>
</cp:coreProperties>
</file>