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8E9F" w14:textId="77777777" w:rsidR="00084BA4" w:rsidRDefault="00084BA4" w:rsidP="00084BA4">
      <w:bookmarkStart w:id="0" w:name="_Hlk68685575"/>
      <w:bookmarkEnd w:id="0"/>
    </w:p>
    <w:p w14:paraId="713C26FA" w14:textId="77777777" w:rsidR="00084BA4" w:rsidRDefault="00084BA4" w:rsidP="00084BA4"/>
    <w:p w14:paraId="2BB02E05" w14:textId="6EEC94A2" w:rsidR="00084BA4" w:rsidRPr="001A1A8C" w:rsidRDefault="00084BA4" w:rsidP="00084BA4">
      <w:pPr>
        <w:tabs>
          <w:tab w:val="right" w:leader="dot" w:pos="8505"/>
        </w:tabs>
        <w:spacing w:before="120" w:after="120"/>
        <w:rPr>
          <w:sz w:val="24"/>
          <w:szCs w:val="24"/>
          <w:lang w:eastAsia="ja-JP"/>
        </w:rPr>
      </w:pPr>
      <w:r>
        <w:rPr>
          <w:sz w:val="24"/>
          <w:szCs w:val="24"/>
          <w:lang w:eastAsia="ja-JP"/>
        </w:rPr>
        <w:t xml:space="preserve">                                                                                                                         </w:t>
      </w:r>
      <w:r w:rsidR="009B0C15">
        <w:rPr>
          <w:sz w:val="24"/>
          <w:szCs w:val="24"/>
          <w:lang w:eastAsia="ja-JP"/>
        </w:rPr>
        <w:t>20</w:t>
      </w:r>
      <w:r w:rsidR="001A0B53">
        <w:rPr>
          <w:sz w:val="24"/>
          <w:szCs w:val="24"/>
          <w:lang w:eastAsia="ja-JP"/>
        </w:rPr>
        <w:t>21</w:t>
      </w:r>
      <w:r w:rsidRPr="001A1A8C">
        <w:rPr>
          <w:sz w:val="24"/>
          <w:szCs w:val="24"/>
          <w:lang w:eastAsia="ja-JP"/>
        </w:rPr>
        <w:t xml:space="preserve">, </w:t>
      </w:r>
      <w:r w:rsidR="002C3CE4">
        <w:rPr>
          <w:sz w:val="24"/>
          <w:szCs w:val="24"/>
          <w:lang w:eastAsia="ja-JP"/>
        </w:rPr>
        <w:t>September</w:t>
      </w:r>
      <w:r w:rsidRPr="001A1A8C">
        <w:rPr>
          <w:sz w:val="24"/>
          <w:szCs w:val="24"/>
          <w:lang w:eastAsia="ja-JP"/>
        </w:rPr>
        <w:t xml:space="preserve"> </w:t>
      </w:r>
      <w:r w:rsidR="00982B95">
        <w:rPr>
          <w:sz w:val="24"/>
          <w:szCs w:val="24"/>
          <w:lang w:eastAsia="ja-JP"/>
        </w:rPr>
        <w:t>1</w:t>
      </w:r>
      <w:r w:rsidR="002C3CE4">
        <w:rPr>
          <w:sz w:val="24"/>
          <w:szCs w:val="24"/>
          <w:lang w:eastAsia="ja-JP"/>
        </w:rPr>
        <w:t>6</w:t>
      </w:r>
      <w:r w:rsidR="004517E8">
        <w:rPr>
          <w:sz w:val="24"/>
          <w:szCs w:val="24"/>
          <w:vertAlign w:val="superscript"/>
          <w:lang w:eastAsia="ja-JP"/>
        </w:rPr>
        <w:t>th</w:t>
      </w:r>
      <w:r>
        <w:rPr>
          <w:sz w:val="24"/>
          <w:szCs w:val="24"/>
          <w:lang w:eastAsia="ja-JP"/>
        </w:rPr>
        <w:t xml:space="preserve"> </w:t>
      </w:r>
    </w:p>
    <w:p w14:paraId="20E2508F" w14:textId="77777777" w:rsidR="00084BA4" w:rsidRPr="001A1A8C" w:rsidRDefault="00084BA4" w:rsidP="00084BA4">
      <w:pPr>
        <w:tabs>
          <w:tab w:val="right" w:leader="dot" w:pos="8505"/>
        </w:tabs>
        <w:spacing w:before="120" w:after="120"/>
        <w:rPr>
          <w:b/>
          <w:sz w:val="24"/>
          <w:szCs w:val="24"/>
          <w:lang w:eastAsia="ja-JP"/>
        </w:rPr>
      </w:pPr>
    </w:p>
    <w:p w14:paraId="0237BBAE" w14:textId="250EC938" w:rsidR="006F5E17" w:rsidRPr="00223485" w:rsidRDefault="004A0402" w:rsidP="00084BA4">
      <w:pPr>
        <w:tabs>
          <w:tab w:val="right" w:leader="dot" w:pos="8505"/>
        </w:tabs>
        <w:spacing w:before="120" w:after="120"/>
        <w:rPr>
          <w:b/>
          <w:lang w:eastAsia="ja-JP"/>
        </w:rPr>
      </w:pPr>
      <w:r w:rsidRPr="00223485">
        <w:rPr>
          <w:b/>
          <w:lang w:eastAsia="ja-JP"/>
        </w:rPr>
        <w:t>This document</w:t>
      </w:r>
      <w:r w:rsidR="0041604F" w:rsidRPr="00223485">
        <w:rPr>
          <w:b/>
          <w:lang w:eastAsia="ja-JP"/>
        </w:rPr>
        <w:t xml:space="preserve"> prepared </w:t>
      </w:r>
      <w:r w:rsidR="00B325C4" w:rsidRPr="00223485">
        <w:rPr>
          <w:b/>
          <w:lang w:eastAsia="ja-JP"/>
        </w:rPr>
        <w:t>by</w:t>
      </w:r>
      <w:r w:rsidR="0041604F" w:rsidRPr="00223485">
        <w:rPr>
          <w:b/>
          <w:lang w:eastAsia="ja-JP"/>
        </w:rPr>
        <w:t xml:space="preserve"> </w:t>
      </w:r>
      <w:r w:rsidR="006F5E17" w:rsidRPr="00223485">
        <w:rPr>
          <w:b/>
          <w:lang w:eastAsia="ja-JP"/>
        </w:rPr>
        <w:t xml:space="preserve">UTAC </w:t>
      </w:r>
      <w:r w:rsidR="0041604F" w:rsidRPr="00223485">
        <w:rPr>
          <w:b/>
          <w:lang w:eastAsia="ja-JP"/>
        </w:rPr>
        <w:t xml:space="preserve">experts </w:t>
      </w:r>
      <w:r w:rsidR="00710D74">
        <w:rPr>
          <w:b/>
          <w:lang w:eastAsia="ja-JP"/>
        </w:rPr>
        <w:t>is</w:t>
      </w:r>
      <w:r w:rsidR="00FF45AB" w:rsidRPr="00223485">
        <w:rPr>
          <w:b/>
          <w:lang w:eastAsia="ja-JP"/>
        </w:rPr>
        <w:t xml:space="preserve"> </w:t>
      </w:r>
      <w:r w:rsidR="009B6523">
        <w:rPr>
          <w:b/>
          <w:lang w:eastAsia="ja-JP"/>
        </w:rPr>
        <w:t>a complementary</w:t>
      </w:r>
      <w:r w:rsidR="00FF45AB" w:rsidRPr="00223485">
        <w:rPr>
          <w:b/>
          <w:lang w:eastAsia="ja-JP"/>
        </w:rPr>
        <w:t xml:space="preserve"> proposal </w:t>
      </w:r>
      <w:r w:rsidR="009B6523">
        <w:rPr>
          <w:b/>
          <w:lang w:eastAsia="ja-JP"/>
        </w:rPr>
        <w:t xml:space="preserve">of OICA 5 proposal </w:t>
      </w:r>
      <w:r w:rsidR="00B00E15">
        <w:rPr>
          <w:b/>
          <w:lang w:eastAsia="ja-JP"/>
        </w:rPr>
        <w:t xml:space="preserve">about </w:t>
      </w:r>
      <w:r w:rsidR="002F38C0" w:rsidRPr="002F38C0">
        <w:rPr>
          <w:b/>
          <w:lang w:eastAsia="ja-JP"/>
        </w:rPr>
        <w:t>7.5.2.2: Addition of non-residential limits for conducted emissions</w:t>
      </w:r>
    </w:p>
    <w:p w14:paraId="504F562F" w14:textId="77777777" w:rsidR="006F5E17" w:rsidRPr="002C3ABA" w:rsidRDefault="006F5E17" w:rsidP="00084BA4">
      <w:pPr>
        <w:tabs>
          <w:tab w:val="right" w:leader="dot" w:pos="8505"/>
        </w:tabs>
        <w:spacing w:before="120" w:after="120"/>
        <w:rPr>
          <w:bCs/>
          <w:highlight w:val="yellow"/>
          <w:lang w:eastAsia="ja-JP"/>
        </w:rPr>
      </w:pPr>
    </w:p>
    <w:p w14:paraId="5016BF24" w14:textId="1F43FED0" w:rsidR="001C6294" w:rsidRPr="001C6294" w:rsidRDefault="009B6523" w:rsidP="001C6294">
      <w:pPr>
        <w:jc w:val="both"/>
        <w:rPr>
          <w:rFonts w:ascii="Helvetica" w:hAnsi="Helvetica"/>
          <w:bCs/>
          <w:color w:val="000000"/>
          <w:sz w:val="27"/>
          <w:szCs w:val="27"/>
          <w:shd w:val="clear" w:color="auto" w:fill="F5F5F5"/>
        </w:rPr>
      </w:pPr>
      <w:r w:rsidRPr="001C6294">
        <w:rPr>
          <w:bCs/>
          <w:lang w:eastAsia="ja-JP"/>
        </w:rPr>
        <w:t>Although we understand and approve the technical proposal OICA 05 we wish to add</w:t>
      </w:r>
      <w:r w:rsidR="004F0D22">
        <w:rPr>
          <w:bCs/>
          <w:lang w:eastAsia="ja-JP"/>
        </w:rPr>
        <w:t xml:space="preserve"> the items as follow </w:t>
      </w:r>
      <w:r w:rsidR="004F0D22" w:rsidRPr="001C6294">
        <w:rPr>
          <w:bCs/>
          <w:lang w:eastAsia="ja-JP"/>
        </w:rPr>
        <w:t>to</w:t>
      </w:r>
      <w:r w:rsidRPr="001C6294">
        <w:rPr>
          <w:bCs/>
          <w:lang w:eastAsia="ja-JP"/>
        </w:rPr>
        <w:t xml:space="preserve"> this proposal in order to ensure that the vehicle approved for an industrial environment cannot be converted to adapt to residential environments without respecting the limits.</w:t>
      </w:r>
      <w:r w:rsidRPr="001C6294">
        <w:rPr>
          <w:rFonts w:ascii="Helvetica" w:hAnsi="Helvetica"/>
          <w:bCs/>
          <w:color w:val="000000"/>
          <w:sz w:val="27"/>
          <w:szCs w:val="27"/>
          <w:shd w:val="clear" w:color="auto" w:fill="F5F5F5"/>
        </w:rPr>
        <w:t xml:space="preserve"> </w:t>
      </w:r>
    </w:p>
    <w:p w14:paraId="5758DE36" w14:textId="3DCF6259" w:rsidR="001C6294" w:rsidRDefault="001C6294" w:rsidP="00E95938">
      <w:pPr>
        <w:rPr>
          <w:rFonts w:ascii="Helvetica" w:hAnsi="Helvetica"/>
          <w:color w:val="000000"/>
          <w:sz w:val="27"/>
          <w:szCs w:val="27"/>
          <w:shd w:val="clear" w:color="auto" w:fill="F5F5F5"/>
        </w:rPr>
      </w:pPr>
    </w:p>
    <w:p w14:paraId="57FCB6C3" w14:textId="14FC4D28" w:rsidR="001C6294" w:rsidRDefault="001C6294" w:rsidP="00E95938">
      <w:pPr>
        <w:rPr>
          <w:rFonts w:ascii="Helvetica" w:hAnsi="Helvetica"/>
          <w:color w:val="000000"/>
          <w:sz w:val="27"/>
          <w:szCs w:val="27"/>
          <w:shd w:val="clear" w:color="auto" w:fill="F5F5F5"/>
        </w:rPr>
      </w:pPr>
    </w:p>
    <w:p w14:paraId="2E28A3BE" w14:textId="64E57429" w:rsidR="001C6294" w:rsidRDefault="001C6294" w:rsidP="00E95938">
      <w:pPr>
        <w:rPr>
          <w:b/>
          <w:lang w:eastAsia="ja-JP"/>
        </w:rPr>
      </w:pPr>
      <w:r w:rsidRPr="001C6294">
        <w:rPr>
          <w:b/>
          <w:lang w:eastAsia="ja-JP"/>
        </w:rPr>
        <w:t>We propose to add</w:t>
      </w:r>
    </w:p>
    <w:p w14:paraId="13D10586" w14:textId="0139942F" w:rsidR="00505481" w:rsidRDefault="001C6294" w:rsidP="00957C99">
      <w:pPr>
        <w:pStyle w:val="Paragraphedeliste"/>
        <w:numPr>
          <w:ilvl w:val="0"/>
          <w:numId w:val="6"/>
        </w:numPr>
        <w:jc w:val="both"/>
        <w:rPr>
          <w:bCs/>
          <w:lang w:eastAsia="ja-JP"/>
        </w:rPr>
      </w:pPr>
      <w:r w:rsidRPr="008D6699">
        <w:rPr>
          <w:bCs/>
          <w:lang w:eastAsia="ja-JP"/>
        </w:rPr>
        <w:t xml:space="preserve">In annex 2A an item 73 concerning the </w:t>
      </w:r>
      <w:r w:rsidR="00037248">
        <w:rPr>
          <w:bCs/>
          <w:lang w:eastAsia="ja-JP"/>
        </w:rPr>
        <w:t>location</w:t>
      </w:r>
      <w:r w:rsidRPr="008D6699">
        <w:rPr>
          <w:bCs/>
          <w:lang w:eastAsia="ja-JP"/>
        </w:rPr>
        <w:t xml:space="preserve"> of charging (</w:t>
      </w:r>
      <w:r w:rsidR="00505481" w:rsidRPr="008D6699">
        <w:rPr>
          <w:bCs/>
        </w:rPr>
        <w:t>residential, commercial, light-industrial or industrial)</w:t>
      </w:r>
    </w:p>
    <w:p w14:paraId="39F562BC" w14:textId="22286BF7" w:rsidR="00957C99" w:rsidRPr="0010030D" w:rsidRDefault="00957C99" w:rsidP="00957C99">
      <w:pPr>
        <w:pStyle w:val="Paragraphedeliste"/>
        <w:numPr>
          <w:ilvl w:val="0"/>
          <w:numId w:val="6"/>
        </w:numPr>
        <w:jc w:val="both"/>
        <w:rPr>
          <w:bCs/>
          <w:lang w:eastAsia="ja-JP"/>
        </w:rPr>
      </w:pPr>
      <w:r w:rsidRPr="0010030D">
        <w:rPr>
          <w:bCs/>
        </w:rPr>
        <w:t>In annex 3A</w:t>
      </w:r>
      <w:r w:rsidR="007F1636" w:rsidRPr="0010030D">
        <w:rPr>
          <w:bCs/>
        </w:rPr>
        <w:t>, clause “</w:t>
      </w:r>
      <w:r w:rsidR="007F1636" w:rsidRPr="0010030D">
        <w:t>Appendix to type approval communication form No......... concerning the type approval of a vehicle under Regulation No. 10” create a new item 3 precise for EV and PHEV the location of charging</w:t>
      </w:r>
    </w:p>
    <w:p w14:paraId="43F3454B" w14:textId="0505822A" w:rsidR="00C63579" w:rsidRDefault="00C63579" w:rsidP="00C63579">
      <w:pPr>
        <w:pStyle w:val="Paragraphedeliste"/>
        <w:numPr>
          <w:ilvl w:val="1"/>
          <w:numId w:val="6"/>
        </w:numPr>
        <w:jc w:val="both"/>
        <w:rPr>
          <w:bCs/>
          <w:lang w:eastAsia="ja-JP"/>
        </w:rPr>
      </w:pPr>
      <w:r>
        <w:rPr>
          <w:bCs/>
        </w:rPr>
        <w:t>Type vehicle valid for residential</w:t>
      </w:r>
      <w:r w:rsidR="0010030D">
        <w:rPr>
          <w:bCs/>
        </w:rPr>
        <w:t xml:space="preserve"> location</w:t>
      </w:r>
    </w:p>
    <w:p w14:paraId="0BE7BA74" w14:textId="408453FD" w:rsidR="00C63579" w:rsidRDefault="00C63579" w:rsidP="00C63579">
      <w:pPr>
        <w:pStyle w:val="Paragraphedeliste"/>
        <w:numPr>
          <w:ilvl w:val="1"/>
          <w:numId w:val="6"/>
        </w:numPr>
        <w:jc w:val="both"/>
        <w:rPr>
          <w:bCs/>
          <w:lang w:eastAsia="ja-JP"/>
        </w:rPr>
      </w:pPr>
      <w:r>
        <w:rPr>
          <w:bCs/>
        </w:rPr>
        <w:t xml:space="preserve">Type vehicle valid for industrial </w:t>
      </w:r>
      <w:r w:rsidR="0010030D">
        <w:rPr>
          <w:bCs/>
        </w:rPr>
        <w:t>location</w:t>
      </w:r>
    </w:p>
    <w:p w14:paraId="7F0C09FA" w14:textId="77777777" w:rsidR="00C63579" w:rsidRPr="00C63579" w:rsidRDefault="00C63579" w:rsidP="00C63579">
      <w:pPr>
        <w:ind w:left="720"/>
        <w:jc w:val="both"/>
        <w:rPr>
          <w:bCs/>
          <w:lang w:eastAsia="ja-JP"/>
        </w:rPr>
      </w:pPr>
    </w:p>
    <w:p w14:paraId="5B584895" w14:textId="0E5997FD" w:rsidR="001C6294" w:rsidRPr="008D6699" w:rsidRDefault="008D6699" w:rsidP="00957C99">
      <w:pPr>
        <w:pStyle w:val="Paragraphedeliste"/>
        <w:numPr>
          <w:ilvl w:val="0"/>
          <w:numId w:val="6"/>
        </w:numPr>
        <w:jc w:val="both"/>
        <w:rPr>
          <w:bCs/>
          <w:lang w:eastAsia="ja-JP"/>
        </w:rPr>
      </w:pPr>
      <w:r w:rsidRPr="008D6699">
        <w:rPr>
          <w:bCs/>
          <w:lang w:eastAsia="ja-JP"/>
        </w:rPr>
        <w:t xml:space="preserve">All types of </w:t>
      </w:r>
      <w:r w:rsidR="00A26337" w:rsidRPr="008D6699">
        <w:rPr>
          <w:bCs/>
          <w:lang w:eastAsia="ja-JP"/>
        </w:rPr>
        <w:t>environment</w:t>
      </w:r>
      <w:r w:rsidRPr="008D6699">
        <w:rPr>
          <w:bCs/>
          <w:lang w:eastAsia="ja-JP"/>
        </w:rPr>
        <w:t xml:space="preserve"> should be </w:t>
      </w:r>
      <w:r w:rsidR="00037248" w:rsidRPr="008D6699">
        <w:rPr>
          <w:bCs/>
          <w:lang w:eastAsia="ja-JP"/>
        </w:rPr>
        <w:t>defined</w:t>
      </w:r>
      <w:r w:rsidR="00957C99">
        <w:rPr>
          <w:bCs/>
          <w:lang w:eastAsia="ja-JP"/>
        </w:rPr>
        <w:t xml:space="preserve"> in clause 2 “definition”</w:t>
      </w:r>
    </w:p>
    <w:p w14:paraId="04E5112F" w14:textId="33D2EC7C" w:rsidR="00F1326E" w:rsidRPr="00F1326E" w:rsidRDefault="00F1326E" w:rsidP="00F1326E">
      <w:pPr>
        <w:ind w:left="1080"/>
        <w:jc w:val="both"/>
        <w:rPr>
          <w:b/>
          <w:bCs/>
          <w:lang w:eastAsia="ja-JP"/>
        </w:rPr>
      </w:pPr>
      <w:r>
        <w:rPr>
          <w:b/>
          <w:bCs/>
        </w:rPr>
        <w:t>R</w:t>
      </w:r>
      <w:r w:rsidRPr="00F1326E">
        <w:rPr>
          <w:b/>
          <w:bCs/>
        </w:rPr>
        <w:t xml:space="preserve">esidential </w:t>
      </w:r>
      <w:r w:rsidR="00037248">
        <w:rPr>
          <w:b/>
          <w:bCs/>
        </w:rPr>
        <w:t>location</w:t>
      </w:r>
      <w:r>
        <w:rPr>
          <w:b/>
          <w:bCs/>
        </w:rPr>
        <w:t xml:space="preserve"> </w:t>
      </w:r>
      <w:r w:rsidRPr="00F1326E">
        <w:t>(clause 3.1.14 of IEC 61000-6-3</w:t>
      </w:r>
      <w:r>
        <w:t xml:space="preserve"> : 2020</w:t>
      </w:r>
      <w:r w:rsidRPr="00F1326E">
        <w:t>)</w:t>
      </w:r>
    </w:p>
    <w:p w14:paraId="62D0E28F" w14:textId="5F49A831" w:rsidR="00F1326E" w:rsidRDefault="00F1326E" w:rsidP="00F1326E">
      <w:pPr>
        <w:ind w:left="1080"/>
        <w:jc w:val="both"/>
      </w:pPr>
      <w:r>
        <w:t xml:space="preserve">area of land designated for domestic dwellings where the mains power within these locations is directly connected to the low-voltage </w:t>
      </w:r>
      <w:r w:rsidR="00885B9C" w:rsidRPr="0010030D">
        <w:t>(lower than 1000Va.c. and 1500 Vd.c.)</w:t>
      </w:r>
      <w:r w:rsidR="00885B9C">
        <w:t xml:space="preserve"> </w:t>
      </w:r>
      <w:r>
        <w:t xml:space="preserve">public mains network </w:t>
      </w:r>
    </w:p>
    <w:p w14:paraId="0290616B" w14:textId="77777777" w:rsidR="00F1326E" w:rsidRPr="00F1326E" w:rsidRDefault="00F1326E" w:rsidP="00F1326E">
      <w:pPr>
        <w:ind w:left="1080"/>
        <w:jc w:val="both"/>
        <w:rPr>
          <w:sz w:val="16"/>
          <w:szCs w:val="16"/>
        </w:rPr>
      </w:pPr>
      <w:r w:rsidRPr="00F1326E">
        <w:rPr>
          <w:sz w:val="16"/>
          <w:szCs w:val="16"/>
        </w:rPr>
        <w:t xml:space="preserve">Note 1 to entry: Examples of residential locations are: houses, apartments, farm buildings housing people. </w:t>
      </w:r>
    </w:p>
    <w:p w14:paraId="77F5F4B3" w14:textId="77777777" w:rsidR="00F1326E" w:rsidRPr="00F1326E" w:rsidRDefault="00F1326E" w:rsidP="00F1326E">
      <w:pPr>
        <w:ind w:left="1080"/>
        <w:jc w:val="both"/>
        <w:rPr>
          <w:sz w:val="16"/>
          <w:szCs w:val="16"/>
        </w:rPr>
      </w:pPr>
      <w:r w:rsidRPr="00F1326E">
        <w:rPr>
          <w:sz w:val="16"/>
          <w:szCs w:val="16"/>
        </w:rPr>
        <w:t xml:space="preserve">Note 2 to entry: A dwelling can be a single building, separate building or a separate section of a larger building. </w:t>
      </w:r>
    </w:p>
    <w:p w14:paraId="31B96507" w14:textId="77777777" w:rsidR="00F1326E" w:rsidRPr="00F1326E" w:rsidRDefault="00F1326E" w:rsidP="00F1326E">
      <w:pPr>
        <w:ind w:left="1080"/>
        <w:jc w:val="both"/>
        <w:rPr>
          <w:sz w:val="16"/>
          <w:szCs w:val="16"/>
        </w:rPr>
      </w:pPr>
      <w:r w:rsidRPr="00F1326E">
        <w:rPr>
          <w:sz w:val="16"/>
          <w:szCs w:val="16"/>
        </w:rPr>
        <w:t xml:space="preserve">Note 3 to entry: Within these locations it is expected to operate a radio receiver within a distance of 10 m from the equipment. </w:t>
      </w:r>
    </w:p>
    <w:p w14:paraId="30657A9C" w14:textId="77777777" w:rsidR="00F1326E" w:rsidRPr="00F1326E" w:rsidRDefault="00F1326E" w:rsidP="00F1326E">
      <w:pPr>
        <w:ind w:left="1080"/>
        <w:jc w:val="both"/>
        <w:rPr>
          <w:bCs/>
          <w:sz w:val="16"/>
          <w:szCs w:val="16"/>
          <w:lang w:eastAsia="ja-JP"/>
        </w:rPr>
      </w:pPr>
      <w:r w:rsidRPr="00F1326E">
        <w:rPr>
          <w:sz w:val="16"/>
          <w:szCs w:val="16"/>
        </w:rPr>
        <w:t>Note 4 to entry: Domestic dwellings are places for one or more people to live</w:t>
      </w:r>
    </w:p>
    <w:p w14:paraId="3EB78A32" w14:textId="77777777" w:rsidR="00F1326E" w:rsidRDefault="00F1326E" w:rsidP="00F1326E">
      <w:pPr>
        <w:ind w:left="1080"/>
        <w:rPr>
          <w:b/>
          <w:bCs/>
        </w:rPr>
      </w:pPr>
    </w:p>
    <w:p w14:paraId="0E0DEBBB" w14:textId="313AE207" w:rsidR="00F1326E" w:rsidRPr="00F1326E" w:rsidRDefault="00F1326E" w:rsidP="00F1326E">
      <w:pPr>
        <w:ind w:left="1080"/>
        <w:rPr>
          <w:b/>
          <w:bCs/>
        </w:rPr>
      </w:pPr>
      <w:r>
        <w:rPr>
          <w:b/>
          <w:bCs/>
        </w:rPr>
        <w:t>I</w:t>
      </w:r>
      <w:r w:rsidRPr="00F1326E">
        <w:rPr>
          <w:b/>
          <w:bCs/>
        </w:rPr>
        <w:t xml:space="preserve">ndustrial </w:t>
      </w:r>
      <w:r w:rsidR="00037248">
        <w:rPr>
          <w:b/>
          <w:bCs/>
        </w:rPr>
        <w:t>location</w:t>
      </w:r>
      <w:r w:rsidRPr="00F1326E">
        <w:rPr>
          <w:b/>
          <w:bCs/>
        </w:rPr>
        <w:t xml:space="preserve"> </w:t>
      </w:r>
      <w:r w:rsidRPr="00F1326E">
        <w:t>(clause 3.1.1</w:t>
      </w:r>
      <w:r>
        <w:t>2</w:t>
      </w:r>
      <w:r w:rsidRPr="00F1326E">
        <w:t xml:space="preserve"> of IEC 61000-6-</w:t>
      </w:r>
      <w:r>
        <w:t>4 : 201</w:t>
      </w:r>
      <w:r w:rsidR="00037248">
        <w:t>8</w:t>
      </w:r>
      <w:r w:rsidRPr="00F1326E">
        <w:t>)</w:t>
      </w:r>
    </w:p>
    <w:p w14:paraId="0B0C282B" w14:textId="77777777" w:rsidR="00F1326E" w:rsidRDefault="00F1326E" w:rsidP="00F1326E">
      <w:pPr>
        <w:ind w:left="1080"/>
      </w:pPr>
      <w:r>
        <w:t xml:space="preserve">location characterized by a separate power network, supplied from a high- or medium-voltage transformer, dedicated for the supply of the installation </w:t>
      </w:r>
    </w:p>
    <w:p w14:paraId="44A7FFFF" w14:textId="77777777" w:rsidR="00F1326E" w:rsidRPr="00F1326E" w:rsidRDefault="00F1326E" w:rsidP="00F1326E">
      <w:pPr>
        <w:ind w:left="1080"/>
        <w:jc w:val="both"/>
        <w:rPr>
          <w:sz w:val="16"/>
          <w:szCs w:val="16"/>
        </w:rPr>
      </w:pPr>
      <w:r w:rsidRPr="00F1326E">
        <w:rPr>
          <w:sz w:val="16"/>
          <w:szCs w:val="16"/>
        </w:rPr>
        <w:t xml:space="preserve">Note 1 to entry: Industrial locations can generally be described by the existence of an installation with one or more of the following characteristics: </w:t>
      </w:r>
    </w:p>
    <w:p w14:paraId="2B1B337C" w14:textId="77777777" w:rsidR="00885B9C" w:rsidRDefault="00F1326E" w:rsidP="00F1326E">
      <w:pPr>
        <w:ind w:left="1080"/>
        <w:jc w:val="both"/>
        <w:rPr>
          <w:sz w:val="16"/>
          <w:szCs w:val="16"/>
        </w:rPr>
      </w:pPr>
      <w:r w:rsidRPr="00F1326E">
        <w:rPr>
          <w:sz w:val="16"/>
          <w:szCs w:val="16"/>
        </w:rPr>
        <w:t xml:space="preserve">• items of equipment installed and connected together and working simultaneously; </w:t>
      </w:r>
    </w:p>
    <w:p w14:paraId="43E801F4" w14:textId="3E35A582" w:rsidR="00F1326E" w:rsidRPr="00F1326E" w:rsidRDefault="00F1326E" w:rsidP="00F1326E">
      <w:pPr>
        <w:ind w:left="1080"/>
        <w:jc w:val="both"/>
        <w:rPr>
          <w:sz w:val="16"/>
          <w:szCs w:val="16"/>
        </w:rPr>
      </w:pPr>
      <w:r w:rsidRPr="00F1326E">
        <w:rPr>
          <w:sz w:val="16"/>
          <w:szCs w:val="16"/>
        </w:rPr>
        <w:t xml:space="preserve">• significant amount of electrical power generated, transmitted and/or consumed; </w:t>
      </w:r>
    </w:p>
    <w:p w14:paraId="2BEAFD64" w14:textId="77777777" w:rsidR="00F1326E" w:rsidRPr="00F1326E" w:rsidRDefault="00F1326E" w:rsidP="00F1326E">
      <w:pPr>
        <w:ind w:left="1080"/>
        <w:jc w:val="both"/>
        <w:rPr>
          <w:sz w:val="16"/>
          <w:szCs w:val="16"/>
        </w:rPr>
      </w:pPr>
      <w:r w:rsidRPr="00F1326E">
        <w:rPr>
          <w:sz w:val="16"/>
          <w:szCs w:val="16"/>
        </w:rPr>
        <w:t xml:space="preserve">• frequent switching of heavy inductive or capacitive loads; </w:t>
      </w:r>
    </w:p>
    <w:p w14:paraId="4DB70EE7" w14:textId="77777777" w:rsidR="00F1326E" w:rsidRPr="00F1326E" w:rsidRDefault="00F1326E" w:rsidP="00F1326E">
      <w:pPr>
        <w:ind w:left="1080"/>
        <w:jc w:val="both"/>
        <w:rPr>
          <w:sz w:val="16"/>
          <w:szCs w:val="16"/>
        </w:rPr>
      </w:pPr>
      <w:r w:rsidRPr="00F1326E">
        <w:rPr>
          <w:sz w:val="16"/>
          <w:szCs w:val="16"/>
        </w:rPr>
        <w:t xml:space="preserve">• high currents and associated magnetic fields; </w:t>
      </w:r>
    </w:p>
    <w:p w14:paraId="21842FC6" w14:textId="77777777" w:rsidR="00F1326E" w:rsidRPr="00F1326E" w:rsidRDefault="00F1326E" w:rsidP="00F1326E">
      <w:pPr>
        <w:ind w:left="1080"/>
        <w:jc w:val="both"/>
        <w:rPr>
          <w:sz w:val="16"/>
          <w:szCs w:val="16"/>
        </w:rPr>
      </w:pPr>
      <w:r w:rsidRPr="00F1326E">
        <w:rPr>
          <w:sz w:val="16"/>
          <w:szCs w:val="16"/>
        </w:rPr>
        <w:t xml:space="preserve">• presence of industrial, high power scientific and medical (ISM) equipment (for example, welding machines). </w:t>
      </w:r>
    </w:p>
    <w:p w14:paraId="17583920" w14:textId="02C382F9" w:rsidR="00F1326E" w:rsidRPr="00F1326E" w:rsidRDefault="00F1326E" w:rsidP="00F1326E">
      <w:pPr>
        <w:ind w:left="1080"/>
        <w:jc w:val="both"/>
        <w:rPr>
          <w:sz w:val="16"/>
          <w:szCs w:val="16"/>
        </w:rPr>
      </w:pPr>
      <w:r w:rsidRPr="00F1326E">
        <w:rPr>
          <w:sz w:val="16"/>
          <w:szCs w:val="16"/>
        </w:rPr>
        <w:t>The electromagnetic environment at an industrial location is predominantly produced by the equipment and installation present at the location. There are types of industrial locations where some of the electromagnetic phenomena appear in a more severe degree than in other installations.</w:t>
      </w:r>
    </w:p>
    <w:p w14:paraId="0DDC9DBD" w14:textId="4436AB55" w:rsidR="008D6699" w:rsidRPr="00F1326E" w:rsidRDefault="00F1326E" w:rsidP="00F1326E">
      <w:pPr>
        <w:ind w:left="1080"/>
        <w:jc w:val="both"/>
        <w:rPr>
          <w:b/>
          <w:sz w:val="16"/>
          <w:szCs w:val="16"/>
          <w:lang w:eastAsia="ja-JP"/>
        </w:rPr>
      </w:pPr>
      <w:r w:rsidRPr="00F1326E">
        <w:rPr>
          <w:sz w:val="16"/>
          <w:szCs w:val="16"/>
        </w:rPr>
        <w:t xml:space="preserve"> Example locations include metalworking, pulp and paper, chemical plants, car production, farm building, high</w:t>
      </w:r>
      <w:r w:rsidR="00885B9C">
        <w:rPr>
          <w:sz w:val="16"/>
          <w:szCs w:val="16"/>
        </w:rPr>
        <w:t xml:space="preserve"> </w:t>
      </w:r>
      <w:r w:rsidRPr="00F1326E">
        <w:rPr>
          <w:sz w:val="16"/>
          <w:szCs w:val="16"/>
        </w:rPr>
        <w:t>voltage areas of airports</w:t>
      </w:r>
    </w:p>
    <w:p w14:paraId="369E22C2" w14:textId="6BA8494F" w:rsidR="00982B95" w:rsidRPr="002C3ABA" w:rsidRDefault="00982B95"/>
    <w:p w14:paraId="32115DED" w14:textId="2154646C" w:rsidR="00982B95" w:rsidRPr="002C3ABA" w:rsidRDefault="007438D1" w:rsidP="00444478">
      <w:pPr>
        <w:pStyle w:val="Paragraphedeliste"/>
        <w:numPr>
          <w:ilvl w:val="0"/>
          <w:numId w:val="7"/>
        </w:numPr>
        <w:jc w:val="both"/>
      </w:pPr>
      <w:r>
        <w:t>After clause 7.5.3.2 “</w:t>
      </w:r>
      <w:r w:rsidR="004F0D22">
        <w:t xml:space="preserve">In this case, the manufacturer shall provide a statement that the vehicle </w:t>
      </w:r>
      <w:r w:rsidR="00444478">
        <w:t>shall</w:t>
      </w:r>
      <w:r w:rsidR="004F0D22">
        <w:t xml:space="preserve"> be used in </w:t>
      </w:r>
      <w:r w:rsidR="00444478">
        <w:t xml:space="preserve">industrial </w:t>
      </w:r>
      <w:r>
        <w:t>location</w:t>
      </w:r>
      <w:r w:rsidR="00444478">
        <w:t xml:space="preserve"> only.</w:t>
      </w:r>
      <w:r w:rsidR="004F0D22">
        <w:t xml:space="preserve"> This information shall be made publicly available following the type approval.</w:t>
      </w:r>
      <w:r w:rsidR="00444478">
        <w:t>”</w:t>
      </w:r>
    </w:p>
    <w:p w14:paraId="58149829" w14:textId="77777777" w:rsidR="0010030D" w:rsidRDefault="0010030D">
      <w:pPr>
        <w:suppressAutoHyphens w:val="0"/>
        <w:spacing w:after="200" w:line="276" w:lineRule="auto"/>
      </w:pPr>
      <w:r>
        <w:br w:type="page"/>
      </w:r>
    </w:p>
    <w:p w14:paraId="411BFCB2" w14:textId="1C6118D6" w:rsidR="00C05AB3" w:rsidRDefault="0010030D" w:rsidP="0010030D">
      <w:pPr>
        <w:pStyle w:val="Paragraphedeliste"/>
        <w:numPr>
          <w:ilvl w:val="0"/>
          <w:numId w:val="7"/>
        </w:numPr>
      </w:pPr>
      <w:r>
        <w:lastRenderedPageBreak/>
        <w:t xml:space="preserve">Proposal of </w:t>
      </w:r>
      <w:r w:rsidR="0056404B">
        <w:t>statement:</w:t>
      </w:r>
      <w:bookmarkStart w:id="1" w:name="_GoBack"/>
      <w:bookmarkEnd w:id="1"/>
    </w:p>
    <w:p w14:paraId="37FAFB31" w14:textId="545B8287" w:rsidR="0010030D" w:rsidRDefault="0010030D" w:rsidP="0010030D">
      <w:pPr>
        <w:ind w:left="708"/>
      </w:pPr>
    </w:p>
    <w:p w14:paraId="29AD3260" w14:textId="35EFA32C" w:rsidR="0010030D" w:rsidRPr="00E515E8" w:rsidRDefault="0010030D" w:rsidP="0010030D">
      <w:pPr>
        <w:ind w:left="720"/>
        <w:jc w:val="center"/>
        <w:rPr>
          <w:b/>
          <w:bCs/>
        </w:rPr>
      </w:pPr>
      <w:r>
        <w:rPr>
          <w:b/>
          <w:bCs/>
        </w:rPr>
        <w:t>“</w:t>
      </w:r>
      <w:r w:rsidRPr="00E515E8">
        <w:rPr>
          <w:b/>
          <w:bCs/>
        </w:rPr>
        <w:t xml:space="preserve">Manufacturer's declaration for vehicles which </w:t>
      </w:r>
      <w:r>
        <w:rPr>
          <w:b/>
          <w:bCs/>
        </w:rPr>
        <w:t>shall be exclusively charged in industrial location</w:t>
      </w:r>
      <w:r w:rsidRPr="00E515E8">
        <w:rPr>
          <w:b/>
          <w:bCs/>
        </w:rPr>
        <w:t>.</w:t>
      </w:r>
    </w:p>
    <w:p w14:paraId="747261EA" w14:textId="77777777" w:rsidR="0010030D" w:rsidRDefault="0010030D" w:rsidP="0010030D">
      <w:pPr>
        <w:ind w:left="720"/>
        <w:jc w:val="both"/>
      </w:pPr>
    </w:p>
    <w:p w14:paraId="666EE7F0" w14:textId="77777777" w:rsidR="0010030D" w:rsidRPr="00E515E8" w:rsidRDefault="0010030D" w:rsidP="0010030D">
      <w:pPr>
        <w:ind w:left="720"/>
        <w:jc w:val="center"/>
      </w:pPr>
      <w:r w:rsidRPr="00E515E8">
        <w:t xml:space="preserve">A duly completed version of this statement shall be </w:t>
      </w:r>
      <w:r>
        <w:t>submitted to type approval authority if applicable.</w:t>
      </w:r>
    </w:p>
    <w:p w14:paraId="47C4C744" w14:textId="77777777" w:rsidR="0010030D" w:rsidRPr="00E515E8" w:rsidRDefault="0010030D" w:rsidP="0010030D">
      <w:pPr>
        <w:ind w:left="720"/>
        <w:jc w:val="center"/>
      </w:pPr>
    </w:p>
    <w:p w14:paraId="631D56D0" w14:textId="77777777" w:rsidR="0010030D" w:rsidRDefault="0010030D" w:rsidP="0010030D">
      <w:pPr>
        <w:ind w:left="720"/>
        <w:jc w:val="both"/>
      </w:pPr>
    </w:p>
    <w:p w14:paraId="779864F7" w14:textId="77777777" w:rsidR="0010030D" w:rsidRPr="00E515E8" w:rsidRDefault="0010030D" w:rsidP="0010030D">
      <w:pPr>
        <w:ind w:left="720"/>
        <w:jc w:val="both"/>
      </w:pPr>
      <w:r w:rsidRPr="00E515E8">
        <w:t>The undersigned:</w:t>
      </w:r>
      <w:r>
        <w:t xml:space="preserve"> </w:t>
      </w:r>
      <w:r w:rsidRPr="00E515E8">
        <w:t>(full name and position)</w:t>
      </w:r>
    </w:p>
    <w:p w14:paraId="2C665E27" w14:textId="77777777" w:rsidR="0010030D" w:rsidRPr="00E515E8" w:rsidRDefault="0010030D" w:rsidP="0010030D">
      <w:pPr>
        <w:ind w:left="720"/>
        <w:jc w:val="both"/>
      </w:pPr>
      <w:r w:rsidRPr="00E515E8">
        <w:t>4. Company name and address of manufacturer:</w:t>
      </w:r>
    </w:p>
    <w:p w14:paraId="6E36D2E9" w14:textId="77777777" w:rsidR="0010030D" w:rsidRDefault="0010030D" w:rsidP="0010030D">
      <w:pPr>
        <w:ind w:left="720"/>
        <w:jc w:val="both"/>
      </w:pPr>
      <w:r>
        <w:t>N</w:t>
      </w:r>
      <w:r w:rsidRPr="00E515E8">
        <w:t>ame and address of the manufacturer's representative (if any):</w:t>
      </w:r>
    </w:p>
    <w:p w14:paraId="48461F31" w14:textId="77777777" w:rsidR="0010030D" w:rsidRPr="00E515E8" w:rsidRDefault="0010030D" w:rsidP="0010030D">
      <w:pPr>
        <w:ind w:left="720"/>
        <w:jc w:val="both"/>
      </w:pPr>
    </w:p>
    <w:p w14:paraId="45278007" w14:textId="77777777" w:rsidR="0010030D" w:rsidRDefault="0010030D" w:rsidP="0010030D">
      <w:pPr>
        <w:ind w:left="720"/>
        <w:jc w:val="both"/>
      </w:pPr>
      <w:r w:rsidRPr="00E515E8">
        <w:t>Declares that</w:t>
      </w:r>
    </w:p>
    <w:p w14:paraId="17677598" w14:textId="77777777" w:rsidR="0010030D" w:rsidRPr="00E515E8" w:rsidRDefault="0010030D" w:rsidP="0010030D">
      <w:pPr>
        <w:ind w:left="720"/>
        <w:jc w:val="both"/>
      </w:pPr>
    </w:p>
    <w:p w14:paraId="77171504" w14:textId="77777777" w:rsidR="0010030D" w:rsidRPr="00E515E8" w:rsidRDefault="0010030D" w:rsidP="0010030D">
      <w:pPr>
        <w:ind w:left="720"/>
        <w:jc w:val="both"/>
      </w:pPr>
      <w:r w:rsidRPr="00E515E8">
        <w:t xml:space="preserve">The </w:t>
      </w:r>
      <w:r>
        <w:t>vehicle(s)</w:t>
      </w:r>
      <w:r w:rsidRPr="00E515E8">
        <w:t>:</w:t>
      </w:r>
    </w:p>
    <w:p w14:paraId="4B8E41A0" w14:textId="77777777" w:rsidR="0010030D" w:rsidRPr="00E515E8" w:rsidRDefault="0010030D" w:rsidP="0010030D">
      <w:pPr>
        <w:tabs>
          <w:tab w:val="left" w:pos="1578"/>
        </w:tabs>
        <w:ind w:left="720"/>
        <w:jc w:val="both"/>
      </w:pPr>
      <w:r w:rsidRPr="00E515E8">
        <w:t>2. Type:</w:t>
      </w:r>
    </w:p>
    <w:p w14:paraId="2B7864AD" w14:textId="77777777" w:rsidR="0010030D" w:rsidRPr="00E515E8" w:rsidRDefault="0010030D" w:rsidP="0010030D">
      <w:pPr>
        <w:ind w:left="720"/>
        <w:jc w:val="both"/>
      </w:pPr>
      <w:r>
        <w:t>C</w:t>
      </w:r>
      <w:r w:rsidRPr="00E515E8">
        <w:t xml:space="preserve">ommercial name(s) (if </w:t>
      </w:r>
      <w:r>
        <w:t>any</w:t>
      </w:r>
      <w:r w:rsidRPr="00E515E8">
        <w:t>):</w:t>
      </w:r>
    </w:p>
    <w:p w14:paraId="44BB1A9D" w14:textId="77777777" w:rsidR="0010030D" w:rsidRPr="00E515E8" w:rsidRDefault="0010030D" w:rsidP="0010030D">
      <w:pPr>
        <w:ind w:left="720"/>
        <w:jc w:val="both"/>
      </w:pPr>
      <w:r w:rsidRPr="00E515E8">
        <w:t>3. Category</w:t>
      </w:r>
      <w:r>
        <w:t xml:space="preserve"> </w:t>
      </w:r>
      <w:r w:rsidRPr="00E515E8">
        <w:t>of vehicle:</w:t>
      </w:r>
    </w:p>
    <w:p w14:paraId="58F8C3BD" w14:textId="77777777" w:rsidR="0010030D" w:rsidRDefault="0010030D" w:rsidP="0010030D">
      <w:pPr>
        <w:ind w:left="720"/>
        <w:jc w:val="both"/>
      </w:pPr>
    </w:p>
    <w:p w14:paraId="5A7A072B" w14:textId="77777777" w:rsidR="0010030D" w:rsidRDefault="0010030D" w:rsidP="0010030D">
      <w:pPr>
        <w:ind w:left="720"/>
        <w:jc w:val="both"/>
      </w:pPr>
      <w:r>
        <w:t>Make and type of the onboard charger:</w:t>
      </w:r>
    </w:p>
    <w:p w14:paraId="1671F0D6" w14:textId="77777777" w:rsidR="0010030D" w:rsidRDefault="0010030D" w:rsidP="0010030D">
      <w:pPr>
        <w:ind w:left="720"/>
        <w:jc w:val="both"/>
      </w:pPr>
    </w:p>
    <w:p w14:paraId="2C311105" w14:textId="77777777" w:rsidR="0010030D" w:rsidRDefault="0010030D" w:rsidP="0010030D">
      <w:pPr>
        <w:ind w:left="720"/>
        <w:jc w:val="both"/>
      </w:pPr>
      <w:r w:rsidRPr="00E515E8">
        <w:t>Type-approval number:</w:t>
      </w:r>
    </w:p>
    <w:p w14:paraId="7166A708" w14:textId="77777777" w:rsidR="0010030D" w:rsidRDefault="0010030D" w:rsidP="0010030D">
      <w:pPr>
        <w:ind w:left="720"/>
        <w:jc w:val="both"/>
      </w:pPr>
      <w:r w:rsidRPr="00E515E8">
        <w:t>Type-approval</w:t>
      </w:r>
      <w:r>
        <w:t xml:space="preserve"> last</w:t>
      </w:r>
      <w:r w:rsidRPr="00E515E8">
        <w:t xml:space="preserve"> issued on (date):</w:t>
      </w:r>
    </w:p>
    <w:p w14:paraId="0A22E348" w14:textId="77777777" w:rsidR="0010030D" w:rsidRPr="00E515E8" w:rsidRDefault="0010030D" w:rsidP="0010030D">
      <w:pPr>
        <w:ind w:left="720"/>
        <w:jc w:val="both"/>
      </w:pPr>
    </w:p>
    <w:p w14:paraId="777600EB" w14:textId="77777777" w:rsidR="0010030D" w:rsidRDefault="0010030D" w:rsidP="0010030D">
      <w:pPr>
        <w:ind w:left="720"/>
        <w:jc w:val="both"/>
      </w:pPr>
      <w:r w:rsidRPr="00E204A9">
        <w:t>shall be used in industrial location only</w:t>
      </w:r>
      <w:r>
        <w:t xml:space="preserve">. Where “industrial location” is defined as </w:t>
      </w:r>
      <w:r w:rsidRPr="00E204A9">
        <w:t>a separate power network, supplied from a high- or medium-voltage transformer, dedicated for the supply of the installation</w:t>
      </w:r>
      <w:r>
        <w:t>;</w:t>
      </w:r>
    </w:p>
    <w:p w14:paraId="050E2751" w14:textId="5886DEBF" w:rsidR="0010030D" w:rsidRDefault="0010030D" w:rsidP="0010030D">
      <w:pPr>
        <w:ind w:left="720"/>
        <w:jc w:val="both"/>
      </w:pPr>
      <w:r>
        <w:t>and shall not be used in r</w:t>
      </w:r>
      <w:r w:rsidRPr="00E204A9">
        <w:t>esidential location</w:t>
      </w:r>
      <w:r>
        <w:t>. Where “</w:t>
      </w:r>
      <w:r w:rsidRPr="00E204A9">
        <w:t>residential location</w:t>
      </w:r>
      <w:r>
        <w:t xml:space="preserve">” is defined as </w:t>
      </w:r>
      <w:r w:rsidRPr="00E204A9">
        <w:t>area of land designated for domestic dwellings where the mains power within these locations is directly connected to the low</w:t>
      </w:r>
      <w:r>
        <w:t>-</w:t>
      </w:r>
      <w:r w:rsidRPr="00E204A9">
        <w:t>voltage lower than 1000</w:t>
      </w:r>
      <w:r>
        <w:t xml:space="preserve"> </w:t>
      </w:r>
      <w:r w:rsidRPr="00E204A9">
        <w:t>V</w:t>
      </w:r>
      <w:r>
        <w:t xml:space="preserve"> a.c.</w:t>
      </w:r>
      <w:r w:rsidRPr="00E204A9">
        <w:t xml:space="preserve"> and 1500 </w:t>
      </w:r>
      <w:r>
        <w:t>V d.c. p</w:t>
      </w:r>
      <w:r w:rsidRPr="00E204A9">
        <w:t>ublic mains network</w:t>
      </w:r>
      <w:r>
        <w:t>.</w:t>
      </w:r>
    </w:p>
    <w:p w14:paraId="4DE50140" w14:textId="77777777" w:rsidR="0010030D" w:rsidRDefault="0010030D" w:rsidP="0010030D">
      <w:pPr>
        <w:ind w:left="720"/>
        <w:jc w:val="both"/>
      </w:pPr>
    </w:p>
    <w:p w14:paraId="656DE40B" w14:textId="77777777" w:rsidR="0010030D" w:rsidRDefault="0010030D" w:rsidP="0010030D">
      <w:pPr>
        <w:ind w:left="720"/>
        <w:jc w:val="both"/>
      </w:pPr>
    </w:p>
    <w:p w14:paraId="43D25423" w14:textId="77777777" w:rsidR="0010030D" w:rsidRDefault="0010030D" w:rsidP="0010030D">
      <w:pPr>
        <w:ind w:left="720"/>
        <w:jc w:val="both"/>
      </w:pPr>
    </w:p>
    <w:p w14:paraId="76F289E5" w14:textId="77777777" w:rsidR="0010030D" w:rsidRDefault="0010030D" w:rsidP="0010030D">
      <w:pPr>
        <w:ind w:left="720"/>
        <w:jc w:val="both"/>
      </w:pPr>
      <w:r>
        <w:t>Place:</w:t>
      </w:r>
    </w:p>
    <w:p w14:paraId="51A10576" w14:textId="77777777" w:rsidR="0010030D" w:rsidRDefault="0010030D" w:rsidP="0010030D">
      <w:pPr>
        <w:ind w:left="720"/>
        <w:jc w:val="both"/>
      </w:pPr>
      <w:r>
        <w:t>Date:</w:t>
      </w:r>
    </w:p>
    <w:p w14:paraId="295B4FAB" w14:textId="77777777" w:rsidR="0010030D" w:rsidRDefault="0010030D" w:rsidP="0010030D">
      <w:pPr>
        <w:ind w:left="720"/>
        <w:jc w:val="both"/>
      </w:pPr>
      <w:r>
        <w:t>Name and position in the company:</w:t>
      </w:r>
    </w:p>
    <w:p w14:paraId="2F0C17C2" w14:textId="030180F8" w:rsidR="0010030D" w:rsidRPr="00E515E8" w:rsidRDefault="0010030D" w:rsidP="0010030D">
      <w:pPr>
        <w:ind w:left="720"/>
        <w:jc w:val="both"/>
      </w:pPr>
      <w:r>
        <w:t>Signature:”</w:t>
      </w:r>
    </w:p>
    <w:p w14:paraId="55AB5A1F" w14:textId="77777777" w:rsidR="0010030D" w:rsidRPr="00266E54" w:rsidRDefault="0010030D" w:rsidP="0010030D">
      <w:pPr>
        <w:ind w:left="708"/>
      </w:pPr>
    </w:p>
    <w:sectPr w:rsidR="0010030D" w:rsidRPr="00266E54" w:rsidSect="0060156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975"/>
    <w:multiLevelType w:val="hybridMultilevel"/>
    <w:tmpl w:val="8A2C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50AE"/>
    <w:multiLevelType w:val="hybridMultilevel"/>
    <w:tmpl w:val="A0788ACC"/>
    <w:lvl w:ilvl="0" w:tplc="08090003">
      <w:start w:val="1"/>
      <w:numFmt w:val="bullet"/>
      <w:lvlText w:val="o"/>
      <w:lvlJc w:val="left"/>
      <w:pPr>
        <w:ind w:left="1778" w:hanging="360"/>
      </w:pPr>
      <w:rPr>
        <w:rFonts w:ascii="Courier New" w:hAnsi="Courier New" w:cs="Courier New"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 w15:restartNumberingAfterBreak="0">
    <w:nsid w:val="0E933F53"/>
    <w:multiLevelType w:val="hybridMultilevel"/>
    <w:tmpl w:val="7B38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C70D2"/>
    <w:multiLevelType w:val="hybridMultilevel"/>
    <w:tmpl w:val="26225C02"/>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34304D5D"/>
    <w:multiLevelType w:val="hybridMultilevel"/>
    <w:tmpl w:val="48BE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220041"/>
    <w:multiLevelType w:val="hybridMultilevel"/>
    <w:tmpl w:val="F64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C265B"/>
    <w:multiLevelType w:val="hybridMultilevel"/>
    <w:tmpl w:val="5EB02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A4"/>
    <w:rsid w:val="000017B6"/>
    <w:rsid w:val="00003A68"/>
    <w:rsid w:val="000129C3"/>
    <w:rsid w:val="00015C89"/>
    <w:rsid w:val="0002200A"/>
    <w:rsid w:val="00023E48"/>
    <w:rsid w:val="00031BC0"/>
    <w:rsid w:val="00032620"/>
    <w:rsid w:val="000327A3"/>
    <w:rsid w:val="00036897"/>
    <w:rsid w:val="00037248"/>
    <w:rsid w:val="0004641F"/>
    <w:rsid w:val="00061B6C"/>
    <w:rsid w:val="00065978"/>
    <w:rsid w:val="000702A0"/>
    <w:rsid w:val="00083157"/>
    <w:rsid w:val="00084B64"/>
    <w:rsid w:val="00084BA4"/>
    <w:rsid w:val="000C1714"/>
    <w:rsid w:val="000C6FBD"/>
    <w:rsid w:val="000E2877"/>
    <w:rsid w:val="000F04F5"/>
    <w:rsid w:val="000F1B6D"/>
    <w:rsid w:val="0010030D"/>
    <w:rsid w:val="00101003"/>
    <w:rsid w:val="00123113"/>
    <w:rsid w:val="00131CB6"/>
    <w:rsid w:val="001517CC"/>
    <w:rsid w:val="00157961"/>
    <w:rsid w:val="00176345"/>
    <w:rsid w:val="00190A8A"/>
    <w:rsid w:val="001A0B53"/>
    <w:rsid w:val="001A54AC"/>
    <w:rsid w:val="001C32DC"/>
    <w:rsid w:val="001C6294"/>
    <w:rsid w:val="001D7FA8"/>
    <w:rsid w:val="001F6F89"/>
    <w:rsid w:val="00200DA5"/>
    <w:rsid w:val="00223485"/>
    <w:rsid w:val="00234850"/>
    <w:rsid w:val="0025382D"/>
    <w:rsid w:val="00253DD5"/>
    <w:rsid w:val="00265DCC"/>
    <w:rsid w:val="00266E54"/>
    <w:rsid w:val="002B07C2"/>
    <w:rsid w:val="002B2B9D"/>
    <w:rsid w:val="002B410B"/>
    <w:rsid w:val="002B7F2C"/>
    <w:rsid w:val="002C274A"/>
    <w:rsid w:val="002C3ABA"/>
    <w:rsid w:val="002C3CE4"/>
    <w:rsid w:val="002D1236"/>
    <w:rsid w:val="002E7F25"/>
    <w:rsid w:val="002F38C0"/>
    <w:rsid w:val="002F4759"/>
    <w:rsid w:val="002F76F7"/>
    <w:rsid w:val="0030262C"/>
    <w:rsid w:val="0033402A"/>
    <w:rsid w:val="00357BDD"/>
    <w:rsid w:val="003618BB"/>
    <w:rsid w:val="00363647"/>
    <w:rsid w:val="003876A8"/>
    <w:rsid w:val="003B5C39"/>
    <w:rsid w:val="003D4884"/>
    <w:rsid w:val="00414EAA"/>
    <w:rsid w:val="0041604F"/>
    <w:rsid w:val="00422687"/>
    <w:rsid w:val="00431FD9"/>
    <w:rsid w:val="004361AC"/>
    <w:rsid w:val="004408E0"/>
    <w:rsid w:val="00444478"/>
    <w:rsid w:val="004460DC"/>
    <w:rsid w:val="00450018"/>
    <w:rsid w:val="004517E8"/>
    <w:rsid w:val="00453F07"/>
    <w:rsid w:val="004611A8"/>
    <w:rsid w:val="00483106"/>
    <w:rsid w:val="00487E55"/>
    <w:rsid w:val="004968D0"/>
    <w:rsid w:val="004A0402"/>
    <w:rsid w:val="004B367A"/>
    <w:rsid w:val="004D636C"/>
    <w:rsid w:val="004F0D22"/>
    <w:rsid w:val="004F6110"/>
    <w:rsid w:val="004F7675"/>
    <w:rsid w:val="00505481"/>
    <w:rsid w:val="00521B5F"/>
    <w:rsid w:val="00532A10"/>
    <w:rsid w:val="005503F8"/>
    <w:rsid w:val="0056404B"/>
    <w:rsid w:val="0057793C"/>
    <w:rsid w:val="00590702"/>
    <w:rsid w:val="005C4478"/>
    <w:rsid w:val="005F5178"/>
    <w:rsid w:val="00601563"/>
    <w:rsid w:val="00606F21"/>
    <w:rsid w:val="00615AD3"/>
    <w:rsid w:val="00637C04"/>
    <w:rsid w:val="0064007F"/>
    <w:rsid w:val="00644B7F"/>
    <w:rsid w:val="00657FA1"/>
    <w:rsid w:val="006646DC"/>
    <w:rsid w:val="006712B3"/>
    <w:rsid w:val="0067333A"/>
    <w:rsid w:val="0068687C"/>
    <w:rsid w:val="006C2CCB"/>
    <w:rsid w:val="006E05D8"/>
    <w:rsid w:val="006F5E17"/>
    <w:rsid w:val="00700EE3"/>
    <w:rsid w:val="007039D4"/>
    <w:rsid w:val="00710D74"/>
    <w:rsid w:val="00715CA2"/>
    <w:rsid w:val="00724BA8"/>
    <w:rsid w:val="00727AA7"/>
    <w:rsid w:val="00733758"/>
    <w:rsid w:val="007438D1"/>
    <w:rsid w:val="00750E5F"/>
    <w:rsid w:val="007643BC"/>
    <w:rsid w:val="00771222"/>
    <w:rsid w:val="007740D7"/>
    <w:rsid w:val="00783BED"/>
    <w:rsid w:val="0078745F"/>
    <w:rsid w:val="00794C19"/>
    <w:rsid w:val="007A7B39"/>
    <w:rsid w:val="007C5129"/>
    <w:rsid w:val="007D1825"/>
    <w:rsid w:val="007D68E7"/>
    <w:rsid w:val="007F1636"/>
    <w:rsid w:val="00811CE5"/>
    <w:rsid w:val="00812327"/>
    <w:rsid w:val="00823A38"/>
    <w:rsid w:val="0082666B"/>
    <w:rsid w:val="0083069E"/>
    <w:rsid w:val="00837729"/>
    <w:rsid w:val="00850A11"/>
    <w:rsid w:val="00851F82"/>
    <w:rsid w:val="00853B35"/>
    <w:rsid w:val="008572D8"/>
    <w:rsid w:val="0087657B"/>
    <w:rsid w:val="0088053A"/>
    <w:rsid w:val="00885B9C"/>
    <w:rsid w:val="008935F9"/>
    <w:rsid w:val="008C07B3"/>
    <w:rsid w:val="008C271E"/>
    <w:rsid w:val="008D2FD4"/>
    <w:rsid w:val="008D6699"/>
    <w:rsid w:val="00907C37"/>
    <w:rsid w:val="00921A53"/>
    <w:rsid w:val="0093213B"/>
    <w:rsid w:val="00947039"/>
    <w:rsid w:val="00951C70"/>
    <w:rsid w:val="00957C99"/>
    <w:rsid w:val="00966935"/>
    <w:rsid w:val="00972D95"/>
    <w:rsid w:val="00982B95"/>
    <w:rsid w:val="00984956"/>
    <w:rsid w:val="00997F56"/>
    <w:rsid w:val="009A371F"/>
    <w:rsid w:val="009A5AA4"/>
    <w:rsid w:val="009B0C15"/>
    <w:rsid w:val="009B5000"/>
    <w:rsid w:val="009B6523"/>
    <w:rsid w:val="009E2B0A"/>
    <w:rsid w:val="009E7F96"/>
    <w:rsid w:val="009F5A93"/>
    <w:rsid w:val="00A10785"/>
    <w:rsid w:val="00A240BC"/>
    <w:rsid w:val="00A26337"/>
    <w:rsid w:val="00A31660"/>
    <w:rsid w:val="00A3231D"/>
    <w:rsid w:val="00A40C4E"/>
    <w:rsid w:val="00A42E78"/>
    <w:rsid w:val="00A64AED"/>
    <w:rsid w:val="00A73E42"/>
    <w:rsid w:val="00AF4E32"/>
    <w:rsid w:val="00B00E15"/>
    <w:rsid w:val="00B230EE"/>
    <w:rsid w:val="00B31F48"/>
    <w:rsid w:val="00B325C4"/>
    <w:rsid w:val="00B403FE"/>
    <w:rsid w:val="00B81099"/>
    <w:rsid w:val="00B9711D"/>
    <w:rsid w:val="00BB155C"/>
    <w:rsid w:val="00BB77BE"/>
    <w:rsid w:val="00BC04A8"/>
    <w:rsid w:val="00BE6DFD"/>
    <w:rsid w:val="00C00CE2"/>
    <w:rsid w:val="00C05AB3"/>
    <w:rsid w:val="00C05C2A"/>
    <w:rsid w:val="00C2797E"/>
    <w:rsid w:val="00C335A3"/>
    <w:rsid w:val="00C63478"/>
    <w:rsid w:val="00C63579"/>
    <w:rsid w:val="00C743AA"/>
    <w:rsid w:val="00C83C72"/>
    <w:rsid w:val="00CA19B1"/>
    <w:rsid w:val="00CA68C0"/>
    <w:rsid w:val="00CB10BB"/>
    <w:rsid w:val="00CC41F6"/>
    <w:rsid w:val="00CC697F"/>
    <w:rsid w:val="00D00B0D"/>
    <w:rsid w:val="00D07991"/>
    <w:rsid w:val="00D07F31"/>
    <w:rsid w:val="00D114CE"/>
    <w:rsid w:val="00D60CA0"/>
    <w:rsid w:val="00D60DD5"/>
    <w:rsid w:val="00D65CB2"/>
    <w:rsid w:val="00D66124"/>
    <w:rsid w:val="00D831AD"/>
    <w:rsid w:val="00DA6F2D"/>
    <w:rsid w:val="00DB4006"/>
    <w:rsid w:val="00DE483D"/>
    <w:rsid w:val="00DF007A"/>
    <w:rsid w:val="00DF7E97"/>
    <w:rsid w:val="00E016DC"/>
    <w:rsid w:val="00E01C8F"/>
    <w:rsid w:val="00E024AF"/>
    <w:rsid w:val="00E05304"/>
    <w:rsid w:val="00E13EA4"/>
    <w:rsid w:val="00E22906"/>
    <w:rsid w:val="00E31795"/>
    <w:rsid w:val="00E62EAF"/>
    <w:rsid w:val="00E65074"/>
    <w:rsid w:val="00E8783F"/>
    <w:rsid w:val="00E87864"/>
    <w:rsid w:val="00E95938"/>
    <w:rsid w:val="00EA0E78"/>
    <w:rsid w:val="00EC17CA"/>
    <w:rsid w:val="00EC4227"/>
    <w:rsid w:val="00ED6177"/>
    <w:rsid w:val="00ED6181"/>
    <w:rsid w:val="00EE1A3A"/>
    <w:rsid w:val="00EE6E50"/>
    <w:rsid w:val="00F03A57"/>
    <w:rsid w:val="00F12914"/>
    <w:rsid w:val="00F1326E"/>
    <w:rsid w:val="00F1400E"/>
    <w:rsid w:val="00F2125A"/>
    <w:rsid w:val="00F35047"/>
    <w:rsid w:val="00F35B5C"/>
    <w:rsid w:val="00F43DA2"/>
    <w:rsid w:val="00F628E0"/>
    <w:rsid w:val="00F86FB9"/>
    <w:rsid w:val="00F9339D"/>
    <w:rsid w:val="00F93667"/>
    <w:rsid w:val="00F9711B"/>
    <w:rsid w:val="00FA539C"/>
    <w:rsid w:val="00FF0F59"/>
    <w:rsid w:val="00FF37A0"/>
    <w:rsid w:val="00FF45AB"/>
    <w:rsid w:val="00FF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693D"/>
  <w15:docId w15:val="{51E80507-C7A5-47C0-84FA-1507044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38"/>
    <w:pPr>
      <w:suppressAutoHyphens/>
      <w:spacing w:after="0" w:line="240" w:lineRule="atLeast"/>
    </w:pPr>
    <w:rPr>
      <w:rFonts w:ascii="Times New Roman" w:eastAsia="Times New Roman" w:hAnsi="Times New Roman" w:cs="Times New Roman"/>
      <w:sz w:val="20"/>
      <w:szCs w:val="20"/>
      <w:lang w:val="en-GB"/>
    </w:rPr>
  </w:style>
  <w:style w:type="paragraph" w:styleId="Titre1">
    <w:name w:val="heading 1"/>
    <w:aliases w:val="Table_G"/>
    <w:basedOn w:val="SingleTxtG"/>
    <w:next w:val="SingleTxtG"/>
    <w:link w:val="Titre1Car"/>
    <w:qFormat/>
    <w:rsid w:val="00157961"/>
    <w:pPr>
      <w:spacing w:after="0" w:line="240" w:lineRule="auto"/>
      <w:ind w:right="0"/>
      <w:jc w:val="left"/>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F89"/>
    <w:pPr>
      <w:ind w:left="720"/>
      <w:contextualSpacing/>
    </w:pPr>
  </w:style>
  <w:style w:type="paragraph" w:customStyle="1" w:styleId="Default">
    <w:name w:val="Default"/>
    <w:rsid w:val="00B8109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81099"/>
    <w:rPr>
      <w:rFonts w:cstheme="minorBidi"/>
      <w:color w:val="auto"/>
    </w:rPr>
  </w:style>
  <w:style w:type="paragraph" w:customStyle="1" w:styleId="CM3">
    <w:name w:val="CM3"/>
    <w:basedOn w:val="Default"/>
    <w:next w:val="Default"/>
    <w:uiPriority w:val="99"/>
    <w:rsid w:val="00B81099"/>
    <w:rPr>
      <w:rFonts w:cstheme="minorBidi"/>
      <w:color w:val="auto"/>
    </w:rPr>
  </w:style>
  <w:style w:type="paragraph" w:styleId="Textedebulles">
    <w:name w:val="Balloon Text"/>
    <w:basedOn w:val="Normal"/>
    <w:link w:val="TextedebullesCar"/>
    <w:uiPriority w:val="99"/>
    <w:semiHidden/>
    <w:unhideWhenUsed/>
    <w:rsid w:val="001517C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7CC"/>
    <w:rPr>
      <w:rFonts w:ascii="Segoe UI" w:eastAsia="Times New Roman" w:hAnsi="Segoe UI" w:cs="Segoe UI"/>
      <w:sz w:val="18"/>
      <w:szCs w:val="18"/>
      <w:lang w:val="en-GB"/>
    </w:rPr>
  </w:style>
  <w:style w:type="character" w:customStyle="1" w:styleId="Titre1Car">
    <w:name w:val="Titre 1 Car"/>
    <w:aliases w:val="Table_G Car"/>
    <w:basedOn w:val="Policepardfaut"/>
    <w:link w:val="Titre1"/>
    <w:rsid w:val="00157961"/>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157961"/>
    <w:pPr>
      <w:spacing w:after="120"/>
      <w:ind w:left="1134" w:right="1134"/>
      <w:jc w:val="both"/>
    </w:pPr>
  </w:style>
  <w:style w:type="character" w:customStyle="1" w:styleId="SingleTxtGChar">
    <w:name w:val="_ Single Txt_G Char"/>
    <w:link w:val="SingleTxtG"/>
    <w:qFormat/>
    <w:rsid w:val="00157961"/>
    <w:rPr>
      <w:rFonts w:ascii="Times New Roman" w:eastAsia="Times New Roman" w:hAnsi="Times New Roman" w:cs="Times New Roman"/>
      <w:sz w:val="20"/>
      <w:szCs w:val="20"/>
      <w:lang w:val="en-GB"/>
    </w:rPr>
  </w:style>
  <w:style w:type="character" w:styleId="Marquedecommentaire">
    <w:name w:val="annotation reference"/>
    <w:semiHidden/>
    <w:rsid w:val="00DF007A"/>
    <w:rPr>
      <w:sz w:val="16"/>
      <w:szCs w:val="16"/>
    </w:rPr>
  </w:style>
  <w:style w:type="paragraph" w:styleId="Commentaire">
    <w:name w:val="annotation text"/>
    <w:basedOn w:val="Normal"/>
    <w:link w:val="CommentaireCar"/>
    <w:semiHidden/>
    <w:rsid w:val="00DF007A"/>
    <w:rPr>
      <w:rFonts w:eastAsia="MS Mincho"/>
    </w:rPr>
  </w:style>
  <w:style w:type="character" w:customStyle="1" w:styleId="CommentaireCar">
    <w:name w:val="Commentaire Car"/>
    <w:basedOn w:val="Policepardfaut"/>
    <w:link w:val="Commentaire"/>
    <w:semiHidden/>
    <w:rsid w:val="00DF007A"/>
    <w:rPr>
      <w:rFonts w:ascii="Times New Roman" w:eastAsia="MS Mincho" w:hAnsi="Times New Roman" w:cs="Times New Roman"/>
      <w:sz w:val="20"/>
      <w:szCs w:val="20"/>
      <w:lang w:val="en-GB"/>
    </w:rPr>
  </w:style>
  <w:style w:type="character" w:styleId="Appelnotedebasdep">
    <w:name w:val="footnote reference"/>
    <w:aliases w:val="4_G,(Footnote Reference),-E Fußnotenzeichen,BVI fnr, BVI fnr,Footnote symbol,Footnote,Footnote Reference Superscript,SUPERS,Fußnotenzeichen"/>
    <w:rsid w:val="00812327"/>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812327"/>
    <w:pPr>
      <w:tabs>
        <w:tab w:val="right" w:pos="1021"/>
      </w:tabs>
      <w:spacing w:line="220" w:lineRule="exact"/>
      <w:ind w:left="1134" w:right="1134" w:hanging="1134"/>
    </w:pPr>
    <w:rPr>
      <w:rFonts w:eastAsia="MS Mincho"/>
      <w:sz w:val="18"/>
    </w:rPr>
  </w:style>
  <w:style w:type="character" w:customStyle="1" w:styleId="NotedebasdepageCar">
    <w:name w:val="Note de bas de page Car"/>
    <w:aliases w:val="5_G Car,PP Car,5_G_6 Car"/>
    <w:basedOn w:val="Policepardfaut"/>
    <w:link w:val="Notedebasdepage"/>
    <w:uiPriority w:val="99"/>
    <w:rsid w:val="00812327"/>
    <w:rPr>
      <w:rFonts w:ascii="Times New Roman" w:eastAsia="MS Mincho" w:hAnsi="Times New Roman" w:cs="Times New Roman"/>
      <w:sz w:val="18"/>
      <w:szCs w:val="20"/>
      <w:lang w:val="en-GB"/>
    </w:rPr>
  </w:style>
  <w:style w:type="character" w:styleId="Lienhypertexte">
    <w:name w:val="Hyperlink"/>
    <w:uiPriority w:val="99"/>
    <w:rsid w:val="009E7F96"/>
    <w:rPr>
      <w:color w:val="0070C0"/>
      <w:u w:val="single"/>
    </w:rPr>
  </w:style>
  <w:style w:type="paragraph" w:styleId="Objetducommentaire">
    <w:name w:val="annotation subject"/>
    <w:basedOn w:val="Commentaire"/>
    <w:next w:val="Commentaire"/>
    <w:link w:val="ObjetducommentaireCar"/>
    <w:uiPriority w:val="99"/>
    <w:semiHidden/>
    <w:unhideWhenUsed/>
    <w:rsid w:val="00F2125A"/>
    <w:pPr>
      <w:spacing w:line="240" w:lineRule="auto"/>
    </w:pPr>
    <w:rPr>
      <w:rFonts w:eastAsia="Times New Roman"/>
      <w:b/>
      <w:bCs/>
    </w:rPr>
  </w:style>
  <w:style w:type="character" w:customStyle="1" w:styleId="ObjetducommentaireCar">
    <w:name w:val="Objet du commentaire Car"/>
    <w:basedOn w:val="CommentaireCar"/>
    <w:link w:val="Objetducommentaire"/>
    <w:uiPriority w:val="99"/>
    <w:semiHidden/>
    <w:rsid w:val="00F2125A"/>
    <w:rPr>
      <w:rFonts w:ascii="Times New Roman" w:eastAsia="Times New Roman" w:hAnsi="Times New Roman" w:cs="Times New Roman"/>
      <w:b/>
      <w:bCs/>
      <w:sz w:val="20"/>
      <w:szCs w:val="20"/>
      <w:lang w:val="en-GB"/>
    </w:rPr>
  </w:style>
  <w:style w:type="paragraph" w:customStyle="1" w:styleId="HChG">
    <w:name w:val="_ H _Ch_G"/>
    <w:basedOn w:val="Normal"/>
    <w:next w:val="Normal"/>
    <w:link w:val="HChGChar"/>
    <w:qFormat/>
    <w:rsid w:val="00982B95"/>
    <w:pPr>
      <w:keepNext/>
      <w:keepLines/>
      <w:tabs>
        <w:tab w:val="right" w:pos="851"/>
      </w:tabs>
      <w:spacing w:before="360" w:after="240" w:line="300" w:lineRule="exact"/>
      <w:ind w:left="1134" w:right="1134" w:hanging="1134"/>
    </w:pPr>
    <w:rPr>
      <w:rFonts w:eastAsia="MS Mincho"/>
      <w:b/>
      <w:sz w:val="28"/>
    </w:rPr>
  </w:style>
  <w:style w:type="character" w:customStyle="1" w:styleId="HChGChar">
    <w:name w:val="_ H _Ch_G Char"/>
    <w:link w:val="HChG"/>
    <w:rsid w:val="00982B95"/>
    <w:rPr>
      <w:rFonts w:ascii="Times New Roman" w:eastAsia="MS Mincho" w:hAnsi="Times New Roman" w:cs="Times New Roman"/>
      <w:b/>
      <w:sz w:val="28"/>
      <w:szCs w:val="20"/>
      <w:lang w:val="en-GB"/>
    </w:rPr>
  </w:style>
  <w:style w:type="paragraph" w:customStyle="1" w:styleId="TABFIGfootnote">
    <w:name w:val="TAB_FIG_footnote"/>
    <w:basedOn w:val="Notedebasdepage"/>
    <w:rsid w:val="00982B95"/>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PARAGRAPH">
    <w:name w:val="PARAGRAPH"/>
    <w:link w:val="PARAGRAPHChar"/>
    <w:qFormat/>
    <w:rsid w:val="00982B95"/>
    <w:pPr>
      <w:snapToGrid w:val="0"/>
      <w:spacing w:before="100" w:line="240" w:lineRule="auto"/>
      <w:jc w:val="both"/>
    </w:pPr>
    <w:rPr>
      <w:rFonts w:ascii="Arial" w:eastAsia="MS Mincho" w:hAnsi="Arial" w:cs="Arial"/>
      <w:noProof/>
      <w:spacing w:val="8"/>
      <w:sz w:val="20"/>
      <w:szCs w:val="20"/>
      <w:lang w:val="en-GB" w:eastAsia="zh-CN"/>
    </w:rPr>
  </w:style>
  <w:style w:type="character" w:customStyle="1" w:styleId="PARAGRAPHChar">
    <w:name w:val="PARAGRAPH Char"/>
    <w:link w:val="PARAGRAPH"/>
    <w:rsid w:val="00982B95"/>
    <w:rPr>
      <w:rFonts w:ascii="Arial" w:eastAsia="MS Mincho" w:hAnsi="Arial" w:cs="Arial"/>
      <w:noProof/>
      <w:spacing w:val="8"/>
      <w:sz w:val="20"/>
      <w:szCs w:val="20"/>
      <w:lang w:val="en-GB" w:eastAsia="zh-CN"/>
    </w:rPr>
  </w:style>
  <w:style w:type="paragraph" w:styleId="NormalWeb">
    <w:name w:val="Normal (Web)"/>
    <w:basedOn w:val="Normal"/>
    <w:uiPriority w:val="99"/>
    <w:semiHidden/>
    <w:unhideWhenUsed/>
    <w:rsid w:val="00F35047"/>
    <w:pPr>
      <w:suppressAutoHyphens w:val="0"/>
      <w:spacing w:before="100" w:beforeAutospacing="1" w:after="100" w:afterAutospacing="1" w:line="240" w:lineRule="auto"/>
    </w:pPr>
    <w:rPr>
      <w:sz w:val="24"/>
      <w:szCs w:val="24"/>
      <w:lang w:val="fr-FR" w:eastAsia="fr-FR"/>
    </w:rPr>
  </w:style>
  <w:style w:type="paragraph" w:customStyle="1" w:styleId="FIGURE">
    <w:name w:val="FIGURE"/>
    <w:basedOn w:val="Normal"/>
    <w:next w:val="Normal"/>
    <w:qFormat/>
    <w:rsid w:val="00D07991"/>
    <w:pPr>
      <w:keepNext/>
      <w:suppressAutoHyphens w:val="0"/>
      <w:snapToGrid w:val="0"/>
      <w:spacing w:before="100" w:after="200" w:line="240" w:lineRule="auto"/>
      <w:jc w:val="center"/>
    </w:pPr>
    <w:rPr>
      <w:rFonts w:ascii="Arial" w:hAnsi="Arial" w:cs="Arial"/>
      <w:spacing w:val="8"/>
      <w:lang w:eastAsia="zh-CN"/>
    </w:rPr>
  </w:style>
  <w:style w:type="character" w:customStyle="1" w:styleId="jlqj4b">
    <w:name w:val="jlqj4b"/>
    <w:basedOn w:val="Policepardfaut"/>
    <w:rsid w:val="007A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419">
      <w:bodyDiv w:val="1"/>
      <w:marLeft w:val="0"/>
      <w:marRight w:val="0"/>
      <w:marTop w:val="0"/>
      <w:marBottom w:val="0"/>
      <w:divBdr>
        <w:top w:val="none" w:sz="0" w:space="0" w:color="auto"/>
        <w:left w:val="none" w:sz="0" w:space="0" w:color="auto"/>
        <w:bottom w:val="none" w:sz="0" w:space="0" w:color="auto"/>
        <w:right w:val="none" w:sz="0" w:space="0" w:color="auto"/>
      </w:divBdr>
    </w:div>
    <w:div w:id="390542311">
      <w:bodyDiv w:val="1"/>
      <w:marLeft w:val="0"/>
      <w:marRight w:val="0"/>
      <w:marTop w:val="0"/>
      <w:marBottom w:val="0"/>
      <w:divBdr>
        <w:top w:val="none" w:sz="0" w:space="0" w:color="auto"/>
        <w:left w:val="none" w:sz="0" w:space="0" w:color="auto"/>
        <w:bottom w:val="none" w:sz="0" w:space="0" w:color="auto"/>
        <w:right w:val="none" w:sz="0" w:space="0" w:color="auto"/>
      </w:divBdr>
    </w:div>
    <w:div w:id="562377394">
      <w:bodyDiv w:val="1"/>
      <w:marLeft w:val="0"/>
      <w:marRight w:val="0"/>
      <w:marTop w:val="0"/>
      <w:marBottom w:val="0"/>
      <w:divBdr>
        <w:top w:val="none" w:sz="0" w:space="0" w:color="auto"/>
        <w:left w:val="none" w:sz="0" w:space="0" w:color="auto"/>
        <w:bottom w:val="none" w:sz="0" w:space="0" w:color="auto"/>
        <w:right w:val="none" w:sz="0" w:space="0" w:color="auto"/>
      </w:divBdr>
    </w:div>
    <w:div w:id="926303834">
      <w:bodyDiv w:val="1"/>
      <w:marLeft w:val="0"/>
      <w:marRight w:val="0"/>
      <w:marTop w:val="0"/>
      <w:marBottom w:val="0"/>
      <w:divBdr>
        <w:top w:val="none" w:sz="0" w:space="0" w:color="auto"/>
        <w:left w:val="none" w:sz="0" w:space="0" w:color="auto"/>
        <w:bottom w:val="none" w:sz="0" w:space="0" w:color="auto"/>
        <w:right w:val="none" w:sz="0" w:space="0" w:color="auto"/>
      </w:divBdr>
    </w:div>
    <w:div w:id="1055620969">
      <w:bodyDiv w:val="1"/>
      <w:marLeft w:val="0"/>
      <w:marRight w:val="0"/>
      <w:marTop w:val="0"/>
      <w:marBottom w:val="0"/>
      <w:divBdr>
        <w:top w:val="none" w:sz="0" w:space="0" w:color="auto"/>
        <w:left w:val="none" w:sz="0" w:space="0" w:color="auto"/>
        <w:bottom w:val="none" w:sz="0" w:space="0" w:color="auto"/>
        <w:right w:val="none" w:sz="0" w:space="0" w:color="auto"/>
      </w:divBdr>
    </w:div>
    <w:div w:id="1058749365">
      <w:bodyDiv w:val="1"/>
      <w:marLeft w:val="0"/>
      <w:marRight w:val="0"/>
      <w:marTop w:val="0"/>
      <w:marBottom w:val="0"/>
      <w:divBdr>
        <w:top w:val="none" w:sz="0" w:space="0" w:color="auto"/>
        <w:left w:val="none" w:sz="0" w:space="0" w:color="auto"/>
        <w:bottom w:val="none" w:sz="0" w:space="0" w:color="auto"/>
        <w:right w:val="none" w:sz="0" w:space="0" w:color="auto"/>
      </w:divBdr>
    </w:div>
    <w:div w:id="13885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E45EE00BCFA94F8B63014D11EF6109" ma:contentTypeVersion="7" ma:contentTypeDescription="Crée un document." ma:contentTypeScope="" ma:versionID="8ad698ea5bf1f20383aa8bfbce7ef34c">
  <xsd:schema xmlns:xsd="http://www.w3.org/2001/XMLSchema" xmlns:xs="http://www.w3.org/2001/XMLSchema" xmlns:p="http://schemas.microsoft.com/office/2006/metadata/properties" xmlns:ns2="7292d1db-4ced-4fea-b912-fa70a576c1af" targetNamespace="http://schemas.microsoft.com/office/2006/metadata/properties" ma:root="true" ma:fieldsID="b3700add187ed39bf5a4d92bafa547fb" ns2:_="">
    <xsd:import namespace="7292d1db-4ced-4fea-b912-fa70a576c1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d1db-4ced-4fea-b912-fa70a576c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72CA-AA66-4CAB-BD6E-762ABD90A931}">
  <ds:schemaRefs>
    <ds:schemaRef ds:uri="http://schemas.microsoft.com/sharepoint/v3/contenttype/forms"/>
  </ds:schemaRefs>
</ds:datastoreItem>
</file>

<file path=customXml/itemProps2.xml><?xml version="1.0" encoding="utf-8"?>
<ds:datastoreItem xmlns:ds="http://schemas.openxmlformats.org/officeDocument/2006/customXml" ds:itemID="{8D9834C8-8D79-46C6-BE99-C82311E12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EA33C-151E-45E2-A128-2F5BADFE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d1db-4ced-4fea-b912-fa70a576c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BE970-376F-4CC7-A6DD-1AC87FCB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UTAC SAS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dc:creator>
  <cp:lastModifiedBy>BLANC Stéphane</cp:lastModifiedBy>
  <cp:revision>17</cp:revision>
  <cp:lastPrinted>2018-07-02T15:05:00Z</cp:lastPrinted>
  <dcterms:created xsi:type="dcterms:W3CDTF">2021-05-17T16:06:00Z</dcterms:created>
  <dcterms:modified xsi:type="dcterms:W3CDTF">2021-08-30T14:12:00Z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0x0101004FE45EE00BCFA94F8B63014D11EF6109</vt:lpwstr>
  </property>
  <property fmtid="{D5CDD505-2E9C-101B-9397-08002B2CF9AE}" pid="3" name="Order">
    <vt:r8>549800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