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08B2C0DF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00AEB">
        <w:rPr>
          <w:bCs/>
          <w:color w:val="000000"/>
          <w:szCs w:val="22"/>
          <w:u w:val="single"/>
          <w:lang w:val="en-GB" w:eastAsia="ja-JP"/>
        </w:rPr>
        <w:t>3</w:t>
      </w:r>
      <w:r w:rsidR="009C2183">
        <w:rPr>
          <w:bCs/>
          <w:color w:val="000000"/>
          <w:szCs w:val="22"/>
          <w:u w:val="single"/>
          <w:lang w:val="en-GB" w:eastAsia="ja-JP"/>
        </w:rPr>
        <w:t>3-0</w:t>
      </w:r>
      <w:r w:rsidR="00384494">
        <w:rPr>
          <w:bCs/>
          <w:color w:val="000000"/>
          <w:szCs w:val="22"/>
          <w:u w:val="single"/>
          <w:lang w:val="en-GB" w:eastAsia="ja-JP"/>
        </w:rPr>
        <w:t>6</w:t>
      </w:r>
    </w:p>
    <w:p w14:paraId="7A7E7A22" w14:textId="23CD7732" w:rsidR="000720E4" w:rsidRDefault="00600AE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3</w:t>
      </w:r>
      <w:r w:rsidR="009C2183">
        <w:rPr>
          <w:bCs/>
          <w:color w:val="000000"/>
          <w:szCs w:val="22"/>
          <w:lang w:val="en-GB" w:eastAsia="ja-JP"/>
        </w:rPr>
        <w:t>3</w:t>
      </w:r>
      <w:proofErr w:type="gramStart"/>
      <w:r w:rsidR="009C2183" w:rsidRPr="009C2183">
        <w:rPr>
          <w:bCs/>
          <w:color w:val="000000"/>
          <w:szCs w:val="22"/>
          <w:vertAlign w:val="superscript"/>
          <w:lang w:val="en-GB" w:eastAsia="ja-JP"/>
        </w:rPr>
        <w:t>rd</w:t>
      </w:r>
      <w:r w:rsidR="009C2183">
        <w:rPr>
          <w:bCs/>
          <w:color w:val="000000"/>
          <w:szCs w:val="22"/>
          <w:lang w:val="en-GB" w:eastAsia="ja-JP"/>
        </w:rPr>
        <w:t xml:space="preserve"> 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3CBF12A9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236BC8">
        <w:rPr>
          <w:bCs/>
          <w:color w:val="000000"/>
          <w:szCs w:val="22"/>
          <w:lang w:val="en-GB" w:eastAsia="ja-JP"/>
        </w:rPr>
        <w:t>January 1</w:t>
      </w:r>
      <w:r w:rsidR="009C2183">
        <w:rPr>
          <w:bCs/>
          <w:color w:val="000000"/>
          <w:szCs w:val="22"/>
          <w:lang w:val="en-GB" w:eastAsia="ja-JP"/>
        </w:rPr>
        <w:t>9</w:t>
      </w:r>
      <w:r w:rsidR="00236BC8" w:rsidRPr="00236BC8">
        <w:rPr>
          <w:bCs/>
          <w:color w:val="000000"/>
          <w:szCs w:val="22"/>
          <w:vertAlign w:val="superscript"/>
          <w:lang w:val="en-GB" w:eastAsia="ja-JP"/>
        </w:rPr>
        <w:t>th</w:t>
      </w:r>
      <w:proofErr w:type="gramStart"/>
      <w:r w:rsidR="00236BC8">
        <w:rPr>
          <w:bCs/>
          <w:color w:val="000000"/>
          <w:szCs w:val="22"/>
          <w:lang w:val="en-GB" w:eastAsia="ja-JP"/>
        </w:rPr>
        <w:t xml:space="preserve"> 2022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53A38273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236BC8">
        <w:rPr>
          <w:rFonts w:ascii="Arial" w:hAnsi="Arial"/>
          <w:sz w:val="22"/>
          <w:szCs w:val="18"/>
          <w:u w:val="single"/>
          <w:lang w:val="en-GB"/>
        </w:rPr>
        <w:t>January 1</w:t>
      </w:r>
      <w:r w:rsidR="009C2183">
        <w:rPr>
          <w:rFonts w:ascii="Arial" w:hAnsi="Arial"/>
          <w:sz w:val="22"/>
          <w:szCs w:val="18"/>
          <w:u w:val="single"/>
          <w:lang w:val="en-GB"/>
        </w:rPr>
        <w:t>9</w:t>
      </w:r>
      <w:r w:rsidR="00236BC8" w:rsidRPr="00236BC8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proofErr w:type="gramStart"/>
      <w:r w:rsidR="00236BC8">
        <w:rPr>
          <w:rFonts w:ascii="Arial" w:hAnsi="Arial"/>
          <w:sz w:val="22"/>
          <w:szCs w:val="18"/>
          <w:u w:val="single"/>
          <w:lang w:val="en-GB"/>
        </w:rPr>
        <w:t xml:space="preserve"> 2022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49FB086A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384494">
        <w:rPr>
          <w:rFonts w:ascii="Arial" w:hAnsi="Arial" w:cs="Arial"/>
          <w:b/>
          <w:bCs/>
          <w:sz w:val="28"/>
          <w:szCs w:val="22"/>
          <w:lang w:val="en-GB" w:eastAsia="ja-JP"/>
        </w:rPr>
        <w:t>minutes</w:t>
      </w:r>
      <w:r w:rsidR="00885AA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3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>3</w:t>
      </w:r>
      <w:r w:rsidR="009C2183" w:rsidRPr="009C2183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rd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27D547A5" w14:textId="5510D9F8" w:rsidR="00EB4849" w:rsidRPr="00D557B3" w:rsidRDefault="00D84F94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January 1</w:t>
      </w:r>
      <w:r w:rsidR="009C2183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235D30" w:rsidRPr="00D557B3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235D30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</w:t>
      </w:r>
      <w:r w:rsidR="00CF5041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235D30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:00 –</w:t>
      </w:r>
      <w:r w:rsidR="000720E4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CF5041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CA3C9F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CF5041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0720E4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CET) </w:t>
      </w:r>
      <w:r w:rsidR="001A37F4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202</w:t>
      </w:r>
      <w:r w:rsidR="00F839E8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1A37F4" w:rsidRPr="00D557B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proofErr w:type="spellStart"/>
      <w:r w:rsidR="000720E4" w:rsidRPr="00D557B3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D557B3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0286F350" w14:textId="77777777" w:rsidR="00F44126" w:rsidRPr="00D557B3" w:rsidRDefault="00F44126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</w:p>
    <w:p w14:paraId="7D6B01CF" w14:textId="13557ACB" w:rsidR="00F44126" w:rsidRPr="00D557B3" w:rsidRDefault="00780C68" w:rsidP="00F44126">
      <w:pPr>
        <w:jc w:val="center"/>
        <w:rPr>
          <w:rFonts w:ascii="Segoe UI" w:hAnsi="Segoe UI" w:cs="Segoe UI"/>
          <w:color w:val="252424"/>
          <w:sz w:val="36"/>
          <w:szCs w:val="36"/>
        </w:rPr>
      </w:pPr>
      <w:hyperlink r:id="rId11" w:tgtFrame="_blank" w:history="1">
        <w:r w:rsidR="00F44126" w:rsidRPr="00D557B3">
          <w:rPr>
            <w:rStyle w:val="Lienhypertexte"/>
            <w:rFonts w:ascii="Segoe UI Semibold" w:hAnsi="Segoe UI Semibold" w:cs="Segoe UI Semibold"/>
            <w:color w:val="6264A7"/>
            <w:sz w:val="32"/>
            <w:szCs w:val="32"/>
          </w:rPr>
          <w:t>TEAMS LINK</w:t>
        </w:r>
      </w:hyperlink>
    </w:p>
    <w:p w14:paraId="48761B5E" w14:textId="73B7259A" w:rsidR="0042165F" w:rsidRPr="00D557B3" w:rsidRDefault="00780C68" w:rsidP="000E2FB7">
      <w:pPr>
        <w:rPr>
          <w:rFonts w:ascii="Segoe UI" w:hAnsi="Segoe UI" w:cs="Segoe UI"/>
          <w:color w:val="252424"/>
          <w:sz w:val="40"/>
          <w:szCs w:val="40"/>
        </w:rPr>
      </w:pPr>
      <w:hyperlink r:id="rId12" w:tgtFrame="_blank" w:history="1"/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D557B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D557B3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FC677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209C5B3C" w14:textId="77777777" w:rsidR="002F4603" w:rsidRPr="00FC6779" w:rsidRDefault="002F460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53890D4A" w14:textId="591884B1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 as per WT-</w:t>
            </w:r>
            <w:r w:rsidR="00384AAC" w:rsidRPr="00FC677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3</w:t>
            </w:r>
            <w:r w:rsidR="00F44126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3-</w:t>
            </w:r>
            <w:r w:rsidR="00384494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05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FC6779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11993928" w14:textId="1AADA4E3" w:rsidR="00CE2BF3" w:rsidRPr="00FC6779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2D6E8642" w14:textId="75E03D66" w:rsidR="00685101" w:rsidRPr="00FC6779" w:rsidRDefault="00877A25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was adopted</w:t>
            </w:r>
          </w:p>
          <w:p w14:paraId="36A06D2A" w14:textId="2371C1D4" w:rsidR="004E3877" w:rsidRDefault="004E3877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Previous meeting minutes</w:t>
            </w:r>
            <w:r w:rsidR="00BB74D3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  <w:r w:rsidR="00BB74D3" w:rsidRPr="00CE0D7A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(v1)</w:t>
            </w:r>
            <w:r w:rsidRPr="00CE0D7A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were</w:t>
            </w: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adopte</w:t>
            </w:r>
            <w:r w:rsidR="00812569"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d</w:t>
            </w:r>
          </w:p>
          <w:p w14:paraId="78061CFD" w14:textId="7E698A4A" w:rsidR="00A2640C" w:rsidRPr="00FC6779" w:rsidRDefault="00A2640C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34539B75" w14:textId="78CCC271" w:rsidR="003F497D" w:rsidRPr="00FC6779" w:rsidRDefault="003F497D" w:rsidP="00384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9F83272" w14:textId="5BC961AD" w:rsidR="00384AAC" w:rsidRDefault="00384AAC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WT-3</w:t>
            </w:r>
            <w:r w:rsidR="00CF442D">
              <w:rPr>
                <w:rFonts w:ascii="Arial" w:hAnsi="Arial" w:cs="Arial"/>
                <w:sz w:val="22"/>
                <w:szCs w:val="22"/>
                <w:lang w:val="en-GB"/>
              </w:rPr>
              <w:t>2-07</w:t>
            </w:r>
          </w:p>
          <w:p w14:paraId="57B51538" w14:textId="43E80EBB" w:rsidR="00D557B3" w:rsidRDefault="00D557B3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WT-32-07v1</w:t>
            </w:r>
          </w:p>
          <w:p w14:paraId="067FAA87" w14:textId="0C6773CF" w:rsidR="00DD12B2" w:rsidRPr="00FC6779" w:rsidRDefault="00DD12B2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</w:t>
            </w:r>
            <w:r w:rsidR="00CF442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76842D73" w14:textId="1CD7CDCE" w:rsidR="00982559" w:rsidRDefault="00982559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Threshold definition C1 scenario’s</w:t>
            </w:r>
          </w:p>
          <w:p w14:paraId="1DFF1967" w14:textId="074CEADF" w:rsidR="00D864B4" w:rsidRDefault="00D864B4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Additional test campaign timeline</w:t>
            </w:r>
          </w:p>
          <w:p w14:paraId="69461E0F" w14:textId="119A7B97" w:rsidR="00B0620E" w:rsidRPr="00FC6779" w:rsidRDefault="00A839A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FC6779"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B0620E" w:rsidRPr="00FC6779">
              <w:rPr>
                <w:rFonts w:ascii="Arial" w:hAnsi="Arial" w:cs="Arial"/>
                <w:b/>
                <w:bCs/>
                <w:lang w:val="en-GB"/>
              </w:rPr>
              <w:t>o</w:t>
            </w:r>
            <w:r w:rsidR="00B80316" w:rsidRPr="00FC6779">
              <w:rPr>
                <w:rFonts w:ascii="Arial" w:hAnsi="Arial" w:cs="Arial"/>
                <w:b/>
                <w:bCs/>
                <w:lang w:val="en-GB"/>
              </w:rPr>
              <w:t>u</w:t>
            </w:r>
            <w:r w:rsidR="00B0620E" w:rsidRPr="00FC6779">
              <w:rPr>
                <w:rFonts w:ascii="Arial" w:hAnsi="Arial" w:cs="Arial"/>
                <w:b/>
                <w:bCs/>
                <w:lang w:val="en-GB"/>
              </w:rPr>
              <w:t>ld SRTT</w:t>
            </w:r>
            <w:r w:rsidR="00783751" w:rsidRPr="00FC6779">
              <w:rPr>
                <w:rFonts w:ascii="Arial" w:hAnsi="Arial" w:cs="Arial"/>
                <w:b/>
                <w:bCs/>
                <w:lang w:val="en-GB"/>
              </w:rPr>
              <w:t xml:space="preserve"> workplan</w:t>
            </w:r>
          </w:p>
          <w:p w14:paraId="4E500C3A" w14:textId="5676F1F0" w:rsidR="00162B50" w:rsidRPr="00FC6779" w:rsidRDefault="00162B50" w:rsidP="00A839A1">
            <w:pPr>
              <w:spacing w:before="60" w:after="60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5D30" w:rsidRPr="00FC6779" w14:paraId="23F5FC3A" w14:textId="77777777" w:rsidTr="00417D6B">
        <w:tc>
          <w:tcPr>
            <w:tcW w:w="562" w:type="dxa"/>
            <w:vAlign w:val="center"/>
          </w:tcPr>
          <w:p w14:paraId="15CBD4F4" w14:textId="77777777" w:rsidR="00235D30" w:rsidRPr="00FC6779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79C08EE0" w14:textId="29FDC996" w:rsidR="008C3C0A" w:rsidRDefault="00A76A7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WTPP Status re</w:t>
            </w:r>
            <w:r w:rsidR="00AC674C">
              <w:rPr>
                <w:rFonts w:ascii="Arial" w:hAnsi="Arial" w:cs="Arial"/>
                <w:b/>
                <w:sz w:val="22"/>
                <w:szCs w:val="22"/>
                <w:lang w:val="en-GB"/>
              </w:rPr>
              <w:t>por</w:t>
            </w:r>
            <w:r w:rsidR="008B1BAD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</w:p>
          <w:p w14:paraId="082B4D0C" w14:textId="77777777" w:rsidR="008B1BAD" w:rsidRPr="008B1BAD" w:rsidRDefault="008B1B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61B704" w14:textId="24823485" w:rsidR="008B1BAD" w:rsidRDefault="008B1BAD" w:rsidP="008B1BA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During its meeting of 13 Janu</w:t>
            </w:r>
            <w:r w:rsidR="005F6F11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ary,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WTPP </w:t>
            </w:r>
            <w:r w:rsidR="005F6F11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has started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considering the assessment request </w:t>
            </w:r>
            <w:r w:rsidR="005F6F11">
              <w:rPr>
                <w:rFonts w:ascii="Arial" w:hAnsi="Arial" w:cs="Arial"/>
                <w:bCs/>
                <w:color w:val="0070C0"/>
                <w:sz w:val="22"/>
                <w:szCs w:val="22"/>
              </w:rPr>
              <w:t>received from IWG WGWT.</w:t>
            </w:r>
          </w:p>
          <w:p w14:paraId="3225A0C4" w14:textId="07BECDDC" w:rsidR="00286E4F" w:rsidRPr="00514700" w:rsidRDefault="00286E4F" w:rsidP="008B1BA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Once finalized, IWG WGWT will be informed accordingly.</w:t>
            </w:r>
          </w:p>
          <w:p w14:paraId="47B5650A" w14:textId="6F0A6EE3" w:rsidR="00D37225" w:rsidRPr="00514700" w:rsidRDefault="00D37225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4F206A7" w14:textId="1E4B2C9B" w:rsidR="00106C55" w:rsidRPr="002D33EB" w:rsidRDefault="00106C55" w:rsidP="00B82962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</w:p>
        </w:tc>
      </w:tr>
      <w:tr w:rsidR="000D2D0E" w:rsidRPr="00FC6779" w14:paraId="17E96B87" w14:textId="77777777" w:rsidTr="00417D6B">
        <w:tc>
          <w:tcPr>
            <w:tcW w:w="562" w:type="dxa"/>
            <w:vAlign w:val="center"/>
          </w:tcPr>
          <w:p w14:paraId="6242094E" w14:textId="77777777" w:rsidR="000D2D0E" w:rsidRPr="00FC6779" w:rsidRDefault="000D2D0E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32B8171" w14:textId="77313AB4" w:rsidR="000D2D0E" w:rsidRDefault="000D2D0E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C1 threshold definition</w:t>
            </w:r>
            <w:r w:rsidR="00500E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scenario’s </w:t>
            </w:r>
          </w:p>
          <w:p w14:paraId="77567FF2" w14:textId="77777777" w:rsidR="002222A5" w:rsidRPr="00286E4F" w:rsidRDefault="002222A5" w:rsidP="00286E4F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03EF0ED3" w14:textId="32757F1B" w:rsidR="004A6939" w:rsidRPr="00286E4F" w:rsidRDefault="002222A5" w:rsidP="00EB5C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WT-32-01</w:t>
            </w:r>
          </w:p>
          <w:p w14:paraId="609A105D" w14:textId="3F244DF2" w:rsidR="002222A5" w:rsidRPr="00286E4F" w:rsidRDefault="002222A5" w:rsidP="00EB5C0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WTPP will </w:t>
            </w:r>
            <w:r w:rsidR="00987404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consider the France requests</w:t>
            </w:r>
            <w:r w:rsidR="00356184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  <w:p w14:paraId="6962842A" w14:textId="387A6BC6" w:rsidR="00356184" w:rsidRPr="00286E4F" w:rsidRDefault="00356184" w:rsidP="00356184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 xml:space="preserve">To assess the order of magnitude of the market share of the identified C1 clusters (Ultra High Performance, Legal </w:t>
            </w:r>
            <w:proofErr w:type="gramStart"/>
            <w:r w:rsidRPr="00286E4F">
              <w:rPr>
                <w:rFonts w:ascii="Arial" w:hAnsi="Arial" w:cs="Arial"/>
                <w:bCs/>
                <w:lang w:val="en-GB"/>
              </w:rPr>
              <w:t>race</w:t>
            </w:r>
            <w:proofErr w:type="gramEnd"/>
            <w:r w:rsidRPr="00286E4F">
              <w:rPr>
                <w:rFonts w:ascii="Arial" w:hAnsi="Arial" w:cs="Arial"/>
                <w:bCs/>
                <w:lang w:val="en-GB"/>
              </w:rPr>
              <w:t xml:space="preserve"> and All terrain).</w:t>
            </w:r>
          </w:p>
          <w:p w14:paraId="03752038" w14:textId="17441CCC" w:rsidR="00356184" w:rsidRPr="00286E4F" w:rsidRDefault="00356184" w:rsidP="00356184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>To estimate the ‘elimination’ ratio based on the threshold proposal.</w:t>
            </w:r>
          </w:p>
          <w:p w14:paraId="6ECF0524" w14:textId="2C481F68" w:rsidR="00356184" w:rsidRPr="00286E4F" w:rsidRDefault="00356184" w:rsidP="00356184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>To reflect on the need to round the threshold level at 2 decimals (as there is only 1 decimal for WGI in new state</w:t>
            </w:r>
          </w:p>
          <w:p w14:paraId="0CE9BACB" w14:textId="77777777" w:rsidR="00286E4F" w:rsidRPr="00286E4F" w:rsidRDefault="00286E4F" w:rsidP="00E667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1737C4" w14:textId="6017D240" w:rsidR="00E66731" w:rsidRPr="00286E4F" w:rsidRDefault="00406E6E" w:rsidP="00E6673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IWG WGWT agreed to </w:t>
            </w:r>
            <w:r w:rsidR="0036454C"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proceed as</w:t>
            </w: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following</w:t>
            </w:r>
            <w:r w:rsidR="00D93B35"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secure the delivery of a GRBP </w:t>
            </w:r>
            <w:r w:rsidR="000F60B5"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informal Document to GRBP 75</w:t>
            </w:r>
            <w:r w:rsidR="000F60B5" w:rsidRPr="00286E4F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0F60B5"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session</w:t>
            </w:r>
            <w:r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  <w:p w14:paraId="4E93F78B" w14:textId="77777777" w:rsidR="00E6461D" w:rsidRPr="00286E4F" w:rsidRDefault="00E6461D" w:rsidP="00E6673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00AD67D" w14:textId="094EABB1" w:rsidR="003B7DEA" w:rsidRPr="00286E4F" w:rsidRDefault="003B7DEA" w:rsidP="00E667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Step 1</w:t>
            </w:r>
          </w:p>
          <w:p w14:paraId="4C1C076A" w14:textId="59A4F453" w:rsidR="00406E6E" w:rsidRPr="00286E4F" w:rsidRDefault="00406E6E" w:rsidP="00406E6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 xml:space="preserve">Follow the suggestion of EC to </w:t>
            </w:r>
            <w:r w:rsidR="00927627" w:rsidRPr="00286E4F">
              <w:rPr>
                <w:rFonts w:ascii="Arial" w:hAnsi="Arial" w:cs="Arial"/>
                <w:bCs/>
                <w:lang w:val="en-GB"/>
              </w:rPr>
              <w:t>not consider the clusters in the proposal to R117.03, and to adapt</w:t>
            </w:r>
            <w:r w:rsidR="00644E54" w:rsidRPr="00286E4F">
              <w:rPr>
                <w:rFonts w:ascii="Arial" w:hAnsi="Arial" w:cs="Arial"/>
                <w:bCs/>
                <w:lang w:val="en-GB"/>
              </w:rPr>
              <w:t>/lower</w:t>
            </w:r>
            <w:r w:rsidR="00927627" w:rsidRPr="00286E4F">
              <w:rPr>
                <w:rFonts w:ascii="Arial" w:hAnsi="Arial" w:cs="Arial"/>
                <w:bCs/>
                <w:lang w:val="en-GB"/>
              </w:rPr>
              <w:t xml:space="preserve"> the proposed </w:t>
            </w:r>
            <w:r w:rsidR="00644E54" w:rsidRPr="00286E4F">
              <w:rPr>
                <w:rFonts w:ascii="Arial" w:hAnsi="Arial" w:cs="Arial"/>
                <w:bCs/>
                <w:lang w:val="en-GB"/>
              </w:rPr>
              <w:t>threshold values that will cover the whole</w:t>
            </w:r>
            <w:r w:rsidR="00E6461D" w:rsidRPr="00286E4F">
              <w:rPr>
                <w:rFonts w:ascii="Arial" w:hAnsi="Arial" w:cs="Arial"/>
                <w:bCs/>
                <w:lang w:val="en-GB"/>
              </w:rPr>
              <w:t xml:space="preserve"> existing</w:t>
            </w:r>
            <w:r w:rsidR="00644E54" w:rsidRPr="00286E4F">
              <w:rPr>
                <w:rFonts w:ascii="Arial" w:hAnsi="Arial" w:cs="Arial"/>
                <w:bCs/>
                <w:lang w:val="en-GB"/>
              </w:rPr>
              <w:t xml:space="preserve"> tyre segment</w:t>
            </w:r>
            <w:r w:rsidR="0060752F" w:rsidRPr="00286E4F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D42BD" w:rsidRPr="00286E4F">
              <w:rPr>
                <w:rFonts w:ascii="Arial" w:hAnsi="Arial" w:cs="Arial"/>
                <w:bCs/>
                <w:lang w:val="en-GB"/>
              </w:rPr>
              <w:t xml:space="preserve">(where new cluster need to be added </w:t>
            </w:r>
            <w:proofErr w:type="gramStart"/>
            <w:r w:rsidR="00BD42BD" w:rsidRPr="00286E4F">
              <w:rPr>
                <w:rFonts w:ascii="Arial" w:hAnsi="Arial" w:cs="Arial"/>
                <w:bCs/>
                <w:lang w:val="en-GB"/>
              </w:rPr>
              <w:t>later on</w:t>
            </w:r>
            <w:proofErr w:type="gramEnd"/>
            <w:r w:rsidR="00BD42BD" w:rsidRPr="00286E4F">
              <w:rPr>
                <w:rFonts w:ascii="Arial" w:hAnsi="Arial" w:cs="Arial"/>
                <w:bCs/>
                <w:lang w:val="en-GB"/>
              </w:rPr>
              <w:t>)</w:t>
            </w:r>
            <w:r w:rsidR="00E61903" w:rsidRPr="00286E4F">
              <w:rPr>
                <w:rFonts w:ascii="Arial" w:hAnsi="Arial" w:cs="Arial"/>
                <w:b/>
                <w:lang w:val="en-GB"/>
              </w:rPr>
              <w:sym w:font="Wingdings" w:char="F0E0"/>
            </w:r>
            <w:r w:rsidR="00E61903" w:rsidRPr="00286E4F">
              <w:rPr>
                <w:rFonts w:ascii="Arial" w:hAnsi="Arial" w:cs="Arial"/>
                <w:b/>
                <w:lang w:val="en-GB"/>
              </w:rPr>
              <w:t xml:space="preserve"> GRBP 75</w:t>
            </w:r>
            <w:r w:rsidR="00E61903" w:rsidRPr="00286E4F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E61903" w:rsidRPr="00286E4F">
              <w:rPr>
                <w:rFonts w:ascii="Arial" w:hAnsi="Arial" w:cs="Arial"/>
                <w:b/>
                <w:lang w:val="en-GB"/>
              </w:rPr>
              <w:t xml:space="preserve"> session</w:t>
            </w:r>
            <w:r w:rsidR="00B94D5C" w:rsidRPr="00286E4F">
              <w:rPr>
                <w:rFonts w:ascii="Arial" w:hAnsi="Arial" w:cs="Arial"/>
                <w:bCs/>
                <w:lang w:val="en-GB"/>
              </w:rPr>
              <w:t xml:space="preserve"> (R117.03)</w:t>
            </w:r>
            <w:r w:rsidR="00644E54" w:rsidRPr="00286E4F">
              <w:rPr>
                <w:rFonts w:ascii="Arial" w:hAnsi="Arial" w:cs="Arial"/>
                <w:bCs/>
                <w:lang w:val="en-GB"/>
              </w:rPr>
              <w:t>.</w:t>
            </w:r>
          </w:p>
          <w:p w14:paraId="2435281A" w14:textId="77777777" w:rsidR="00C26307" w:rsidRPr="00286E4F" w:rsidRDefault="00C26307" w:rsidP="00C26307">
            <w:pPr>
              <w:pStyle w:val="Paragraphedeliste"/>
              <w:rPr>
                <w:rFonts w:ascii="Arial" w:hAnsi="Arial" w:cs="Arial"/>
                <w:bCs/>
                <w:lang w:val="en-GB"/>
              </w:rPr>
            </w:pPr>
          </w:p>
          <w:p w14:paraId="11C1DCF0" w14:textId="76A4D7DA" w:rsidR="00356184" w:rsidRPr="00286E4F" w:rsidRDefault="00356184" w:rsidP="00356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WT-32-02</w:t>
            </w:r>
          </w:p>
          <w:p w14:paraId="7C71FF45" w14:textId="3ABE4FAA" w:rsidR="00F500DD" w:rsidRPr="00286E4F" w:rsidRDefault="00356184" w:rsidP="0035618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ETRTO will prepare a </w:t>
            </w:r>
            <w:r w:rsidR="001E58A2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proposal by 33</w:t>
            </w:r>
            <w:r w:rsidR="001E58A2" w:rsidRPr="00286E4F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1E58A2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session.</w:t>
            </w:r>
          </w:p>
          <w:p w14:paraId="05A11445" w14:textId="3643765B" w:rsidR="00F500DD" w:rsidRPr="00286E4F" w:rsidRDefault="00F500DD" w:rsidP="00F500DD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>Proposal will be reviewed by the IWG on 19 January.</w:t>
            </w:r>
          </w:p>
          <w:p w14:paraId="55205C65" w14:textId="77777777" w:rsidR="00F500DD" w:rsidRPr="00286E4F" w:rsidRDefault="00F500DD" w:rsidP="00F500DD">
            <w:pPr>
              <w:pStyle w:val="Paragraphedeliste"/>
              <w:rPr>
                <w:rFonts w:ascii="Arial" w:hAnsi="Arial" w:cs="Arial"/>
                <w:bCs/>
                <w:lang w:val="en-GB"/>
              </w:rPr>
            </w:pPr>
          </w:p>
          <w:p w14:paraId="407C77A4" w14:textId="1E972D7E" w:rsidR="003B7DEA" w:rsidRPr="00286E4F" w:rsidRDefault="003B7DEA" w:rsidP="00356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Step 2</w:t>
            </w:r>
          </w:p>
          <w:p w14:paraId="31AE6EBE" w14:textId="6035667F" w:rsidR="00FD796A" w:rsidRPr="00286E4F" w:rsidRDefault="00D328E9" w:rsidP="00406E6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 xml:space="preserve">To </w:t>
            </w:r>
            <w:r w:rsidR="00CE1FF8" w:rsidRPr="00286E4F">
              <w:rPr>
                <w:rFonts w:ascii="Arial" w:hAnsi="Arial" w:cs="Arial"/>
                <w:bCs/>
                <w:lang w:val="en-GB"/>
              </w:rPr>
              <w:t xml:space="preserve">work on the cluster definition </w:t>
            </w:r>
            <w:r w:rsidR="00B94D5C" w:rsidRPr="00286E4F">
              <w:rPr>
                <w:rFonts w:ascii="Arial" w:hAnsi="Arial" w:cs="Arial"/>
                <w:bCs/>
                <w:lang w:val="en-GB"/>
              </w:rPr>
              <w:t xml:space="preserve">and influence on other regulation (especially R30 if any) </w:t>
            </w:r>
            <w:r w:rsidR="00CE1FF8" w:rsidRPr="00286E4F">
              <w:rPr>
                <w:rFonts w:ascii="Arial" w:hAnsi="Arial" w:cs="Arial"/>
                <w:bCs/>
                <w:lang w:val="en-GB"/>
              </w:rPr>
              <w:t xml:space="preserve">+ threshold proposal </w:t>
            </w:r>
            <w:r w:rsidR="00FD796A" w:rsidRPr="00286E4F">
              <w:rPr>
                <w:rFonts w:ascii="Arial" w:hAnsi="Arial" w:cs="Arial"/>
                <w:bCs/>
                <w:lang w:val="en-GB"/>
              </w:rPr>
              <w:t>for R117.04.</w:t>
            </w:r>
          </w:p>
          <w:p w14:paraId="5C056018" w14:textId="069EFE7C" w:rsidR="00644E54" w:rsidRPr="00286E4F" w:rsidRDefault="00FD796A" w:rsidP="00406E6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 xml:space="preserve">To consider the threshold proposal </w:t>
            </w:r>
            <w:r w:rsidR="00870BEC" w:rsidRPr="00286E4F">
              <w:rPr>
                <w:rFonts w:ascii="Arial" w:hAnsi="Arial" w:cs="Arial"/>
                <w:bCs/>
                <w:lang w:val="en-GB"/>
              </w:rPr>
              <w:t xml:space="preserve">as </w:t>
            </w:r>
            <w:r w:rsidRPr="00286E4F">
              <w:rPr>
                <w:rFonts w:ascii="Arial" w:hAnsi="Arial" w:cs="Arial"/>
                <w:bCs/>
                <w:lang w:val="en-GB"/>
              </w:rPr>
              <w:t xml:space="preserve">in document </w:t>
            </w:r>
            <w:r w:rsidR="00F60767" w:rsidRPr="00286E4F">
              <w:rPr>
                <w:rFonts w:ascii="Arial" w:hAnsi="Arial" w:cs="Arial"/>
                <w:bCs/>
                <w:lang w:val="en-GB"/>
              </w:rPr>
              <w:t xml:space="preserve">WT-32-04 (slide </w:t>
            </w:r>
            <w:r w:rsidR="003B7DEA" w:rsidRPr="00286E4F">
              <w:rPr>
                <w:rFonts w:ascii="Arial" w:hAnsi="Arial" w:cs="Arial"/>
                <w:bCs/>
                <w:lang w:val="en-GB"/>
              </w:rPr>
              <w:t>4) as</w:t>
            </w:r>
            <w:r w:rsidR="00D328E9" w:rsidRPr="00286E4F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B7DEA" w:rsidRPr="00286E4F">
              <w:rPr>
                <w:rFonts w:ascii="Arial" w:hAnsi="Arial" w:cs="Arial"/>
                <w:bCs/>
                <w:lang w:val="en-GB"/>
              </w:rPr>
              <w:t>baseline for step 2 threshold limits</w:t>
            </w:r>
            <w:r w:rsidR="00AA07FE" w:rsidRPr="00286E4F">
              <w:rPr>
                <w:rFonts w:ascii="Arial" w:hAnsi="Arial" w:cs="Arial"/>
                <w:bCs/>
                <w:lang w:val="en-GB"/>
              </w:rPr>
              <w:t>.</w:t>
            </w:r>
          </w:p>
          <w:p w14:paraId="49DEDC6C" w14:textId="77777777" w:rsidR="00C26307" w:rsidRPr="00286E4F" w:rsidRDefault="00C26307" w:rsidP="00406E6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bCs/>
                <w:lang w:val="en-GB"/>
              </w:rPr>
            </w:pPr>
            <w:r w:rsidRPr="00286E4F">
              <w:rPr>
                <w:rFonts w:ascii="Arial" w:hAnsi="Arial" w:cs="Arial"/>
                <w:bCs/>
                <w:lang w:val="en-GB"/>
              </w:rPr>
              <w:t>To deliver the proposal</w:t>
            </w:r>
            <w:r w:rsidRPr="00286E4F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86E4F">
              <w:rPr>
                <w:rFonts w:ascii="Arial" w:hAnsi="Arial" w:cs="Arial"/>
                <w:b/>
                <w:lang w:val="en-GB"/>
              </w:rPr>
              <w:sym w:font="Wingdings" w:char="F0E0"/>
            </w:r>
            <w:r w:rsidRPr="00286E4F">
              <w:rPr>
                <w:rFonts w:ascii="Arial" w:hAnsi="Arial" w:cs="Arial"/>
                <w:b/>
                <w:lang w:val="en-GB"/>
              </w:rPr>
              <w:t xml:space="preserve"> GRBP 76</w:t>
            </w:r>
            <w:r w:rsidRPr="00286E4F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286E4F">
              <w:rPr>
                <w:rFonts w:ascii="Arial" w:hAnsi="Arial" w:cs="Arial"/>
                <w:b/>
                <w:lang w:val="en-GB"/>
              </w:rPr>
              <w:t xml:space="preserve"> session</w:t>
            </w:r>
            <w:r w:rsidR="00CC18A7" w:rsidRPr="00286E4F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F88248F" w14:textId="77777777" w:rsidR="000F60B5" w:rsidRDefault="000F60B5" w:rsidP="000F60B5">
            <w:pPr>
              <w:ind w:left="360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015B7B33" w14:textId="3A3C3BA6" w:rsidR="001B4D92" w:rsidRDefault="00540012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ETRTO and JASIC presented their threshold proposals </w:t>
            </w:r>
            <w:r w:rsidR="00A857F3">
              <w:rPr>
                <w:rFonts w:ascii="Arial" w:hAnsi="Arial" w:cs="Arial"/>
                <w:bCs/>
                <w:color w:val="0070C0"/>
                <w:lang w:val="en-GB"/>
              </w:rPr>
              <w:t>with the documents WT-33-02 and WT-33-04.</w:t>
            </w:r>
          </w:p>
          <w:p w14:paraId="33C9344F" w14:textId="48E88ED8" w:rsidR="007343FB" w:rsidRDefault="007343FB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1CBCCDA3" w14:textId="6BCE52BB" w:rsidR="007343FB" w:rsidRDefault="00110475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The IWG agreed on the </w:t>
            </w:r>
            <w:proofErr w:type="gramStart"/>
            <w:r>
              <w:rPr>
                <w:rFonts w:ascii="Arial" w:hAnsi="Arial" w:cs="Arial"/>
                <w:bCs/>
                <w:color w:val="0070C0"/>
                <w:lang w:val="en-GB"/>
              </w:rPr>
              <w:t>2 step</w:t>
            </w:r>
            <w:proofErr w:type="gramEnd"/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 approach</w:t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 xml:space="preserve"> (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>R117.</w:t>
            </w:r>
            <w:r w:rsidR="001336DA">
              <w:rPr>
                <w:rFonts w:ascii="Arial" w:hAnsi="Arial" w:cs="Arial"/>
                <w:bCs/>
                <w:color w:val="0070C0"/>
                <w:lang w:val="en-GB"/>
              </w:rPr>
              <w:t>0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 xml:space="preserve">3 </w:t>
            </w:r>
            <w:r w:rsidR="00A4710F" w:rsidRPr="00A4710F">
              <w:rPr>
                <w:rFonts w:ascii="Arial" w:hAnsi="Arial" w:cs="Arial"/>
                <w:bCs/>
                <w:color w:val="0070C0"/>
                <w:lang w:val="en-GB"/>
              </w:rPr>
              <w:sym w:font="Wingdings" w:char="F0E0"/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 xml:space="preserve"> </w:t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>GRBP 75</w:t>
            </w:r>
            <w:r w:rsidR="0053572B" w:rsidRPr="0053572B">
              <w:rPr>
                <w:rFonts w:ascii="Arial" w:hAnsi="Arial" w:cs="Arial"/>
                <w:bCs/>
                <w:color w:val="0070C0"/>
                <w:vertAlign w:val="superscript"/>
                <w:lang w:val="en-GB"/>
              </w:rPr>
              <w:t>th</w:t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 xml:space="preserve"> and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 xml:space="preserve"> R117.</w:t>
            </w:r>
            <w:r w:rsidR="001336DA">
              <w:rPr>
                <w:rFonts w:ascii="Arial" w:hAnsi="Arial" w:cs="Arial"/>
                <w:bCs/>
                <w:color w:val="0070C0"/>
                <w:lang w:val="en-GB"/>
              </w:rPr>
              <w:t>0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 xml:space="preserve">4 </w:t>
            </w:r>
            <w:r w:rsidR="00A4710F" w:rsidRPr="00A4710F">
              <w:rPr>
                <w:rFonts w:ascii="Arial" w:hAnsi="Arial" w:cs="Arial"/>
                <w:bCs/>
                <w:color w:val="0070C0"/>
                <w:lang w:val="en-GB"/>
              </w:rPr>
              <w:sym w:font="Wingdings" w:char="F0E0"/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 xml:space="preserve"> 76</w:t>
            </w:r>
            <w:r w:rsidR="0053572B" w:rsidRPr="0053572B">
              <w:rPr>
                <w:rFonts w:ascii="Arial" w:hAnsi="Arial" w:cs="Arial"/>
                <w:bCs/>
                <w:color w:val="0070C0"/>
                <w:vertAlign w:val="superscript"/>
                <w:lang w:val="en-GB"/>
              </w:rPr>
              <w:t>th</w:t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 xml:space="preserve"> session) and on the threshold 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>target</w:t>
            </w:r>
            <w:r w:rsidR="0053572B">
              <w:rPr>
                <w:rFonts w:ascii="Arial" w:hAnsi="Arial" w:cs="Arial"/>
                <w:bCs/>
                <w:color w:val="0070C0"/>
                <w:lang w:val="en-GB"/>
              </w:rPr>
              <w:t xml:space="preserve"> for step 2</w:t>
            </w:r>
            <w:r w:rsidR="00A4710F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1E0A2A70" w14:textId="070AD672" w:rsidR="00A4710F" w:rsidRDefault="00A4710F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45D17907" w14:textId="778B90EA" w:rsidR="00A4710F" w:rsidRDefault="00A4710F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The IWG discussed on the </w:t>
            </w:r>
            <w:r w:rsidR="00F320FA">
              <w:rPr>
                <w:rFonts w:ascii="Arial" w:hAnsi="Arial" w:cs="Arial"/>
                <w:bCs/>
                <w:color w:val="0070C0"/>
                <w:lang w:val="en-GB"/>
              </w:rPr>
              <w:t xml:space="preserve">threshold proposal for step 1, where 2 positions were discussed </w:t>
            </w:r>
            <w:r w:rsidR="00DE3475">
              <w:rPr>
                <w:rFonts w:ascii="Arial" w:hAnsi="Arial" w:cs="Arial"/>
                <w:bCs/>
                <w:color w:val="0070C0"/>
                <w:lang w:val="en-GB"/>
              </w:rPr>
              <w:t>within the IWG:</w:t>
            </w:r>
          </w:p>
          <w:p w14:paraId="40436089" w14:textId="5A35B6F6" w:rsidR="00DE3475" w:rsidRDefault="00DE3475" w:rsidP="00A44A5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EC: Need to consider </w:t>
            </w:r>
            <w:r w:rsidR="006B0C9B">
              <w:rPr>
                <w:rFonts w:ascii="Arial" w:hAnsi="Arial" w:cs="Arial"/>
                <w:bCs/>
                <w:color w:val="0070C0"/>
                <w:lang w:val="en-GB"/>
              </w:rPr>
              <w:t>for R117.03</w:t>
            </w:r>
            <w:r w:rsidR="00210D01">
              <w:rPr>
                <w:rFonts w:ascii="Arial" w:hAnsi="Arial" w:cs="Arial"/>
                <w:bCs/>
                <w:color w:val="0070C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the final target threshold </w:t>
            </w:r>
            <w:r w:rsidR="00EC6B50">
              <w:rPr>
                <w:rFonts w:ascii="Arial" w:hAnsi="Arial" w:cs="Arial"/>
                <w:bCs/>
                <w:color w:val="0070C0"/>
                <w:lang w:val="en-GB"/>
              </w:rPr>
              <w:t>for Normal tyres (0,88) and announce to GRBP that the clusters of UHP and Legal race</w:t>
            </w:r>
            <w:r w:rsidR="00951DC3">
              <w:rPr>
                <w:rFonts w:ascii="Arial" w:hAnsi="Arial" w:cs="Arial"/>
                <w:bCs/>
                <w:color w:val="0070C0"/>
                <w:lang w:val="en-GB"/>
              </w:rPr>
              <w:t xml:space="preserve"> are still under assessment. Based on data and facts, it will be </w:t>
            </w:r>
            <w:r w:rsidR="00824F31">
              <w:rPr>
                <w:rFonts w:ascii="Arial" w:hAnsi="Arial" w:cs="Arial"/>
                <w:bCs/>
                <w:color w:val="0070C0"/>
                <w:lang w:val="en-GB"/>
              </w:rPr>
              <w:t>acceptable for EC</w:t>
            </w:r>
            <w:r w:rsidR="00951DC3">
              <w:rPr>
                <w:rFonts w:ascii="Arial" w:hAnsi="Arial" w:cs="Arial"/>
                <w:bCs/>
                <w:color w:val="0070C0"/>
                <w:lang w:val="en-GB"/>
              </w:rPr>
              <w:t xml:space="preserve"> to </w:t>
            </w:r>
            <w:r w:rsidR="00FB25DA">
              <w:rPr>
                <w:rFonts w:ascii="Arial" w:hAnsi="Arial" w:cs="Arial"/>
                <w:bCs/>
                <w:color w:val="0070C0"/>
                <w:lang w:val="en-GB"/>
              </w:rPr>
              <w:t>precise</w:t>
            </w:r>
            <w:r w:rsidR="00951DC3">
              <w:rPr>
                <w:rFonts w:ascii="Arial" w:hAnsi="Arial" w:cs="Arial"/>
                <w:bCs/>
                <w:color w:val="0070C0"/>
                <w:lang w:val="en-GB"/>
              </w:rPr>
              <w:t xml:space="preserve"> </w:t>
            </w:r>
            <w:r w:rsidR="006B0C9B">
              <w:rPr>
                <w:rFonts w:ascii="Arial" w:hAnsi="Arial" w:cs="Arial"/>
                <w:bCs/>
                <w:color w:val="0070C0"/>
                <w:lang w:val="en-GB"/>
              </w:rPr>
              <w:t>potentially lower limits for those clusters in R117.04</w:t>
            </w:r>
            <w:r w:rsidR="001336DA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37D83AE3" w14:textId="77777777" w:rsidR="00A44A5E" w:rsidRDefault="00A44A5E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4178ACB2" w14:textId="6FB3FD38" w:rsidR="00AC07F5" w:rsidRDefault="00AC07F5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EC explained the rationale of this approach that the threshol</w:t>
            </w:r>
            <w:r w:rsidR="00C3123A">
              <w:rPr>
                <w:rFonts w:ascii="Arial" w:hAnsi="Arial" w:cs="Arial"/>
                <w:bCs/>
                <w:color w:val="0070C0"/>
                <w:lang w:val="en-GB"/>
              </w:rPr>
              <w:t>d shall ref</w:t>
            </w:r>
            <w:r w:rsidR="00C07805">
              <w:rPr>
                <w:rFonts w:ascii="Arial" w:hAnsi="Arial" w:cs="Arial"/>
                <w:bCs/>
                <w:color w:val="0070C0"/>
                <w:lang w:val="en-GB"/>
              </w:rPr>
              <w:t>lect the highest part of the Normal tyres</w:t>
            </w:r>
            <w:r w:rsidR="00082EDC">
              <w:rPr>
                <w:rFonts w:ascii="Arial" w:hAnsi="Arial" w:cs="Arial"/>
                <w:bCs/>
                <w:color w:val="0070C0"/>
                <w:lang w:val="en-GB"/>
              </w:rPr>
              <w:t xml:space="preserve"> (95%). As a compromised proposal, EC </w:t>
            </w:r>
            <w:r w:rsidR="004F73AF">
              <w:rPr>
                <w:rFonts w:ascii="Arial" w:hAnsi="Arial" w:cs="Arial"/>
                <w:bCs/>
                <w:color w:val="0070C0"/>
                <w:lang w:val="en-GB"/>
              </w:rPr>
              <w:t xml:space="preserve">agreed to consider the snow tyre segment as proposed by ETRTO by considering at a starting point the </w:t>
            </w:r>
            <w:r w:rsidR="00210D01">
              <w:rPr>
                <w:rFonts w:ascii="Arial" w:hAnsi="Arial" w:cs="Arial"/>
                <w:bCs/>
                <w:color w:val="0070C0"/>
                <w:lang w:val="en-GB"/>
              </w:rPr>
              <w:t>0.80 threshold.</w:t>
            </w:r>
          </w:p>
          <w:p w14:paraId="670651AA" w14:textId="67685019" w:rsidR="00E13380" w:rsidRDefault="00E13380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GRBP need to see that the </w:t>
            </w:r>
            <w:r w:rsidR="00596440">
              <w:rPr>
                <w:rFonts w:ascii="Arial" w:hAnsi="Arial" w:cs="Arial"/>
                <w:bCs/>
                <w:color w:val="0070C0"/>
                <w:lang w:val="en-GB"/>
              </w:rPr>
              <w:t xml:space="preserve">threshold </w:t>
            </w:r>
            <w:r>
              <w:rPr>
                <w:rFonts w:ascii="Arial" w:hAnsi="Arial" w:cs="Arial"/>
                <w:bCs/>
                <w:color w:val="0070C0"/>
                <w:lang w:val="en-GB"/>
              </w:rPr>
              <w:t>proposal is an ambitious proposal</w:t>
            </w:r>
            <w:r w:rsidR="00596440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32098DBE" w14:textId="77777777" w:rsidR="00A44A5E" w:rsidRDefault="00A44A5E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2EF957C7" w14:textId="4ADDA136" w:rsidR="00C275CD" w:rsidRPr="00AA5433" w:rsidRDefault="003174D4" w:rsidP="00AA5433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ETRTO provided its concern </w:t>
            </w:r>
            <w:r w:rsidR="00764DA4">
              <w:rPr>
                <w:rFonts w:ascii="Arial" w:hAnsi="Arial" w:cs="Arial"/>
                <w:bCs/>
                <w:color w:val="0070C0"/>
                <w:lang w:val="en-GB"/>
              </w:rPr>
              <w:t xml:space="preserve">to have no certainty that GRBP </w:t>
            </w:r>
            <w:r w:rsidR="00C97998">
              <w:rPr>
                <w:rFonts w:ascii="Arial" w:hAnsi="Arial" w:cs="Arial"/>
                <w:bCs/>
                <w:color w:val="0070C0"/>
                <w:lang w:val="en-GB"/>
              </w:rPr>
              <w:t>w</w:t>
            </w:r>
            <w:r w:rsidR="00764DA4">
              <w:rPr>
                <w:rFonts w:ascii="Arial" w:hAnsi="Arial" w:cs="Arial"/>
                <w:bCs/>
                <w:color w:val="0070C0"/>
                <w:lang w:val="en-GB"/>
              </w:rPr>
              <w:t>ould accept to reconsider threshold</w:t>
            </w:r>
            <w:r w:rsidR="00873AC5">
              <w:rPr>
                <w:rFonts w:ascii="Arial" w:hAnsi="Arial" w:cs="Arial"/>
                <w:bCs/>
                <w:color w:val="0070C0"/>
                <w:lang w:val="en-GB"/>
              </w:rPr>
              <w:t xml:space="preserve"> allowances when defining the clusters.</w:t>
            </w:r>
          </w:p>
          <w:p w14:paraId="363F110F" w14:textId="77777777" w:rsidR="00210D01" w:rsidRDefault="00210D01" w:rsidP="00AC07F5">
            <w:pPr>
              <w:pStyle w:val="Paragraphedeliste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0AF24F4B" w14:textId="338F7695" w:rsidR="001336DA" w:rsidRDefault="001336DA" w:rsidP="00A44A5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ETRTO: as presented in </w:t>
            </w:r>
            <w:r w:rsidR="006251EC">
              <w:rPr>
                <w:rFonts w:ascii="Arial" w:hAnsi="Arial" w:cs="Arial"/>
                <w:bCs/>
                <w:color w:val="0070C0"/>
                <w:lang w:val="en-GB"/>
              </w:rPr>
              <w:t>WT-33-0</w:t>
            </w:r>
            <w:r w:rsidR="00CB0F01">
              <w:rPr>
                <w:rFonts w:ascii="Arial" w:hAnsi="Arial" w:cs="Arial"/>
                <w:bCs/>
                <w:color w:val="0070C0"/>
                <w:lang w:val="en-GB"/>
              </w:rPr>
              <w:t>2 the approach considering starting</w:t>
            </w:r>
            <w:r w:rsidR="00131996">
              <w:rPr>
                <w:rFonts w:ascii="Arial" w:hAnsi="Arial" w:cs="Arial"/>
                <w:bCs/>
                <w:color w:val="0070C0"/>
                <w:lang w:val="en-GB"/>
              </w:rPr>
              <w:t xml:space="preserve"> in step 1</w:t>
            </w:r>
            <w:r w:rsidR="00CB0F01">
              <w:rPr>
                <w:rFonts w:ascii="Arial" w:hAnsi="Arial" w:cs="Arial"/>
                <w:bCs/>
                <w:color w:val="0070C0"/>
                <w:lang w:val="en-GB"/>
              </w:rPr>
              <w:t xml:space="preserve"> with a lower threshold for all </w:t>
            </w:r>
            <w:r w:rsidR="00523B5E">
              <w:rPr>
                <w:rFonts w:ascii="Arial" w:hAnsi="Arial" w:cs="Arial"/>
                <w:bCs/>
                <w:color w:val="0070C0"/>
                <w:lang w:val="en-GB"/>
              </w:rPr>
              <w:t>N</w:t>
            </w:r>
            <w:r w:rsidR="00CB0F01">
              <w:rPr>
                <w:rFonts w:ascii="Arial" w:hAnsi="Arial" w:cs="Arial"/>
                <w:bCs/>
                <w:color w:val="0070C0"/>
                <w:lang w:val="en-GB"/>
              </w:rPr>
              <w:t>ormal tyres</w:t>
            </w:r>
            <w:r w:rsidR="00131996">
              <w:rPr>
                <w:rFonts w:ascii="Arial" w:hAnsi="Arial" w:cs="Arial"/>
                <w:bCs/>
                <w:color w:val="0070C0"/>
                <w:lang w:val="en-GB"/>
              </w:rPr>
              <w:t xml:space="preserve"> (0.80), </w:t>
            </w:r>
            <w:r w:rsidR="00D06B76">
              <w:rPr>
                <w:rFonts w:ascii="Arial" w:hAnsi="Arial" w:cs="Arial"/>
                <w:bCs/>
                <w:color w:val="0070C0"/>
                <w:lang w:val="en-GB"/>
              </w:rPr>
              <w:t>and i</w:t>
            </w:r>
            <w:r w:rsidR="00131996">
              <w:rPr>
                <w:rFonts w:ascii="Arial" w:hAnsi="Arial" w:cs="Arial"/>
                <w:bCs/>
                <w:color w:val="0070C0"/>
                <w:lang w:val="en-GB"/>
              </w:rPr>
              <w:t xml:space="preserve">n step 2 to </w:t>
            </w:r>
            <w:r w:rsidR="00D06B76">
              <w:rPr>
                <w:rFonts w:ascii="Arial" w:hAnsi="Arial" w:cs="Arial"/>
                <w:bCs/>
                <w:color w:val="0070C0"/>
                <w:lang w:val="en-GB"/>
              </w:rPr>
              <w:t>increase th</w:t>
            </w:r>
            <w:r w:rsidR="000C6F0C">
              <w:rPr>
                <w:rFonts w:ascii="Arial" w:hAnsi="Arial" w:cs="Arial"/>
                <w:bCs/>
                <w:color w:val="0070C0"/>
                <w:lang w:val="en-GB"/>
              </w:rPr>
              <w:t>e threshold to 0,</w:t>
            </w:r>
            <w:r w:rsidR="00D06B76">
              <w:rPr>
                <w:rFonts w:ascii="Arial" w:hAnsi="Arial" w:cs="Arial"/>
                <w:bCs/>
                <w:color w:val="0070C0"/>
                <w:lang w:val="en-GB"/>
              </w:rPr>
              <w:t>88 for Normal tyres and specific threshold for the defined clusters.</w:t>
            </w:r>
          </w:p>
          <w:p w14:paraId="21C513B0" w14:textId="77777777" w:rsidR="00A44A5E" w:rsidRDefault="00A44A5E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28031DFC" w14:textId="20910D73" w:rsidR="00D06B76" w:rsidRDefault="00D06B76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ETRTO expressed that this approach is reflecting the </w:t>
            </w:r>
            <w:r w:rsidR="001F61CC">
              <w:rPr>
                <w:rFonts w:ascii="Arial" w:hAnsi="Arial" w:cs="Arial"/>
                <w:bCs/>
                <w:color w:val="0070C0"/>
                <w:lang w:val="en-GB"/>
              </w:rPr>
              <w:t>initial EC proposal and in ETRTO opinion the most adequate way</w:t>
            </w:r>
            <w:r w:rsidR="00BA6797">
              <w:rPr>
                <w:rFonts w:ascii="Arial" w:hAnsi="Arial" w:cs="Arial"/>
                <w:bCs/>
                <w:color w:val="0070C0"/>
                <w:lang w:val="en-GB"/>
              </w:rPr>
              <w:t xml:space="preserve"> to address the proposal to GRBP</w:t>
            </w:r>
            <w:r w:rsidR="00210D01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77BDA554" w14:textId="77777777" w:rsidR="00A44A5E" w:rsidRDefault="00A44A5E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22F88D90" w14:textId="53AE64A7" w:rsidR="00047AD8" w:rsidRPr="00DE3475" w:rsidRDefault="00523B5E" w:rsidP="00A44A5E">
            <w:pPr>
              <w:pStyle w:val="Paragraphedeliste"/>
              <w:ind w:left="1080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EC expressed their concern that for a small part of tyres </w:t>
            </w:r>
            <w:r w:rsidR="003215ED">
              <w:rPr>
                <w:rFonts w:ascii="Arial" w:hAnsi="Arial" w:cs="Arial"/>
                <w:bCs/>
                <w:color w:val="0070C0"/>
                <w:lang w:val="en-GB"/>
              </w:rPr>
              <w:t xml:space="preserve">still </w:t>
            </w: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to </w:t>
            </w: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>be defined</w:t>
            </w:r>
            <w:r w:rsidR="00283BD9"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 (UHP and Legal race)</w:t>
            </w: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 </w:t>
            </w:r>
            <w:r w:rsidR="000D45FD"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the complete segment </w:t>
            </w:r>
            <w:r w:rsidR="00D54BED"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shall not consider the </w:t>
            </w:r>
            <w:r w:rsidR="00BB74D3" w:rsidRPr="00CE0D7A">
              <w:rPr>
                <w:rFonts w:ascii="Arial" w:hAnsi="Arial" w:cs="Arial"/>
                <w:bCs/>
                <w:color w:val="0070C0"/>
                <w:lang w:val="en-GB"/>
              </w:rPr>
              <w:t>0.80</w:t>
            </w:r>
            <w:r w:rsidR="00BB74D3">
              <w:rPr>
                <w:rFonts w:ascii="Arial" w:hAnsi="Arial" w:cs="Arial"/>
                <w:bCs/>
                <w:color w:val="0070C0"/>
                <w:lang w:val="en-GB"/>
              </w:rPr>
              <w:t xml:space="preserve"> </w:t>
            </w:r>
            <w:r w:rsidR="00D54BED">
              <w:rPr>
                <w:rFonts w:ascii="Arial" w:hAnsi="Arial" w:cs="Arial"/>
                <w:bCs/>
                <w:color w:val="0070C0"/>
                <w:lang w:val="en-GB"/>
              </w:rPr>
              <w:t>threshold.</w:t>
            </w:r>
          </w:p>
          <w:p w14:paraId="60AA2859" w14:textId="2E41DE84" w:rsidR="00A857F3" w:rsidRDefault="00A857F3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30023E81" w14:textId="337E8084" w:rsidR="00A44A5E" w:rsidRDefault="004A6DBB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France emphasis</w:t>
            </w:r>
            <w:r w:rsidR="00C275CD">
              <w:rPr>
                <w:rFonts w:ascii="Arial" w:hAnsi="Arial" w:cs="Arial"/>
                <w:bCs/>
                <w:color w:val="0070C0"/>
                <w:lang w:val="en-GB"/>
              </w:rPr>
              <w:t>ed the EC proposal.</w:t>
            </w:r>
          </w:p>
          <w:p w14:paraId="17151103" w14:textId="252B18EE" w:rsidR="00AA5433" w:rsidRDefault="00AA5433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France and EC received well the ETRTO concern </w:t>
            </w:r>
            <w:r w:rsidR="0056798F">
              <w:rPr>
                <w:rFonts w:ascii="Arial" w:hAnsi="Arial" w:cs="Arial"/>
                <w:bCs/>
                <w:color w:val="0070C0"/>
                <w:lang w:val="en-GB"/>
              </w:rPr>
              <w:t xml:space="preserve">when following the EC proposal, but informed ETRTO that this approach is happening several times at UNECE level. </w:t>
            </w:r>
            <w:r w:rsidR="00C251B0">
              <w:rPr>
                <w:rFonts w:ascii="Arial" w:hAnsi="Arial" w:cs="Arial"/>
                <w:bCs/>
                <w:color w:val="0070C0"/>
                <w:lang w:val="en-GB"/>
              </w:rPr>
              <w:t xml:space="preserve">EC emphasized that they </w:t>
            </w:r>
            <w:proofErr w:type="gramStart"/>
            <w:r w:rsidR="00C251B0">
              <w:rPr>
                <w:rFonts w:ascii="Arial" w:hAnsi="Arial" w:cs="Arial"/>
                <w:bCs/>
                <w:color w:val="0070C0"/>
                <w:lang w:val="en-GB"/>
              </w:rPr>
              <w:t>can</w:t>
            </w:r>
            <w:proofErr w:type="gramEnd"/>
            <w:r w:rsidR="00C251B0">
              <w:rPr>
                <w:rFonts w:ascii="Arial" w:hAnsi="Arial" w:cs="Arial"/>
                <w:bCs/>
                <w:color w:val="0070C0"/>
                <w:lang w:val="en-GB"/>
              </w:rPr>
              <w:t xml:space="preserve"> provide a written statement expressing that EC can agree to conside</w:t>
            </w:r>
            <w:r w:rsidR="002A5B63">
              <w:rPr>
                <w:rFonts w:ascii="Arial" w:hAnsi="Arial" w:cs="Arial"/>
                <w:bCs/>
                <w:color w:val="0070C0"/>
                <w:lang w:val="en-GB"/>
              </w:rPr>
              <w:t xml:space="preserve">r to </w:t>
            </w:r>
            <w:r w:rsidR="0012684A">
              <w:rPr>
                <w:rFonts w:ascii="Arial" w:hAnsi="Arial" w:cs="Arial"/>
                <w:bCs/>
                <w:color w:val="0070C0"/>
                <w:lang w:val="en-GB"/>
              </w:rPr>
              <w:t>lower thresholds for the not yet defined clusters.</w:t>
            </w:r>
          </w:p>
          <w:p w14:paraId="016831AA" w14:textId="1545FA03" w:rsidR="0012684A" w:rsidRDefault="0012684A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389501DC" w14:textId="78AD715F" w:rsidR="0012684A" w:rsidRDefault="00D70437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Japan: neutral </w:t>
            </w:r>
            <w:r w:rsidR="00422367">
              <w:rPr>
                <w:rFonts w:ascii="Arial" w:hAnsi="Arial" w:cs="Arial"/>
                <w:bCs/>
                <w:color w:val="0070C0"/>
                <w:lang w:val="en-GB"/>
              </w:rPr>
              <w:t>position but</w:t>
            </w:r>
            <w:r w:rsidR="00616F60">
              <w:rPr>
                <w:rFonts w:ascii="Arial" w:hAnsi="Arial" w:cs="Arial"/>
                <w:bCs/>
                <w:color w:val="0070C0"/>
                <w:lang w:val="en-GB"/>
              </w:rPr>
              <w:t xml:space="preserve"> propose to record the </w:t>
            </w:r>
            <w:r w:rsidR="00886C14">
              <w:rPr>
                <w:rFonts w:ascii="Arial" w:hAnsi="Arial" w:cs="Arial"/>
                <w:bCs/>
                <w:color w:val="0070C0"/>
                <w:lang w:val="en-GB"/>
              </w:rPr>
              <w:t>situation in the IWG WGWT status report to GRBP.</w:t>
            </w:r>
          </w:p>
          <w:p w14:paraId="510BBF36" w14:textId="4AB36145" w:rsidR="00D70437" w:rsidRDefault="00D70437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5EA7680F" w14:textId="43A3F84D" w:rsidR="00D70437" w:rsidRDefault="00D70437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Germany: Ok with both approaches</w:t>
            </w:r>
            <w:r w:rsidR="00DA0AF1">
              <w:rPr>
                <w:rFonts w:ascii="Arial" w:hAnsi="Arial" w:cs="Arial"/>
                <w:bCs/>
                <w:color w:val="0070C0"/>
                <w:lang w:val="en-GB"/>
              </w:rPr>
              <w:t>, as long it is based on measurement results</w:t>
            </w:r>
          </w:p>
          <w:p w14:paraId="201F79DA" w14:textId="72927250" w:rsidR="00BB74D3" w:rsidRPr="00CE0D7A" w:rsidRDefault="00BB74D3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77386A42" w14:textId="096C939A" w:rsidR="00BB74D3" w:rsidRPr="00CE0D7A" w:rsidRDefault="00BB74D3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China: agrees with </w:t>
            </w:r>
            <w:r w:rsidR="002F4D4A"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the </w:t>
            </w: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step 1 </w:t>
            </w:r>
            <w:r w:rsidR="002F4D4A" w:rsidRPr="00CE0D7A">
              <w:rPr>
                <w:rFonts w:ascii="Arial" w:hAnsi="Arial" w:cs="Arial"/>
                <w:bCs/>
                <w:color w:val="0070C0"/>
                <w:lang w:val="en-GB"/>
              </w:rPr>
              <w:t>threshold</w:t>
            </w:r>
            <w:r w:rsidR="00B148AC" w:rsidRPr="00CE0D7A">
              <w:rPr>
                <w:rFonts w:ascii="Arial" w:hAnsi="Arial" w:cs="Arial"/>
                <w:bCs/>
                <w:color w:val="0070C0"/>
                <w:lang w:val="en-GB"/>
              </w:rPr>
              <w:t>s</w:t>
            </w:r>
            <w:r w:rsidR="002F4D4A"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 (Normal at 0.80?) and</w:t>
            </w: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 need</w:t>
            </w:r>
            <w:r w:rsidR="002F4D4A" w:rsidRPr="00CE0D7A">
              <w:rPr>
                <w:rFonts w:ascii="Arial" w:hAnsi="Arial" w:cs="Arial"/>
                <w:bCs/>
                <w:color w:val="0070C0"/>
                <w:lang w:val="en-GB"/>
              </w:rPr>
              <w:t>s</w:t>
            </w:r>
            <w:r w:rsidRPr="00CE0D7A">
              <w:rPr>
                <w:rFonts w:ascii="Arial" w:hAnsi="Arial" w:cs="Arial"/>
                <w:bCs/>
                <w:color w:val="0070C0"/>
                <w:lang w:val="en-GB"/>
              </w:rPr>
              <w:t xml:space="preserve"> more time to assess step 2 threshold</w:t>
            </w:r>
            <w:r w:rsidR="00B148AC" w:rsidRPr="00CE0D7A">
              <w:rPr>
                <w:rFonts w:ascii="Arial" w:hAnsi="Arial" w:cs="Arial"/>
                <w:bCs/>
                <w:color w:val="0070C0"/>
                <w:lang w:val="en-GB"/>
              </w:rPr>
              <w:t>s</w:t>
            </w:r>
          </w:p>
          <w:p w14:paraId="721B9A87" w14:textId="280420E2" w:rsidR="00DA0AF1" w:rsidRDefault="00DA0AF1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416E510C" w14:textId="5F87EF0C" w:rsidR="00DA0AF1" w:rsidRDefault="00DA0AF1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Spain: </w:t>
            </w:r>
            <w:r w:rsidR="00616F60">
              <w:rPr>
                <w:rFonts w:ascii="Arial" w:hAnsi="Arial" w:cs="Arial"/>
                <w:bCs/>
                <w:color w:val="0070C0"/>
                <w:lang w:val="en-GB"/>
              </w:rPr>
              <w:t>support both approaches.</w:t>
            </w:r>
          </w:p>
          <w:p w14:paraId="7CEA8BDA" w14:textId="4D042AFF" w:rsidR="00CD7243" w:rsidRDefault="00CD7243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73B753F4" w14:textId="77777777" w:rsidR="00CD7243" w:rsidRDefault="00CD7243" w:rsidP="00CD7243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France: proposed </w:t>
            </w:r>
            <w:r w:rsidRPr="00475718">
              <w:rPr>
                <w:rFonts w:ascii="Arial" w:hAnsi="Arial" w:cs="Arial"/>
                <w:bCs/>
                <w:color w:val="0070C0"/>
                <w:lang w:val="en-GB"/>
              </w:rPr>
              <w:t xml:space="preserve">on either create a line with UHP/legal race leaving the interpretation to the TAA/TS </w:t>
            </w:r>
          </w:p>
          <w:p w14:paraId="4E62583D" w14:textId="2DDFEA03" w:rsidR="006E1E8B" w:rsidRDefault="006E1E8B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0221445E" w14:textId="394AED38" w:rsidR="006E1E8B" w:rsidRDefault="006E1E8B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JASIC provided a summary of the 2 options under discussion as per document WT-</w:t>
            </w:r>
            <w:r w:rsidR="00F82FE8">
              <w:rPr>
                <w:rFonts w:ascii="Arial" w:hAnsi="Arial" w:cs="Arial"/>
                <w:bCs/>
                <w:color w:val="0070C0"/>
                <w:lang w:val="en-GB"/>
              </w:rPr>
              <w:t>33-08</w:t>
            </w:r>
          </w:p>
          <w:p w14:paraId="6E263ACF" w14:textId="4BAB15E7" w:rsidR="00616F60" w:rsidRDefault="00616F60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7D741EBF" w14:textId="3012B16F" w:rsidR="00616F60" w:rsidRDefault="00D36EDC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No consensus was found during the 33</w:t>
            </w:r>
            <w:r w:rsidRPr="00D36EDC">
              <w:rPr>
                <w:rFonts w:ascii="Arial" w:hAnsi="Arial" w:cs="Arial"/>
                <w:bCs/>
                <w:color w:val="0070C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 IWG WGWT meeting</w:t>
            </w:r>
            <w:r w:rsidR="00422367">
              <w:rPr>
                <w:rFonts w:ascii="Arial" w:hAnsi="Arial" w:cs="Arial"/>
                <w:bCs/>
                <w:color w:val="0070C0"/>
                <w:lang w:val="en-GB"/>
              </w:rPr>
              <w:t>, and the group proposed to proceed as following.</w:t>
            </w:r>
          </w:p>
          <w:p w14:paraId="582DB3BC" w14:textId="6C5506EA" w:rsidR="00422367" w:rsidRDefault="00422367" w:rsidP="0054001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14F73420" w14:textId="6EC9C952" w:rsidR="00422367" w:rsidRPr="009B4B72" w:rsidRDefault="00422367" w:rsidP="00540012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9B4B72">
              <w:rPr>
                <w:rFonts w:ascii="Arial" w:hAnsi="Arial" w:cs="Arial"/>
                <w:b/>
                <w:color w:val="0070C0"/>
                <w:lang w:val="en-GB"/>
              </w:rPr>
              <w:t xml:space="preserve">Action item </w:t>
            </w:r>
            <w:r w:rsidR="009B4B72" w:rsidRPr="009B4B72">
              <w:rPr>
                <w:rFonts w:ascii="Arial" w:hAnsi="Arial" w:cs="Arial"/>
                <w:b/>
                <w:color w:val="0070C0"/>
                <w:lang w:val="en-GB"/>
              </w:rPr>
              <w:t>WT-33-01</w:t>
            </w:r>
          </w:p>
          <w:p w14:paraId="0F5DF3B0" w14:textId="4DCCD3C7" w:rsidR="001B4D92" w:rsidRDefault="00187814" w:rsidP="001B4D9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The chair will contact UNECE secretariat to</w:t>
            </w:r>
            <w:r w:rsidR="00B90900">
              <w:rPr>
                <w:rFonts w:ascii="Arial" w:hAnsi="Arial" w:cs="Arial"/>
                <w:bCs/>
                <w:color w:val="0070C0"/>
                <w:lang w:val="en-GB"/>
              </w:rPr>
              <w:t xml:space="preserve"> ask for advi</w:t>
            </w:r>
            <w:r w:rsidR="00BB74D3">
              <w:rPr>
                <w:rFonts w:ascii="Arial" w:hAnsi="Arial" w:cs="Arial"/>
                <w:bCs/>
                <w:color w:val="0070C0"/>
                <w:lang w:val="en-GB"/>
              </w:rPr>
              <w:t>c</w:t>
            </w:r>
            <w:r w:rsidR="00B90900">
              <w:rPr>
                <w:rFonts w:ascii="Arial" w:hAnsi="Arial" w:cs="Arial"/>
                <w:bCs/>
                <w:color w:val="0070C0"/>
                <w:lang w:val="en-GB"/>
              </w:rPr>
              <w:t>e to respond to the concern of ETRTO.</w:t>
            </w:r>
          </w:p>
          <w:p w14:paraId="1A6BD7DF" w14:textId="225A6AE6" w:rsidR="00B90900" w:rsidRPr="000F60B5" w:rsidRDefault="00B90900" w:rsidP="001B4D9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D44B9A6" w14:textId="77777777" w:rsidR="000D2D0E" w:rsidRDefault="007725C7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WT-33-02</w:t>
            </w:r>
          </w:p>
          <w:p w14:paraId="36453405" w14:textId="015785E4" w:rsidR="007725C7" w:rsidRPr="002D33EB" w:rsidRDefault="007725C7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WT-33-04</w:t>
            </w:r>
          </w:p>
        </w:tc>
      </w:tr>
      <w:tr w:rsidR="00A62762" w:rsidRPr="00FC6779" w14:paraId="7FA17C67" w14:textId="77777777" w:rsidTr="00417D6B">
        <w:tc>
          <w:tcPr>
            <w:tcW w:w="562" w:type="dxa"/>
            <w:vAlign w:val="center"/>
          </w:tcPr>
          <w:p w14:paraId="120D4DD7" w14:textId="77777777" w:rsidR="00A62762" w:rsidRPr="00FC6779" w:rsidRDefault="00A62762" w:rsidP="00A44A5E">
            <w:pPr>
              <w:pStyle w:val="Paragraphedeliste1"/>
              <w:numPr>
                <w:ilvl w:val="0"/>
                <w:numId w:val="42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4215348" w14:textId="5F9F4609" w:rsidR="00A62762" w:rsidRPr="00FC6779" w:rsidRDefault="00A62762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Mo</w:t>
            </w:r>
            <w:r w:rsidR="00B80316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="000E5572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ld SRTT</w:t>
            </w:r>
          </w:p>
          <w:p w14:paraId="53CFAC65" w14:textId="7CAB3599" w:rsidR="00F63B74" w:rsidRDefault="00F63B74" w:rsidP="004A7F90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24780BC4" w14:textId="3C2F7BAA" w:rsidR="0063169C" w:rsidRPr="00286E4F" w:rsidRDefault="0063169C" w:rsidP="004A7F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AC0AD0B" w14:textId="08094528" w:rsidR="0063169C" w:rsidRPr="00286E4F" w:rsidRDefault="0063169C" w:rsidP="0063169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WT-32-03</w:t>
            </w:r>
          </w:p>
          <w:p w14:paraId="66AEBBF6" w14:textId="6DE12898" w:rsidR="0063169C" w:rsidRPr="00286E4F" w:rsidRDefault="0063169C" w:rsidP="0063169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ETRTO will </w:t>
            </w:r>
            <w:r w:rsidR="007B6574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review internally the JASIC </w:t>
            </w:r>
            <w:r w:rsidR="00D46E8C" w:rsidRPr="00286E4F">
              <w:rPr>
                <w:rFonts w:ascii="Arial" w:hAnsi="Arial" w:cs="Arial"/>
                <w:bCs/>
                <w:sz w:val="22"/>
                <w:szCs w:val="22"/>
                <w:lang w:val="en-GB"/>
              </w:rPr>
              <w:t>timeline suggestion and will come back by next meeting.</w:t>
            </w:r>
          </w:p>
          <w:p w14:paraId="4F357060" w14:textId="36874365" w:rsidR="006E3984" w:rsidRDefault="006E3984" w:rsidP="004A7F90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A676C0A" w14:textId="08651BF5" w:rsidR="003461FF" w:rsidRDefault="003461FF" w:rsidP="004A7F90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reviewed the documents WT-3</w:t>
            </w:r>
            <w:r w:rsidR="00AA0D5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-03 (ETRTO) and WT-33-04 (JASIC)</w:t>
            </w:r>
          </w:p>
          <w:p w14:paraId="05D39DA9" w14:textId="225404EF" w:rsidR="003461FF" w:rsidRDefault="003461FF" w:rsidP="004A7F90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C4E0292" w14:textId="4F7F357F" w:rsidR="003461FF" w:rsidRPr="006E3984" w:rsidRDefault="003461FF" w:rsidP="004A7F90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The conclusion is that the additional test schedule </w:t>
            </w:r>
            <w:r w:rsidR="00BF00F3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will start in 2023 for delivering a GRBP Working Document in January 2024</w:t>
            </w:r>
            <w:r w:rsidR="00CE6F8F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, and that the timeline </w:t>
            </w:r>
            <w:r w:rsidR="00812F11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proposed by document WT-32-05 can be considered.</w:t>
            </w:r>
          </w:p>
          <w:p w14:paraId="236FDF6A" w14:textId="66C60531" w:rsidR="005D699A" w:rsidRPr="00007C9D" w:rsidRDefault="005D699A" w:rsidP="00286E4F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3F0893DE" w:rsidR="00106C55" w:rsidRPr="00FC6779" w:rsidRDefault="007725C7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 w:rsidRPr="002F4D4A">
              <w:rPr>
                <w:rFonts w:ascii="Arial" w:hAnsi="Arial" w:cs="Arial"/>
                <w:sz w:val="22"/>
                <w:szCs w:val="22"/>
                <w:lang w:val="es-ES"/>
              </w:rPr>
              <w:t>WT-33-03</w:t>
            </w:r>
          </w:p>
        </w:tc>
      </w:tr>
      <w:tr w:rsidR="003D690B" w:rsidRPr="00FC6779" w14:paraId="1785F07A" w14:textId="77777777" w:rsidTr="00417D6B">
        <w:tc>
          <w:tcPr>
            <w:tcW w:w="562" w:type="dxa"/>
            <w:vAlign w:val="center"/>
          </w:tcPr>
          <w:p w14:paraId="37CF9212" w14:textId="77777777" w:rsidR="003D690B" w:rsidRPr="00FC6779" w:rsidRDefault="003D690B" w:rsidP="00A44A5E">
            <w:pPr>
              <w:pStyle w:val="Paragraphedeliste1"/>
              <w:numPr>
                <w:ilvl w:val="0"/>
                <w:numId w:val="42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7C8B75" w14:textId="77777777" w:rsidR="003D690B" w:rsidRPr="00FC6779" w:rsidRDefault="003D690B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C2 and C3</w:t>
            </w:r>
          </w:p>
          <w:p w14:paraId="229AFB80" w14:textId="77777777" w:rsidR="003D690B" w:rsidRPr="00FC6779" w:rsidRDefault="003D690B" w:rsidP="003D690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105DABE" w14:textId="5B006F27" w:rsidR="00950F14" w:rsidRPr="00FC6779" w:rsidRDefault="00950F14" w:rsidP="003D690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Germany provided more clarification about their request</w:t>
            </w:r>
            <w:r w:rsidR="0084631D" w:rsidRPr="00FC677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(see above)</w:t>
            </w:r>
            <w:r w:rsidRPr="00FC6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  <w:p w14:paraId="61032C22" w14:textId="724D55D2" w:rsidR="00950F14" w:rsidRPr="00FC6779" w:rsidRDefault="00B758AC" w:rsidP="00950F14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Cs/>
                <w:lang w:val="en-GB"/>
              </w:rPr>
            </w:pPr>
            <w:r w:rsidRPr="00FC6779">
              <w:rPr>
                <w:rFonts w:ascii="Arial" w:hAnsi="Arial" w:cs="Arial"/>
                <w:bCs/>
                <w:lang w:val="en-GB"/>
              </w:rPr>
              <w:t xml:space="preserve">More inside data from the already provided </w:t>
            </w:r>
            <w:r w:rsidR="00F43577" w:rsidRPr="00FC6779">
              <w:rPr>
                <w:rFonts w:ascii="Arial" w:hAnsi="Arial" w:cs="Arial"/>
                <w:bCs/>
                <w:lang w:val="en-GB"/>
              </w:rPr>
              <w:t>results</w:t>
            </w:r>
            <w:r w:rsidRPr="00FC6779">
              <w:rPr>
                <w:rFonts w:ascii="Arial" w:hAnsi="Arial" w:cs="Arial"/>
                <w:bCs/>
                <w:lang w:val="en-GB"/>
              </w:rPr>
              <w:t xml:space="preserve"> on C2 and C3</w:t>
            </w:r>
            <w:r w:rsidR="00F43577" w:rsidRPr="00FC6779">
              <w:rPr>
                <w:rFonts w:ascii="Arial" w:hAnsi="Arial" w:cs="Arial"/>
                <w:bCs/>
                <w:lang w:val="en-GB"/>
              </w:rPr>
              <w:t>.</w:t>
            </w:r>
          </w:p>
          <w:p w14:paraId="2F9622B5" w14:textId="0DF5E1E0" w:rsidR="00B758AC" w:rsidRPr="00FC6779" w:rsidRDefault="00C93E91" w:rsidP="00950F14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Cs/>
                <w:lang w:val="en-GB"/>
              </w:rPr>
            </w:pPr>
            <w:r w:rsidRPr="00FC6779">
              <w:rPr>
                <w:rFonts w:ascii="Arial" w:hAnsi="Arial" w:cs="Arial"/>
                <w:bCs/>
                <w:lang w:val="en-GB"/>
              </w:rPr>
              <w:t xml:space="preserve">More data </w:t>
            </w:r>
            <w:r w:rsidR="0016558F" w:rsidRPr="00FC6779">
              <w:rPr>
                <w:rFonts w:ascii="Arial" w:hAnsi="Arial" w:cs="Arial"/>
                <w:bCs/>
                <w:lang w:val="en-GB"/>
              </w:rPr>
              <w:t xml:space="preserve">to confirm the assumptions and preliminary </w:t>
            </w:r>
            <w:r w:rsidR="00D96EBC" w:rsidRPr="00FC6779">
              <w:rPr>
                <w:rFonts w:ascii="Arial" w:hAnsi="Arial" w:cs="Arial"/>
                <w:bCs/>
                <w:lang w:val="en-GB"/>
              </w:rPr>
              <w:t>results presented to GRBP and IWG WGWT.</w:t>
            </w:r>
          </w:p>
          <w:p w14:paraId="2CE6F8C9" w14:textId="24E2B4B4" w:rsidR="003A2604" w:rsidRPr="00FC6779" w:rsidRDefault="00F43577" w:rsidP="00950F14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Cs/>
                <w:lang w:val="en-GB"/>
              </w:rPr>
            </w:pPr>
            <w:r w:rsidRPr="00FC6779">
              <w:rPr>
                <w:rFonts w:ascii="Arial" w:hAnsi="Arial" w:cs="Arial"/>
                <w:bCs/>
                <w:lang w:val="en-GB"/>
              </w:rPr>
              <w:t xml:space="preserve">To check that the </w:t>
            </w:r>
            <w:r w:rsidR="00FA510F" w:rsidRPr="00FC6779">
              <w:rPr>
                <w:rFonts w:ascii="Arial" w:hAnsi="Arial" w:cs="Arial"/>
                <w:bCs/>
                <w:lang w:val="en-GB"/>
              </w:rPr>
              <w:t>test s</w:t>
            </w:r>
            <w:r w:rsidR="003A2604" w:rsidRPr="00FC6779">
              <w:rPr>
                <w:rFonts w:ascii="Arial" w:hAnsi="Arial" w:cs="Arial"/>
                <w:bCs/>
                <w:lang w:val="en-GB"/>
              </w:rPr>
              <w:t xml:space="preserve">ample </w:t>
            </w:r>
            <w:r w:rsidR="00FA510F" w:rsidRPr="00FC6779">
              <w:rPr>
                <w:rFonts w:ascii="Arial" w:hAnsi="Arial" w:cs="Arial"/>
                <w:bCs/>
                <w:lang w:val="en-GB"/>
              </w:rPr>
              <w:t>is</w:t>
            </w:r>
            <w:r w:rsidR="003A2604" w:rsidRPr="00FC6779">
              <w:rPr>
                <w:rFonts w:ascii="Arial" w:hAnsi="Arial" w:cs="Arial"/>
                <w:bCs/>
                <w:lang w:val="en-GB"/>
              </w:rPr>
              <w:t xml:space="preserve"> represent</w:t>
            </w:r>
            <w:r w:rsidR="00FA510F" w:rsidRPr="00FC6779">
              <w:rPr>
                <w:rFonts w:ascii="Arial" w:hAnsi="Arial" w:cs="Arial"/>
                <w:bCs/>
                <w:lang w:val="en-GB"/>
              </w:rPr>
              <w:t>ative of</w:t>
            </w:r>
            <w:r w:rsidR="003A2604" w:rsidRPr="00FC6779">
              <w:rPr>
                <w:rFonts w:ascii="Arial" w:hAnsi="Arial" w:cs="Arial"/>
                <w:bCs/>
                <w:lang w:val="en-GB"/>
              </w:rPr>
              <w:t xml:space="preserve"> the market.</w:t>
            </w:r>
          </w:p>
          <w:p w14:paraId="0C4ACF39" w14:textId="233CB1E8" w:rsidR="006E14B6" w:rsidRPr="00FC6779" w:rsidRDefault="006E14B6" w:rsidP="006E14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A81D743" w14:textId="72CC93F2" w:rsidR="006E14B6" w:rsidRPr="00FC6779" w:rsidRDefault="006E14B6" w:rsidP="006E14B6">
            <w:pP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</w:pPr>
            <w:r w:rsidRPr="00FC6779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ETRTO aimed to inform IWG</w:t>
            </w:r>
            <w:r w:rsidR="00585D44" w:rsidRPr="00FC6779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FC6779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WGWT by end of 2021 on the </w:t>
            </w:r>
            <w:r w:rsidR="00E710E1" w:rsidRPr="00FC6779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possible deliverables on requested information for C2 and C3.</w:t>
            </w:r>
            <w:r w:rsidR="00C96E6F" w:rsidRPr="00FC6779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The purpose would be for the WGWT to present the C2-C3 approval concept at Feb. 22 GRBP.</w:t>
            </w:r>
          </w:p>
          <w:p w14:paraId="183E9CB0" w14:textId="77777777" w:rsidR="003F7E21" w:rsidRPr="0016131C" w:rsidRDefault="003F7E21" w:rsidP="00D96EB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8444FC7" w14:textId="32030A7F" w:rsidR="0024478D" w:rsidRPr="0016131C" w:rsidRDefault="0024478D" w:rsidP="00D96EB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IWG WGWT didn’t discuss this </w:t>
            </w:r>
            <w:r w:rsidR="000728EB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during the meeting but reminded the urgency to also </w:t>
            </w:r>
            <w:r w:rsidR="00113A35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work on C2 and C3 as the deadline is consideration of a working document </w:t>
            </w:r>
            <w:r w:rsidR="006C659C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 GRBP September 2022, and that the IWG was aiming to inform GRBP </w:t>
            </w:r>
            <w:r w:rsidR="00F27C38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February 2022.</w:t>
            </w:r>
          </w:p>
          <w:p w14:paraId="6AC3117A" w14:textId="77777777" w:rsidR="00F27C38" w:rsidRPr="0016131C" w:rsidRDefault="00F27C38" w:rsidP="00D96EB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05DA524" w14:textId="278120AA" w:rsidR="00813F23" w:rsidRPr="0016131C" w:rsidRDefault="00813F23" w:rsidP="00D96EB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EC informed the IWG having commissioned </w:t>
            </w:r>
            <w:r w:rsidR="005959E5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 study on C2 and C3, and that they have received the </w:t>
            </w:r>
            <w:r w:rsidR="00E92CC2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interim </w:t>
            </w:r>
            <w:r w:rsidR="005959E5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</w:t>
            </w:r>
            <w:r w:rsidR="00B94D5C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>, under validation</w:t>
            </w:r>
            <w:r w:rsidR="005959E5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4A9115E5" w14:textId="77777777" w:rsidR="00E92CC2" w:rsidRDefault="00E92CC2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EC will potentially provide the feedback of the study </w:t>
            </w:r>
            <w:r w:rsidR="00911051" w:rsidRPr="0016131C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the IWG end of January</w:t>
            </w:r>
            <w:r w:rsidR="00911051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  <w:p w14:paraId="6BA2CFD1" w14:textId="77777777" w:rsidR="00911051" w:rsidRDefault="00911051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31237EC7" w14:textId="4C09EF97" w:rsidR="00355D1D" w:rsidRPr="0021691F" w:rsidRDefault="008252D8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IWG target is to present a GRBP informal </w:t>
            </w:r>
            <w:r w:rsidR="00D9081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document based on EC study provisional/preliminary study results</w:t>
            </w:r>
            <w:r w:rsidR="00C269B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9C361A6" w14:textId="71EF9A3C" w:rsidR="003D690B" w:rsidRPr="00FC6779" w:rsidRDefault="003D690B" w:rsidP="003D690B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s-ES"/>
              </w:rPr>
              <w:t>WT-20-02</w:t>
            </w:r>
          </w:p>
        </w:tc>
      </w:tr>
      <w:tr w:rsidR="0035318D" w:rsidRPr="00FC6779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FC6779" w:rsidRDefault="0035318D" w:rsidP="00A44A5E">
            <w:pPr>
              <w:pStyle w:val="Paragraphedeliste1"/>
              <w:numPr>
                <w:ilvl w:val="0"/>
                <w:numId w:val="42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5EFBDFB0" w14:textId="7FE6ECC6" w:rsidR="00E56447" w:rsidRPr="00FC6779" w:rsidRDefault="00E56447" w:rsidP="0062719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tbl>
            <w:tblPr>
              <w:tblStyle w:val="Grilledutableau"/>
              <w:tblW w:w="11607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2368"/>
              <w:gridCol w:w="1701"/>
              <w:gridCol w:w="4637"/>
            </w:tblGrid>
            <w:tr w:rsidR="00F27C38" w14:paraId="283B1953" w14:textId="77777777" w:rsidTr="002F3F54">
              <w:tc>
                <w:tcPr>
                  <w:tcW w:w="2901" w:type="dxa"/>
                </w:tcPr>
                <w:p w14:paraId="0FD4759B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TIMELINE</w:t>
                  </w:r>
                </w:p>
              </w:tc>
              <w:tc>
                <w:tcPr>
                  <w:tcW w:w="2368" w:type="dxa"/>
                </w:tcPr>
                <w:p w14:paraId="64B07EF8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IWGWGWT</w:t>
                  </w:r>
                </w:p>
              </w:tc>
              <w:tc>
                <w:tcPr>
                  <w:tcW w:w="1701" w:type="dxa"/>
                </w:tcPr>
                <w:p w14:paraId="6203CAC1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WTPP</w:t>
                  </w:r>
                </w:p>
              </w:tc>
              <w:tc>
                <w:tcPr>
                  <w:tcW w:w="4637" w:type="dxa"/>
                </w:tcPr>
                <w:p w14:paraId="46864613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Drafting group</w:t>
                  </w:r>
                </w:p>
              </w:tc>
            </w:tr>
            <w:tr w:rsidR="00F27C38" w14:paraId="52AD912C" w14:textId="77777777" w:rsidTr="002F3F54">
              <w:tc>
                <w:tcPr>
                  <w:tcW w:w="2901" w:type="dxa"/>
                </w:tcPr>
                <w:p w14:paraId="118B2C15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25</w:t>
                  </w:r>
                  <w:r w:rsidRPr="00B3301A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January (9:00 -11:00)</w:t>
                  </w:r>
                </w:p>
              </w:tc>
              <w:tc>
                <w:tcPr>
                  <w:tcW w:w="2368" w:type="dxa"/>
                </w:tcPr>
                <w:p w14:paraId="2326E404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60644BF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637" w:type="dxa"/>
                </w:tcPr>
                <w:p w14:paraId="59881E50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Drafting informal</w:t>
                  </w:r>
                </w:p>
                <w:p w14:paraId="55FFD57A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document</w:t>
                  </w:r>
                </w:p>
              </w:tc>
            </w:tr>
            <w:tr w:rsidR="00957764" w14:paraId="017D37C0" w14:textId="77777777" w:rsidTr="002F3F54">
              <w:tc>
                <w:tcPr>
                  <w:tcW w:w="2901" w:type="dxa"/>
                </w:tcPr>
                <w:p w14:paraId="46746E3D" w14:textId="1B875F8E" w:rsidR="00957764" w:rsidRPr="00E96509" w:rsidRDefault="00957764" w:rsidP="00F27C38">
                  <w:pP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26</w:t>
                  </w: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January (9:00 -11</w:t>
                  </w:r>
                  <w:r w:rsidR="00E96509"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:00)</w:t>
                  </w:r>
                </w:p>
              </w:tc>
              <w:tc>
                <w:tcPr>
                  <w:tcW w:w="2368" w:type="dxa"/>
                </w:tcPr>
                <w:p w14:paraId="7BB5EB3B" w14:textId="77777777" w:rsidR="00957764" w:rsidRPr="00E96509" w:rsidRDefault="00957764" w:rsidP="00F27C38">
                  <w:pP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D0E24CE" w14:textId="540ECEC3" w:rsidR="00957764" w:rsidRPr="00E96509" w:rsidRDefault="00E96509" w:rsidP="00F27C38">
                  <w:pP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17</w:t>
                  </w: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Pr="00E9650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session</w:t>
                  </w:r>
                </w:p>
              </w:tc>
              <w:tc>
                <w:tcPr>
                  <w:tcW w:w="4637" w:type="dxa"/>
                </w:tcPr>
                <w:p w14:paraId="72A6BBBD" w14:textId="77777777" w:rsidR="00957764" w:rsidRDefault="00957764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F27C38" w14:paraId="45E15D9E" w14:textId="77777777" w:rsidTr="002F3F54">
              <w:tc>
                <w:tcPr>
                  <w:tcW w:w="2901" w:type="dxa"/>
                </w:tcPr>
                <w:p w14:paraId="67A71561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27</w:t>
                  </w:r>
                  <w:r w:rsidRPr="00B3301A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January (9:00 – 12:00)</w:t>
                  </w:r>
                </w:p>
              </w:tc>
              <w:tc>
                <w:tcPr>
                  <w:tcW w:w="2368" w:type="dxa"/>
                </w:tcPr>
                <w:p w14:paraId="0FEC269F" w14:textId="3F850090" w:rsidR="00F27C38" w:rsidRDefault="007A1EC1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34</w:t>
                  </w:r>
                  <w:r w:rsidRPr="007A1EC1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session </w:t>
                  </w:r>
                  <w:r w:rsidR="00F27C38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Finalization Informal Document</w:t>
                  </w:r>
                  <w:r w:rsidR="00CE5E31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(+potentially C2 and C3)</w:t>
                  </w:r>
                </w:p>
              </w:tc>
              <w:tc>
                <w:tcPr>
                  <w:tcW w:w="1701" w:type="dxa"/>
                </w:tcPr>
                <w:p w14:paraId="71926951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637" w:type="dxa"/>
                </w:tcPr>
                <w:p w14:paraId="18DF342D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3E0D4C" w14:paraId="1C0F3025" w14:textId="77777777" w:rsidTr="002F3F54">
              <w:tc>
                <w:tcPr>
                  <w:tcW w:w="2901" w:type="dxa"/>
                </w:tcPr>
                <w:p w14:paraId="2EABD8EA" w14:textId="5CC5DA3B" w:rsidR="003E0D4C" w:rsidRDefault="003E0D4C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3 </w:t>
                  </w:r>
                  <w:r w:rsidR="00A906E6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ebruary </w:t>
                  </w:r>
                  <w:r w:rsidR="00A906E6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(9:00 – 12:00)</w:t>
                  </w:r>
                </w:p>
              </w:tc>
              <w:tc>
                <w:tcPr>
                  <w:tcW w:w="2368" w:type="dxa"/>
                </w:tcPr>
                <w:p w14:paraId="11AD4A93" w14:textId="31194151" w:rsidR="003E0D4C" w:rsidRDefault="00A906E6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35</w:t>
                  </w:r>
                  <w:r w:rsidRPr="00A906E6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session: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placeholder </w:t>
                  </w:r>
                  <w:r w:rsidR="00F71948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before</w:t>
                  </w:r>
                  <w:proofErr w:type="gramEnd"/>
                  <w:r w:rsidR="00F71948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 GRBP</w:t>
                  </w:r>
                </w:p>
              </w:tc>
              <w:tc>
                <w:tcPr>
                  <w:tcW w:w="1701" w:type="dxa"/>
                </w:tcPr>
                <w:p w14:paraId="40129A68" w14:textId="77777777" w:rsidR="003E0D4C" w:rsidRDefault="003E0D4C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637" w:type="dxa"/>
                </w:tcPr>
                <w:p w14:paraId="24BA59AE" w14:textId="77777777" w:rsidR="003E0D4C" w:rsidRDefault="003E0D4C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061235A5" w14:textId="58214803" w:rsidR="00AF3E19" w:rsidRPr="00FC6779" w:rsidRDefault="00AF3E19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FC677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FC6779" w:rsidRDefault="0035318D" w:rsidP="00A44A5E">
            <w:pPr>
              <w:pStyle w:val="Paragraphedeliste1"/>
              <w:numPr>
                <w:ilvl w:val="0"/>
                <w:numId w:val="42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7BF585A1" w14:textId="77777777" w:rsidR="00201A74" w:rsidRPr="00FC6779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769B2328" w:rsidR="006F07E7" w:rsidRPr="00FC6779" w:rsidRDefault="006F07E7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0DC82946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3" w:history="1">
        <w:r w:rsidR="00645E95">
          <w:rPr>
            <w:rStyle w:val="Lienhypertexte"/>
          </w:rPr>
          <w:t xml:space="preserve">IWG Worn </w:t>
        </w:r>
        <w:proofErr w:type="spellStart"/>
        <w:r w:rsidR="00645E95">
          <w:rPr>
            <w:rStyle w:val="Lienhypertexte"/>
          </w:rPr>
          <w:t>Tyres</w:t>
        </w:r>
        <w:proofErr w:type="spellEnd"/>
        <w:r w:rsidR="00645E95">
          <w:rPr>
            <w:rStyle w:val="Lienhypertexte"/>
          </w:rPr>
          <w:t xml:space="preserve"> Session 33 - Transport - Vehicle Regulations - UNECE Wiki</w:t>
        </w:r>
      </w:hyperlink>
    </w:p>
    <w:sectPr w:rsidR="001210EF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734B" w14:textId="77777777" w:rsidR="00E87286" w:rsidRDefault="00E87286">
      <w:r>
        <w:separator/>
      </w:r>
    </w:p>
  </w:endnote>
  <w:endnote w:type="continuationSeparator" w:id="0">
    <w:p w14:paraId="4A134882" w14:textId="77777777" w:rsidR="00E87286" w:rsidRDefault="00E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2103" w14:textId="77777777" w:rsidR="00E87286" w:rsidRDefault="00E87286">
      <w:r>
        <w:separator/>
      </w:r>
    </w:p>
  </w:footnote>
  <w:footnote w:type="continuationSeparator" w:id="0">
    <w:p w14:paraId="7ADFCA4C" w14:textId="77777777" w:rsidR="00E87286" w:rsidRDefault="00E8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BD"/>
    <w:multiLevelType w:val="hybridMultilevel"/>
    <w:tmpl w:val="59848560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297"/>
    <w:multiLevelType w:val="hybridMultilevel"/>
    <w:tmpl w:val="DC7E6470"/>
    <w:lvl w:ilvl="0" w:tplc="4FB65D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8B52A7"/>
    <w:multiLevelType w:val="hybridMultilevel"/>
    <w:tmpl w:val="965245FE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228CA"/>
    <w:multiLevelType w:val="hybridMultilevel"/>
    <w:tmpl w:val="B28C11DA"/>
    <w:lvl w:ilvl="0" w:tplc="85E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2E52A8"/>
    <w:multiLevelType w:val="hybridMultilevel"/>
    <w:tmpl w:val="691C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28C8"/>
    <w:multiLevelType w:val="hybridMultilevel"/>
    <w:tmpl w:val="07EE8FF6"/>
    <w:lvl w:ilvl="0" w:tplc="93E076E0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548E"/>
    <w:multiLevelType w:val="hybridMultilevel"/>
    <w:tmpl w:val="F0EAF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35"/>
  </w:num>
  <w:num w:numId="5">
    <w:abstractNumId w:val="30"/>
  </w:num>
  <w:num w:numId="6">
    <w:abstractNumId w:val="36"/>
  </w:num>
  <w:num w:numId="7">
    <w:abstractNumId w:val="8"/>
  </w:num>
  <w:num w:numId="8">
    <w:abstractNumId w:val="40"/>
  </w:num>
  <w:num w:numId="9">
    <w:abstractNumId w:val="18"/>
  </w:num>
  <w:num w:numId="10">
    <w:abstractNumId w:val="27"/>
  </w:num>
  <w:num w:numId="11">
    <w:abstractNumId w:val="37"/>
  </w:num>
  <w:num w:numId="12">
    <w:abstractNumId w:val="9"/>
  </w:num>
  <w:num w:numId="13">
    <w:abstractNumId w:val="12"/>
  </w:num>
  <w:num w:numId="14">
    <w:abstractNumId w:val="2"/>
  </w:num>
  <w:num w:numId="15">
    <w:abstractNumId w:val="39"/>
  </w:num>
  <w:num w:numId="16">
    <w:abstractNumId w:val="32"/>
  </w:num>
  <w:num w:numId="17">
    <w:abstractNumId w:val="5"/>
  </w:num>
  <w:num w:numId="18">
    <w:abstractNumId w:val="14"/>
  </w:num>
  <w:num w:numId="19">
    <w:abstractNumId w:val="33"/>
  </w:num>
  <w:num w:numId="20">
    <w:abstractNumId w:val="19"/>
  </w:num>
  <w:num w:numId="21">
    <w:abstractNumId w:val="41"/>
  </w:num>
  <w:num w:numId="22">
    <w:abstractNumId w:val="25"/>
  </w:num>
  <w:num w:numId="23">
    <w:abstractNumId w:val="11"/>
  </w:num>
  <w:num w:numId="24">
    <w:abstractNumId w:val="7"/>
  </w:num>
  <w:num w:numId="25">
    <w:abstractNumId w:val="6"/>
  </w:num>
  <w:num w:numId="26">
    <w:abstractNumId w:val="38"/>
  </w:num>
  <w:num w:numId="27">
    <w:abstractNumId w:val="26"/>
  </w:num>
  <w:num w:numId="28">
    <w:abstractNumId w:val="29"/>
  </w:num>
  <w:num w:numId="29">
    <w:abstractNumId w:val="0"/>
  </w:num>
  <w:num w:numId="30">
    <w:abstractNumId w:val="17"/>
  </w:num>
  <w:num w:numId="31">
    <w:abstractNumId w:val="15"/>
  </w:num>
  <w:num w:numId="32">
    <w:abstractNumId w:val="4"/>
  </w:num>
  <w:num w:numId="33">
    <w:abstractNumId w:val="13"/>
  </w:num>
  <w:num w:numId="34">
    <w:abstractNumId w:val="3"/>
  </w:num>
  <w:num w:numId="35">
    <w:abstractNumId w:val="22"/>
  </w:num>
  <w:num w:numId="36">
    <w:abstractNumId w:val="31"/>
  </w:num>
  <w:num w:numId="37">
    <w:abstractNumId w:val="23"/>
  </w:num>
  <w:num w:numId="38">
    <w:abstractNumId w:val="34"/>
  </w:num>
  <w:num w:numId="39">
    <w:abstractNumId w:val="20"/>
  </w:num>
  <w:num w:numId="40">
    <w:abstractNumId w:val="1"/>
  </w:num>
  <w:num w:numId="41">
    <w:abstractNumId w:val="10"/>
  </w:num>
  <w:num w:numId="4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A1C"/>
    <w:rsid w:val="0000481D"/>
    <w:rsid w:val="0000514B"/>
    <w:rsid w:val="0000518B"/>
    <w:rsid w:val="00007C9D"/>
    <w:rsid w:val="00012427"/>
    <w:rsid w:val="00012DAD"/>
    <w:rsid w:val="00015497"/>
    <w:rsid w:val="00016DF7"/>
    <w:rsid w:val="00017268"/>
    <w:rsid w:val="000178EF"/>
    <w:rsid w:val="0002075C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2620"/>
    <w:rsid w:val="00044F59"/>
    <w:rsid w:val="000456A6"/>
    <w:rsid w:val="0004752F"/>
    <w:rsid w:val="00047AD8"/>
    <w:rsid w:val="00050885"/>
    <w:rsid w:val="00050D3A"/>
    <w:rsid w:val="00051F40"/>
    <w:rsid w:val="0005282B"/>
    <w:rsid w:val="00054AB7"/>
    <w:rsid w:val="00055884"/>
    <w:rsid w:val="000570FE"/>
    <w:rsid w:val="0006037E"/>
    <w:rsid w:val="00060591"/>
    <w:rsid w:val="00061276"/>
    <w:rsid w:val="00062F82"/>
    <w:rsid w:val="0006432C"/>
    <w:rsid w:val="000646E0"/>
    <w:rsid w:val="00065518"/>
    <w:rsid w:val="00065619"/>
    <w:rsid w:val="00065814"/>
    <w:rsid w:val="00065D79"/>
    <w:rsid w:val="000720E4"/>
    <w:rsid w:val="000728EB"/>
    <w:rsid w:val="00073AC5"/>
    <w:rsid w:val="00074553"/>
    <w:rsid w:val="0007561C"/>
    <w:rsid w:val="00076BDC"/>
    <w:rsid w:val="00080787"/>
    <w:rsid w:val="0008112E"/>
    <w:rsid w:val="0008239D"/>
    <w:rsid w:val="00082C5A"/>
    <w:rsid w:val="00082EDC"/>
    <w:rsid w:val="00083C35"/>
    <w:rsid w:val="00084D47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91C"/>
    <w:rsid w:val="000B0789"/>
    <w:rsid w:val="000B141C"/>
    <w:rsid w:val="000B1567"/>
    <w:rsid w:val="000B3682"/>
    <w:rsid w:val="000B56EF"/>
    <w:rsid w:val="000B64B0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2D0E"/>
    <w:rsid w:val="000D3060"/>
    <w:rsid w:val="000D456A"/>
    <w:rsid w:val="000D45FD"/>
    <w:rsid w:val="000D536E"/>
    <w:rsid w:val="000D5C6B"/>
    <w:rsid w:val="000D6CA5"/>
    <w:rsid w:val="000D7893"/>
    <w:rsid w:val="000D78AB"/>
    <w:rsid w:val="000D7DCB"/>
    <w:rsid w:val="000D7DDE"/>
    <w:rsid w:val="000E0D9F"/>
    <w:rsid w:val="000E2FB7"/>
    <w:rsid w:val="000E370A"/>
    <w:rsid w:val="000E3CA7"/>
    <w:rsid w:val="000E5572"/>
    <w:rsid w:val="000E57DF"/>
    <w:rsid w:val="000E5CC3"/>
    <w:rsid w:val="000E7128"/>
    <w:rsid w:val="000F05DD"/>
    <w:rsid w:val="000F1152"/>
    <w:rsid w:val="000F1B00"/>
    <w:rsid w:val="000F24B6"/>
    <w:rsid w:val="000F4A1D"/>
    <w:rsid w:val="000F60B5"/>
    <w:rsid w:val="000F6266"/>
    <w:rsid w:val="000F7C43"/>
    <w:rsid w:val="00100564"/>
    <w:rsid w:val="00106C55"/>
    <w:rsid w:val="00106D2B"/>
    <w:rsid w:val="00107373"/>
    <w:rsid w:val="001101E7"/>
    <w:rsid w:val="00110475"/>
    <w:rsid w:val="001105AC"/>
    <w:rsid w:val="001110E9"/>
    <w:rsid w:val="00111461"/>
    <w:rsid w:val="00112748"/>
    <w:rsid w:val="00113404"/>
    <w:rsid w:val="00113A35"/>
    <w:rsid w:val="00113E70"/>
    <w:rsid w:val="00114BC0"/>
    <w:rsid w:val="001204C7"/>
    <w:rsid w:val="001210EF"/>
    <w:rsid w:val="0012209A"/>
    <w:rsid w:val="00122BE6"/>
    <w:rsid w:val="00122F35"/>
    <w:rsid w:val="00123761"/>
    <w:rsid w:val="00123EE9"/>
    <w:rsid w:val="00124F36"/>
    <w:rsid w:val="00125E47"/>
    <w:rsid w:val="00125E6B"/>
    <w:rsid w:val="0012684A"/>
    <w:rsid w:val="00126BA6"/>
    <w:rsid w:val="001271E1"/>
    <w:rsid w:val="001279F1"/>
    <w:rsid w:val="00130286"/>
    <w:rsid w:val="00131996"/>
    <w:rsid w:val="00131EED"/>
    <w:rsid w:val="00133172"/>
    <w:rsid w:val="001336DA"/>
    <w:rsid w:val="00134A8F"/>
    <w:rsid w:val="00134EA3"/>
    <w:rsid w:val="00135F30"/>
    <w:rsid w:val="001368BC"/>
    <w:rsid w:val="00136DC4"/>
    <w:rsid w:val="0013787A"/>
    <w:rsid w:val="0013795F"/>
    <w:rsid w:val="00140E83"/>
    <w:rsid w:val="0014153D"/>
    <w:rsid w:val="00143013"/>
    <w:rsid w:val="00144996"/>
    <w:rsid w:val="001467CE"/>
    <w:rsid w:val="00147698"/>
    <w:rsid w:val="00147C09"/>
    <w:rsid w:val="00153A0F"/>
    <w:rsid w:val="001543E0"/>
    <w:rsid w:val="00155909"/>
    <w:rsid w:val="00155DF0"/>
    <w:rsid w:val="00156C89"/>
    <w:rsid w:val="00157075"/>
    <w:rsid w:val="00157FAC"/>
    <w:rsid w:val="0016131C"/>
    <w:rsid w:val="00162A5A"/>
    <w:rsid w:val="00162B50"/>
    <w:rsid w:val="00162F4C"/>
    <w:rsid w:val="001652FB"/>
    <w:rsid w:val="0016558F"/>
    <w:rsid w:val="00167155"/>
    <w:rsid w:val="00167C68"/>
    <w:rsid w:val="001705F6"/>
    <w:rsid w:val="00170E37"/>
    <w:rsid w:val="001717A4"/>
    <w:rsid w:val="0017202D"/>
    <w:rsid w:val="00174A0A"/>
    <w:rsid w:val="00175247"/>
    <w:rsid w:val="001771C9"/>
    <w:rsid w:val="00180140"/>
    <w:rsid w:val="001807E2"/>
    <w:rsid w:val="00180B04"/>
    <w:rsid w:val="00183456"/>
    <w:rsid w:val="001836A4"/>
    <w:rsid w:val="0018387C"/>
    <w:rsid w:val="00183A36"/>
    <w:rsid w:val="00184E27"/>
    <w:rsid w:val="00185D22"/>
    <w:rsid w:val="00186BB4"/>
    <w:rsid w:val="00187194"/>
    <w:rsid w:val="00187814"/>
    <w:rsid w:val="00187F77"/>
    <w:rsid w:val="00190ED8"/>
    <w:rsid w:val="00191FE1"/>
    <w:rsid w:val="001921B1"/>
    <w:rsid w:val="001923AD"/>
    <w:rsid w:val="00193D09"/>
    <w:rsid w:val="00195F26"/>
    <w:rsid w:val="00196955"/>
    <w:rsid w:val="00197540"/>
    <w:rsid w:val="00197F72"/>
    <w:rsid w:val="001A01DD"/>
    <w:rsid w:val="001A1C5A"/>
    <w:rsid w:val="001A37F4"/>
    <w:rsid w:val="001A4B8F"/>
    <w:rsid w:val="001A4FC9"/>
    <w:rsid w:val="001A585E"/>
    <w:rsid w:val="001A64DF"/>
    <w:rsid w:val="001A6A0A"/>
    <w:rsid w:val="001A76D8"/>
    <w:rsid w:val="001A7A10"/>
    <w:rsid w:val="001A7BA2"/>
    <w:rsid w:val="001B0B09"/>
    <w:rsid w:val="001B241D"/>
    <w:rsid w:val="001B41E1"/>
    <w:rsid w:val="001B4D92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633C"/>
    <w:rsid w:val="001C7A3A"/>
    <w:rsid w:val="001D2378"/>
    <w:rsid w:val="001D50F7"/>
    <w:rsid w:val="001D7080"/>
    <w:rsid w:val="001D7100"/>
    <w:rsid w:val="001D7799"/>
    <w:rsid w:val="001E3C75"/>
    <w:rsid w:val="001E4214"/>
    <w:rsid w:val="001E474C"/>
    <w:rsid w:val="001E58A2"/>
    <w:rsid w:val="001E58FD"/>
    <w:rsid w:val="001E6FC9"/>
    <w:rsid w:val="001E7455"/>
    <w:rsid w:val="001E7D1A"/>
    <w:rsid w:val="001E7E76"/>
    <w:rsid w:val="001F07F3"/>
    <w:rsid w:val="001F0AF6"/>
    <w:rsid w:val="001F0CF7"/>
    <w:rsid w:val="001F41AE"/>
    <w:rsid w:val="001F48A8"/>
    <w:rsid w:val="001F4E65"/>
    <w:rsid w:val="001F56D0"/>
    <w:rsid w:val="001F6117"/>
    <w:rsid w:val="001F61CC"/>
    <w:rsid w:val="001F6351"/>
    <w:rsid w:val="002006BE"/>
    <w:rsid w:val="00201A74"/>
    <w:rsid w:val="00205AD0"/>
    <w:rsid w:val="002061B5"/>
    <w:rsid w:val="002104A3"/>
    <w:rsid w:val="00210D01"/>
    <w:rsid w:val="00211196"/>
    <w:rsid w:val="00212034"/>
    <w:rsid w:val="002125E4"/>
    <w:rsid w:val="002126DB"/>
    <w:rsid w:val="00213D61"/>
    <w:rsid w:val="0021616B"/>
    <w:rsid w:val="0021691F"/>
    <w:rsid w:val="002169F9"/>
    <w:rsid w:val="00216C54"/>
    <w:rsid w:val="00216E82"/>
    <w:rsid w:val="00217845"/>
    <w:rsid w:val="00217F87"/>
    <w:rsid w:val="002212BF"/>
    <w:rsid w:val="00221B90"/>
    <w:rsid w:val="002222A5"/>
    <w:rsid w:val="00222603"/>
    <w:rsid w:val="0022449B"/>
    <w:rsid w:val="00226206"/>
    <w:rsid w:val="00227176"/>
    <w:rsid w:val="00230180"/>
    <w:rsid w:val="00233570"/>
    <w:rsid w:val="0023388E"/>
    <w:rsid w:val="00233D47"/>
    <w:rsid w:val="002341C3"/>
    <w:rsid w:val="00234596"/>
    <w:rsid w:val="0023483D"/>
    <w:rsid w:val="00234E95"/>
    <w:rsid w:val="00235D30"/>
    <w:rsid w:val="00236BC8"/>
    <w:rsid w:val="00236E55"/>
    <w:rsid w:val="002428A4"/>
    <w:rsid w:val="002428D6"/>
    <w:rsid w:val="002441A9"/>
    <w:rsid w:val="0024478D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4B58"/>
    <w:rsid w:val="00255A43"/>
    <w:rsid w:val="00261087"/>
    <w:rsid w:val="002627FB"/>
    <w:rsid w:val="00262B7E"/>
    <w:rsid w:val="002644F0"/>
    <w:rsid w:val="00264789"/>
    <w:rsid w:val="00267088"/>
    <w:rsid w:val="002670A0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3BD9"/>
    <w:rsid w:val="002855E7"/>
    <w:rsid w:val="00286254"/>
    <w:rsid w:val="00286E4F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157"/>
    <w:rsid w:val="002A35FB"/>
    <w:rsid w:val="002A4355"/>
    <w:rsid w:val="002A5B63"/>
    <w:rsid w:val="002A6CE4"/>
    <w:rsid w:val="002A7742"/>
    <w:rsid w:val="002B060A"/>
    <w:rsid w:val="002B07E4"/>
    <w:rsid w:val="002B0EA5"/>
    <w:rsid w:val="002B33A5"/>
    <w:rsid w:val="002B36DA"/>
    <w:rsid w:val="002B41C2"/>
    <w:rsid w:val="002B6588"/>
    <w:rsid w:val="002B6B74"/>
    <w:rsid w:val="002B73BA"/>
    <w:rsid w:val="002B75BC"/>
    <w:rsid w:val="002B7BDF"/>
    <w:rsid w:val="002C183B"/>
    <w:rsid w:val="002C23C9"/>
    <w:rsid w:val="002C2F90"/>
    <w:rsid w:val="002C3366"/>
    <w:rsid w:val="002C3D50"/>
    <w:rsid w:val="002C3F3E"/>
    <w:rsid w:val="002C5E8D"/>
    <w:rsid w:val="002C695E"/>
    <w:rsid w:val="002D0090"/>
    <w:rsid w:val="002D0C3F"/>
    <w:rsid w:val="002D0EC4"/>
    <w:rsid w:val="002D22C4"/>
    <w:rsid w:val="002D2A8E"/>
    <w:rsid w:val="002D2BDF"/>
    <w:rsid w:val="002D33EB"/>
    <w:rsid w:val="002D36E6"/>
    <w:rsid w:val="002D5100"/>
    <w:rsid w:val="002D55E5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0A67"/>
    <w:rsid w:val="00311491"/>
    <w:rsid w:val="00311624"/>
    <w:rsid w:val="00313A36"/>
    <w:rsid w:val="00316E3C"/>
    <w:rsid w:val="003174D4"/>
    <w:rsid w:val="003179E7"/>
    <w:rsid w:val="00317B68"/>
    <w:rsid w:val="00320469"/>
    <w:rsid w:val="003215ED"/>
    <w:rsid w:val="00321943"/>
    <w:rsid w:val="0032375C"/>
    <w:rsid w:val="00324727"/>
    <w:rsid w:val="00324E8B"/>
    <w:rsid w:val="00330635"/>
    <w:rsid w:val="00330F19"/>
    <w:rsid w:val="003323D5"/>
    <w:rsid w:val="00332704"/>
    <w:rsid w:val="00334A79"/>
    <w:rsid w:val="00335F9F"/>
    <w:rsid w:val="00340688"/>
    <w:rsid w:val="00343F66"/>
    <w:rsid w:val="003461FB"/>
    <w:rsid w:val="003461FF"/>
    <w:rsid w:val="00346A6F"/>
    <w:rsid w:val="0035034E"/>
    <w:rsid w:val="00352691"/>
    <w:rsid w:val="003526BA"/>
    <w:rsid w:val="00352E41"/>
    <w:rsid w:val="0035306D"/>
    <w:rsid w:val="0035318D"/>
    <w:rsid w:val="00355D1D"/>
    <w:rsid w:val="00356184"/>
    <w:rsid w:val="003565FB"/>
    <w:rsid w:val="0035661B"/>
    <w:rsid w:val="0035671D"/>
    <w:rsid w:val="00360A9E"/>
    <w:rsid w:val="00364174"/>
    <w:rsid w:val="0036420C"/>
    <w:rsid w:val="0036454C"/>
    <w:rsid w:val="003657D1"/>
    <w:rsid w:val="00365DDA"/>
    <w:rsid w:val="0036653D"/>
    <w:rsid w:val="003665B7"/>
    <w:rsid w:val="0037595E"/>
    <w:rsid w:val="00376155"/>
    <w:rsid w:val="0038051E"/>
    <w:rsid w:val="003819D9"/>
    <w:rsid w:val="00382C55"/>
    <w:rsid w:val="00383F36"/>
    <w:rsid w:val="00384494"/>
    <w:rsid w:val="00384AAC"/>
    <w:rsid w:val="00384EB3"/>
    <w:rsid w:val="0038564E"/>
    <w:rsid w:val="003867CB"/>
    <w:rsid w:val="00387C2B"/>
    <w:rsid w:val="0039013D"/>
    <w:rsid w:val="00391129"/>
    <w:rsid w:val="003936EB"/>
    <w:rsid w:val="00394C6E"/>
    <w:rsid w:val="00394F54"/>
    <w:rsid w:val="00395B15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5460"/>
    <w:rsid w:val="003A548D"/>
    <w:rsid w:val="003A766F"/>
    <w:rsid w:val="003B1764"/>
    <w:rsid w:val="003B21E5"/>
    <w:rsid w:val="003B32C3"/>
    <w:rsid w:val="003B413C"/>
    <w:rsid w:val="003B434D"/>
    <w:rsid w:val="003B5490"/>
    <w:rsid w:val="003B595A"/>
    <w:rsid w:val="003B59C6"/>
    <w:rsid w:val="003B7DEA"/>
    <w:rsid w:val="003C09D3"/>
    <w:rsid w:val="003C160B"/>
    <w:rsid w:val="003C3E2F"/>
    <w:rsid w:val="003C3F24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D690B"/>
    <w:rsid w:val="003E0D4C"/>
    <w:rsid w:val="003E32D2"/>
    <w:rsid w:val="003E5761"/>
    <w:rsid w:val="003E66CC"/>
    <w:rsid w:val="003E7ABC"/>
    <w:rsid w:val="003E7D66"/>
    <w:rsid w:val="003F0FEA"/>
    <w:rsid w:val="003F141B"/>
    <w:rsid w:val="003F1601"/>
    <w:rsid w:val="003F1B9F"/>
    <w:rsid w:val="003F3B3B"/>
    <w:rsid w:val="003F4182"/>
    <w:rsid w:val="003F497D"/>
    <w:rsid w:val="003F6C0D"/>
    <w:rsid w:val="003F7819"/>
    <w:rsid w:val="003F7E21"/>
    <w:rsid w:val="004001BC"/>
    <w:rsid w:val="00401322"/>
    <w:rsid w:val="0040347B"/>
    <w:rsid w:val="00405599"/>
    <w:rsid w:val="00405E8C"/>
    <w:rsid w:val="00406E6E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367"/>
    <w:rsid w:val="0042291F"/>
    <w:rsid w:val="0042309E"/>
    <w:rsid w:val="00424196"/>
    <w:rsid w:val="004248BF"/>
    <w:rsid w:val="004253AF"/>
    <w:rsid w:val="004260F7"/>
    <w:rsid w:val="0042693A"/>
    <w:rsid w:val="004303FF"/>
    <w:rsid w:val="0043057E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B5F"/>
    <w:rsid w:val="00456FD3"/>
    <w:rsid w:val="004579D5"/>
    <w:rsid w:val="0046000F"/>
    <w:rsid w:val="00461BB3"/>
    <w:rsid w:val="00462392"/>
    <w:rsid w:val="004641A4"/>
    <w:rsid w:val="00464D53"/>
    <w:rsid w:val="00465160"/>
    <w:rsid w:val="00466510"/>
    <w:rsid w:val="00466923"/>
    <w:rsid w:val="004711E2"/>
    <w:rsid w:val="00472B30"/>
    <w:rsid w:val="004759D5"/>
    <w:rsid w:val="004762ED"/>
    <w:rsid w:val="004762F4"/>
    <w:rsid w:val="0047681D"/>
    <w:rsid w:val="00477057"/>
    <w:rsid w:val="00477BFC"/>
    <w:rsid w:val="00480229"/>
    <w:rsid w:val="00480A61"/>
    <w:rsid w:val="004810F6"/>
    <w:rsid w:val="004815FD"/>
    <w:rsid w:val="00481ADC"/>
    <w:rsid w:val="00481ADD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F23"/>
    <w:rsid w:val="0049345E"/>
    <w:rsid w:val="00493988"/>
    <w:rsid w:val="00496883"/>
    <w:rsid w:val="00496DEA"/>
    <w:rsid w:val="004978CF"/>
    <w:rsid w:val="004A046A"/>
    <w:rsid w:val="004A0D70"/>
    <w:rsid w:val="004A21A5"/>
    <w:rsid w:val="004A2AC7"/>
    <w:rsid w:val="004A32B4"/>
    <w:rsid w:val="004A443E"/>
    <w:rsid w:val="004A60D1"/>
    <w:rsid w:val="004A6939"/>
    <w:rsid w:val="004A6A72"/>
    <w:rsid w:val="004A6DBB"/>
    <w:rsid w:val="004A7F90"/>
    <w:rsid w:val="004B04E4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0A83"/>
    <w:rsid w:val="004C249E"/>
    <w:rsid w:val="004C2649"/>
    <w:rsid w:val="004C2CED"/>
    <w:rsid w:val="004C33F0"/>
    <w:rsid w:val="004C401D"/>
    <w:rsid w:val="004C52C0"/>
    <w:rsid w:val="004C54D8"/>
    <w:rsid w:val="004C6246"/>
    <w:rsid w:val="004D06A4"/>
    <w:rsid w:val="004D1086"/>
    <w:rsid w:val="004D369A"/>
    <w:rsid w:val="004D4F58"/>
    <w:rsid w:val="004D5E93"/>
    <w:rsid w:val="004D667A"/>
    <w:rsid w:val="004D6FFF"/>
    <w:rsid w:val="004E262A"/>
    <w:rsid w:val="004E3877"/>
    <w:rsid w:val="004E4DC5"/>
    <w:rsid w:val="004E5E26"/>
    <w:rsid w:val="004E617E"/>
    <w:rsid w:val="004E7F27"/>
    <w:rsid w:val="004F08A4"/>
    <w:rsid w:val="004F245A"/>
    <w:rsid w:val="004F2948"/>
    <w:rsid w:val="004F40C9"/>
    <w:rsid w:val="004F5865"/>
    <w:rsid w:val="004F5A97"/>
    <w:rsid w:val="004F60CB"/>
    <w:rsid w:val="004F73AF"/>
    <w:rsid w:val="00500E12"/>
    <w:rsid w:val="00501C0E"/>
    <w:rsid w:val="00501FAD"/>
    <w:rsid w:val="0050278E"/>
    <w:rsid w:val="00503234"/>
    <w:rsid w:val="00503A85"/>
    <w:rsid w:val="00505BF4"/>
    <w:rsid w:val="00510C42"/>
    <w:rsid w:val="00512AB5"/>
    <w:rsid w:val="00514700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5414"/>
    <w:rsid w:val="00525665"/>
    <w:rsid w:val="00526858"/>
    <w:rsid w:val="00527EEF"/>
    <w:rsid w:val="0053104E"/>
    <w:rsid w:val="00534482"/>
    <w:rsid w:val="0053572B"/>
    <w:rsid w:val="00536906"/>
    <w:rsid w:val="00536DE1"/>
    <w:rsid w:val="00537CC2"/>
    <w:rsid w:val="00540012"/>
    <w:rsid w:val="005405A1"/>
    <w:rsid w:val="00541EEE"/>
    <w:rsid w:val="0054277B"/>
    <w:rsid w:val="00542DDF"/>
    <w:rsid w:val="00543E50"/>
    <w:rsid w:val="00544ED0"/>
    <w:rsid w:val="00545E92"/>
    <w:rsid w:val="0054679A"/>
    <w:rsid w:val="00546DBF"/>
    <w:rsid w:val="00546E60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3BDB"/>
    <w:rsid w:val="00563BEA"/>
    <w:rsid w:val="0056441E"/>
    <w:rsid w:val="0056472C"/>
    <w:rsid w:val="00564D9C"/>
    <w:rsid w:val="0056522E"/>
    <w:rsid w:val="0056750C"/>
    <w:rsid w:val="0056798F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28AE"/>
    <w:rsid w:val="00582FD4"/>
    <w:rsid w:val="00584817"/>
    <w:rsid w:val="0058588C"/>
    <w:rsid w:val="00585BE4"/>
    <w:rsid w:val="00585D44"/>
    <w:rsid w:val="00592DE7"/>
    <w:rsid w:val="005931C2"/>
    <w:rsid w:val="005931F2"/>
    <w:rsid w:val="00593A66"/>
    <w:rsid w:val="0059492C"/>
    <w:rsid w:val="005959AE"/>
    <w:rsid w:val="005959E5"/>
    <w:rsid w:val="00596440"/>
    <w:rsid w:val="005A0A0E"/>
    <w:rsid w:val="005A1663"/>
    <w:rsid w:val="005A5262"/>
    <w:rsid w:val="005A575B"/>
    <w:rsid w:val="005A6A71"/>
    <w:rsid w:val="005A7026"/>
    <w:rsid w:val="005A7390"/>
    <w:rsid w:val="005A7DCE"/>
    <w:rsid w:val="005A7DDC"/>
    <w:rsid w:val="005B141A"/>
    <w:rsid w:val="005B2EFE"/>
    <w:rsid w:val="005B3777"/>
    <w:rsid w:val="005B3894"/>
    <w:rsid w:val="005B3DE7"/>
    <w:rsid w:val="005B6BE8"/>
    <w:rsid w:val="005B7AD4"/>
    <w:rsid w:val="005C254F"/>
    <w:rsid w:val="005C3002"/>
    <w:rsid w:val="005C4FF5"/>
    <w:rsid w:val="005C529C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59B"/>
    <w:rsid w:val="005F6C0F"/>
    <w:rsid w:val="005F6F11"/>
    <w:rsid w:val="00600AEB"/>
    <w:rsid w:val="00601BC7"/>
    <w:rsid w:val="00601EA6"/>
    <w:rsid w:val="00603C07"/>
    <w:rsid w:val="0060490C"/>
    <w:rsid w:val="00605916"/>
    <w:rsid w:val="006069DC"/>
    <w:rsid w:val="00607006"/>
    <w:rsid w:val="0060752F"/>
    <w:rsid w:val="00607CED"/>
    <w:rsid w:val="00610A0E"/>
    <w:rsid w:val="00613555"/>
    <w:rsid w:val="00613E04"/>
    <w:rsid w:val="00616807"/>
    <w:rsid w:val="006168B2"/>
    <w:rsid w:val="006168D4"/>
    <w:rsid w:val="0061694C"/>
    <w:rsid w:val="00616F60"/>
    <w:rsid w:val="00617446"/>
    <w:rsid w:val="00620E54"/>
    <w:rsid w:val="006213C1"/>
    <w:rsid w:val="00621501"/>
    <w:rsid w:val="00622421"/>
    <w:rsid w:val="006251EC"/>
    <w:rsid w:val="00627195"/>
    <w:rsid w:val="00627CBD"/>
    <w:rsid w:val="0063169C"/>
    <w:rsid w:val="006316A7"/>
    <w:rsid w:val="006318EA"/>
    <w:rsid w:val="0063251D"/>
    <w:rsid w:val="006329D5"/>
    <w:rsid w:val="006339B0"/>
    <w:rsid w:val="0063410E"/>
    <w:rsid w:val="00635700"/>
    <w:rsid w:val="006366A5"/>
    <w:rsid w:val="0063757C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E95"/>
    <w:rsid w:val="006466CA"/>
    <w:rsid w:val="006467FD"/>
    <w:rsid w:val="00650683"/>
    <w:rsid w:val="00650764"/>
    <w:rsid w:val="00650FF1"/>
    <w:rsid w:val="00651415"/>
    <w:rsid w:val="006528E2"/>
    <w:rsid w:val="00654FBD"/>
    <w:rsid w:val="00656DB6"/>
    <w:rsid w:val="00657547"/>
    <w:rsid w:val="006603D5"/>
    <w:rsid w:val="006604E2"/>
    <w:rsid w:val="00661316"/>
    <w:rsid w:val="00661ADB"/>
    <w:rsid w:val="006626AA"/>
    <w:rsid w:val="00662C4D"/>
    <w:rsid w:val="006638EE"/>
    <w:rsid w:val="00664604"/>
    <w:rsid w:val="00665A87"/>
    <w:rsid w:val="00672067"/>
    <w:rsid w:val="00672833"/>
    <w:rsid w:val="0067361D"/>
    <w:rsid w:val="0067370A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101"/>
    <w:rsid w:val="00685A17"/>
    <w:rsid w:val="006910C2"/>
    <w:rsid w:val="00691230"/>
    <w:rsid w:val="00692F77"/>
    <w:rsid w:val="00694377"/>
    <w:rsid w:val="00694C2C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3847"/>
    <w:rsid w:val="006A5FE6"/>
    <w:rsid w:val="006A72F2"/>
    <w:rsid w:val="006B0444"/>
    <w:rsid w:val="006B04CD"/>
    <w:rsid w:val="006B0C9B"/>
    <w:rsid w:val="006B1015"/>
    <w:rsid w:val="006B1DD6"/>
    <w:rsid w:val="006B2706"/>
    <w:rsid w:val="006B4639"/>
    <w:rsid w:val="006B4E01"/>
    <w:rsid w:val="006B71C4"/>
    <w:rsid w:val="006B72FF"/>
    <w:rsid w:val="006B77E2"/>
    <w:rsid w:val="006C1621"/>
    <w:rsid w:val="006C33C0"/>
    <w:rsid w:val="006C3A2A"/>
    <w:rsid w:val="006C47DB"/>
    <w:rsid w:val="006C54FA"/>
    <w:rsid w:val="006C659C"/>
    <w:rsid w:val="006C697A"/>
    <w:rsid w:val="006C6B1E"/>
    <w:rsid w:val="006D249D"/>
    <w:rsid w:val="006D43C9"/>
    <w:rsid w:val="006D4BD0"/>
    <w:rsid w:val="006D5E4F"/>
    <w:rsid w:val="006D73D7"/>
    <w:rsid w:val="006D7D3C"/>
    <w:rsid w:val="006E077C"/>
    <w:rsid w:val="006E08D0"/>
    <w:rsid w:val="006E14B6"/>
    <w:rsid w:val="006E1E8B"/>
    <w:rsid w:val="006E2565"/>
    <w:rsid w:val="006E3984"/>
    <w:rsid w:val="006E3BD1"/>
    <w:rsid w:val="006E43D2"/>
    <w:rsid w:val="006E61F5"/>
    <w:rsid w:val="006E70B9"/>
    <w:rsid w:val="006F0032"/>
    <w:rsid w:val="006F07E7"/>
    <w:rsid w:val="006F07E9"/>
    <w:rsid w:val="006F1040"/>
    <w:rsid w:val="006F17B2"/>
    <w:rsid w:val="006F1924"/>
    <w:rsid w:val="006F33F7"/>
    <w:rsid w:val="006F4504"/>
    <w:rsid w:val="006F5D8B"/>
    <w:rsid w:val="006F6BF3"/>
    <w:rsid w:val="006F7EEF"/>
    <w:rsid w:val="007006CA"/>
    <w:rsid w:val="007009CE"/>
    <w:rsid w:val="00700D26"/>
    <w:rsid w:val="00700DC2"/>
    <w:rsid w:val="00700FDE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140"/>
    <w:rsid w:val="0074185B"/>
    <w:rsid w:val="00741F1F"/>
    <w:rsid w:val="00744602"/>
    <w:rsid w:val="0074487F"/>
    <w:rsid w:val="007459BE"/>
    <w:rsid w:val="0075068F"/>
    <w:rsid w:val="00751AC1"/>
    <w:rsid w:val="00752542"/>
    <w:rsid w:val="00752903"/>
    <w:rsid w:val="00753935"/>
    <w:rsid w:val="0075446A"/>
    <w:rsid w:val="00754C25"/>
    <w:rsid w:val="0075556B"/>
    <w:rsid w:val="007555FE"/>
    <w:rsid w:val="007561C5"/>
    <w:rsid w:val="007572DB"/>
    <w:rsid w:val="0076270C"/>
    <w:rsid w:val="007645C6"/>
    <w:rsid w:val="00764DA4"/>
    <w:rsid w:val="007725C7"/>
    <w:rsid w:val="00772E6A"/>
    <w:rsid w:val="007740FB"/>
    <w:rsid w:val="00774997"/>
    <w:rsid w:val="007750E3"/>
    <w:rsid w:val="00775BFE"/>
    <w:rsid w:val="00775F47"/>
    <w:rsid w:val="007763B2"/>
    <w:rsid w:val="00780956"/>
    <w:rsid w:val="00782520"/>
    <w:rsid w:val="00783751"/>
    <w:rsid w:val="00785399"/>
    <w:rsid w:val="007866E6"/>
    <w:rsid w:val="007868C4"/>
    <w:rsid w:val="00787D80"/>
    <w:rsid w:val="007908BB"/>
    <w:rsid w:val="00791563"/>
    <w:rsid w:val="0079162A"/>
    <w:rsid w:val="007924D0"/>
    <w:rsid w:val="00793112"/>
    <w:rsid w:val="00793E91"/>
    <w:rsid w:val="0079432E"/>
    <w:rsid w:val="00794AAD"/>
    <w:rsid w:val="00796205"/>
    <w:rsid w:val="00796245"/>
    <w:rsid w:val="007972F2"/>
    <w:rsid w:val="007A09A0"/>
    <w:rsid w:val="007A100C"/>
    <w:rsid w:val="007A1EC1"/>
    <w:rsid w:val="007A2CE9"/>
    <w:rsid w:val="007A4A26"/>
    <w:rsid w:val="007A6313"/>
    <w:rsid w:val="007A6704"/>
    <w:rsid w:val="007A78CF"/>
    <w:rsid w:val="007B21C1"/>
    <w:rsid w:val="007B2488"/>
    <w:rsid w:val="007B272B"/>
    <w:rsid w:val="007B3873"/>
    <w:rsid w:val="007B3BC3"/>
    <w:rsid w:val="007B5078"/>
    <w:rsid w:val="007B6574"/>
    <w:rsid w:val="007B6DF3"/>
    <w:rsid w:val="007B72B4"/>
    <w:rsid w:val="007C01D2"/>
    <w:rsid w:val="007C027A"/>
    <w:rsid w:val="007C147C"/>
    <w:rsid w:val="007C1F21"/>
    <w:rsid w:val="007C36FD"/>
    <w:rsid w:val="007C55CF"/>
    <w:rsid w:val="007C6273"/>
    <w:rsid w:val="007C62B3"/>
    <w:rsid w:val="007C62CE"/>
    <w:rsid w:val="007D156A"/>
    <w:rsid w:val="007D1A31"/>
    <w:rsid w:val="007D1D1C"/>
    <w:rsid w:val="007D622C"/>
    <w:rsid w:val="007E0603"/>
    <w:rsid w:val="007E06E3"/>
    <w:rsid w:val="007E0AF7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0D4"/>
    <w:rsid w:val="007F4FEE"/>
    <w:rsid w:val="007F669F"/>
    <w:rsid w:val="007F742F"/>
    <w:rsid w:val="007F7686"/>
    <w:rsid w:val="007F795A"/>
    <w:rsid w:val="007F7E79"/>
    <w:rsid w:val="0080098F"/>
    <w:rsid w:val="00801177"/>
    <w:rsid w:val="0080197E"/>
    <w:rsid w:val="008022BB"/>
    <w:rsid w:val="008023CB"/>
    <w:rsid w:val="0080390E"/>
    <w:rsid w:val="00805B1F"/>
    <w:rsid w:val="008106E3"/>
    <w:rsid w:val="008117A7"/>
    <w:rsid w:val="00812569"/>
    <w:rsid w:val="00812F11"/>
    <w:rsid w:val="00812F4B"/>
    <w:rsid w:val="00813F23"/>
    <w:rsid w:val="00814383"/>
    <w:rsid w:val="00814F59"/>
    <w:rsid w:val="00815BE5"/>
    <w:rsid w:val="00816298"/>
    <w:rsid w:val="0081673D"/>
    <w:rsid w:val="0081761C"/>
    <w:rsid w:val="008215BC"/>
    <w:rsid w:val="008220D6"/>
    <w:rsid w:val="008224E7"/>
    <w:rsid w:val="0082269D"/>
    <w:rsid w:val="00824BF0"/>
    <w:rsid w:val="00824F31"/>
    <w:rsid w:val="008252D8"/>
    <w:rsid w:val="00825E1B"/>
    <w:rsid w:val="00826A26"/>
    <w:rsid w:val="00827397"/>
    <w:rsid w:val="008314C9"/>
    <w:rsid w:val="00832497"/>
    <w:rsid w:val="00832749"/>
    <w:rsid w:val="00832A70"/>
    <w:rsid w:val="00832EEF"/>
    <w:rsid w:val="00833D46"/>
    <w:rsid w:val="0083416C"/>
    <w:rsid w:val="00834A42"/>
    <w:rsid w:val="00836DB3"/>
    <w:rsid w:val="008371EA"/>
    <w:rsid w:val="0084045A"/>
    <w:rsid w:val="0084145D"/>
    <w:rsid w:val="00842C9A"/>
    <w:rsid w:val="00842E9F"/>
    <w:rsid w:val="00844A3A"/>
    <w:rsid w:val="0084631D"/>
    <w:rsid w:val="00846904"/>
    <w:rsid w:val="00847F45"/>
    <w:rsid w:val="008501B2"/>
    <w:rsid w:val="00850A0F"/>
    <w:rsid w:val="00850E2B"/>
    <w:rsid w:val="00853F8B"/>
    <w:rsid w:val="008548ED"/>
    <w:rsid w:val="00855CD7"/>
    <w:rsid w:val="00855CF3"/>
    <w:rsid w:val="008569B2"/>
    <w:rsid w:val="00856E0C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70378"/>
    <w:rsid w:val="00870BEC"/>
    <w:rsid w:val="00872C88"/>
    <w:rsid w:val="00873AC5"/>
    <w:rsid w:val="008752CC"/>
    <w:rsid w:val="00876935"/>
    <w:rsid w:val="00877A25"/>
    <w:rsid w:val="00877D69"/>
    <w:rsid w:val="00880B48"/>
    <w:rsid w:val="00880F0F"/>
    <w:rsid w:val="008819E5"/>
    <w:rsid w:val="00881AF9"/>
    <w:rsid w:val="00882C89"/>
    <w:rsid w:val="00882CF3"/>
    <w:rsid w:val="00884FE6"/>
    <w:rsid w:val="00885AA3"/>
    <w:rsid w:val="008863E5"/>
    <w:rsid w:val="0088690E"/>
    <w:rsid w:val="00886C14"/>
    <w:rsid w:val="0089064A"/>
    <w:rsid w:val="008913DE"/>
    <w:rsid w:val="00891DA5"/>
    <w:rsid w:val="0089230C"/>
    <w:rsid w:val="008931B1"/>
    <w:rsid w:val="00894F93"/>
    <w:rsid w:val="00895E4A"/>
    <w:rsid w:val="008A0E40"/>
    <w:rsid w:val="008A2F08"/>
    <w:rsid w:val="008A3440"/>
    <w:rsid w:val="008A3B23"/>
    <w:rsid w:val="008A413A"/>
    <w:rsid w:val="008A4358"/>
    <w:rsid w:val="008A45D2"/>
    <w:rsid w:val="008A615B"/>
    <w:rsid w:val="008A74D7"/>
    <w:rsid w:val="008A7DAD"/>
    <w:rsid w:val="008B1BAD"/>
    <w:rsid w:val="008B4778"/>
    <w:rsid w:val="008B5083"/>
    <w:rsid w:val="008B5553"/>
    <w:rsid w:val="008B588C"/>
    <w:rsid w:val="008B6863"/>
    <w:rsid w:val="008B7691"/>
    <w:rsid w:val="008C36C3"/>
    <w:rsid w:val="008C38A5"/>
    <w:rsid w:val="008C3C0A"/>
    <w:rsid w:val="008C5536"/>
    <w:rsid w:val="008C60B1"/>
    <w:rsid w:val="008C61AD"/>
    <w:rsid w:val="008C7CB7"/>
    <w:rsid w:val="008D009C"/>
    <w:rsid w:val="008D162A"/>
    <w:rsid w:val="008D28BB"/>
    <w:rsid w:val="008D34A6"/>
    <w:rsid w:val="008E04AD"/>
    <w:rsid w:val="008E0D1E"/>
    <w:rsid w:val="008E126F"/>
    <w:rsid w:val="008E196D"/>
    <w:rsid w:val="008E1DFE"/>
    <w:rsid w:val="008E1F73"/>
    <w:rsid w:val="008E3D11"/>
    <w:rsid w:val="008E6281"/>
    <w:rsid w:val="008E7667"/>
    <w:rsid w:val="008F0240"/>
    <w:rsid w:val="008F07CB"/>
    <w:rsid w:val="008F1D1F"/>
    <w:rsid w:val="008F2E2A"/>
    <w:rsid w:val="008F304C"/>
    <w:rsid w:val="008F4D41"/>
    <w:rsid w:val="008F5FCA"/>
    <w:rsid w:val="008F623A"/>
    <w:rsid w:val="008F696E"/>
    <w:rsid w:val="008F7176"/>
    <w:rsid w:val="008F7501"/>
    <w:rsid w:val="00900630"/>
    <w:rsid w:val="00900C1A"/>
    <w:rsid w:val="00901ECE"/>
    <w:rsid w:val="00902D1F"/>
    <w:rsid w:val="009031F0"/>
    <w:rsid w:val="009037CD"/>
    <w:rsid w:val="009040E0"/>
    <w:rsid w:val="00905740"/>
    <w:rsid w:val="00906EE5"/>
    <w:rsid w:val="00910327"/>
    <w:rsid w:val="00910B53"/>
    <w:rsid w:val="00911051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30F6"/>
    <w:rsid w:val="00925417"/>
    <w:rsid w:val="0092661F"/>
    <w:rsid w:val="00927031"/>
    <w:rsid w:val="00927157"/>
    <w:rsid w:val="00927627"/>
    <w:rsid w:val="009279A8"/>
    <w:rsid w:val="00930248"/>
    <w:rsid w:val="00930859"/>
    <w:rsid w:val="00930D45"/>
    <w:rsid w:val="009353E5"/>
    <w:rsid w:val="009354C8"/>
    <w:rsid w:val="00935CA1"/>
    <w:rsid w:val="00936072"/>
    <w:rsid w:val="00940D32"/>
    <w:rsid w:val="00940D4A"/>
    <w:rsid w:val="009417E5"/>
    <w:rsid w:val="009423C0"/>
    <w:rsid w:val="00942C36"/>
    <w:rsid w:val="009439DA"/>
    <w:rsid w:val="00943F2E"/>
    <w:rsid w:val="00946B74"/>
    <w:rsid w:val="00946C45"/>
    <w:rsid w:val="00947386"/>
    <w:rsid w:val="009474F5"/>
    <w:rsid w:val="00950F14"/>
    <w:rsid w:val="00951DC3"/>
    <w:rsid w:val="009537A0"/>
    <w:rsid w:val="00953C71"/>
    <w:rsid w:val="00954C8E"/>
    <w:rsid w:val="00955244"/>
    <w:rsid w:val="0095529B"/>
    <w:rsid w:val="00957764"/>
    <w:rsid w:val="0095778D"/>
    <w:rsid w:val="00960230"/>
    <w:rsid w:val="0096169B"/>
    <w:rsid w:val="00962954"/>
    <w:rsid w:val="00963868"/>
    <w:rsid w:val="00963A14"/>
    <w:rsid w:val="00963FB8"/>
    <w:rsid w:val="0096462E"/>
    <w:rsid w:val="009646F2"/>
    <w:rsid w:val="009654F3"/>
    <w:rsid w:val="00966F18"/>
    <w:rsid w:val="00967CF4"/>
    <w:rsid w:val="00967F13"/>
    <w:rsid w:val="00970457"/>
    <w:rsid w:val="0097252B"/>
    <w:rsid w:val="00972E4D"/>
    <w:rsid w:val="009742B9"/>
    <w:rsid w:val="0097504B"/>
    <w:rsid w:val="00975534"/>
    <w:rsid w:val="009772F2"/>
    <w:rsid w:val="0097782F"/>
    <w:rsid w:val="00980F28"/>
    <w:rsid w:val="00981DB9"/>
    <w:rsid w:val="00982559"/>
    <w:rsid w:val="00983A75"/>
    <w:rsid w:val="00983BA9"/>
    <w:rsid w:val="00984E93"/>
    <w:rsid w:val="00984EFD"/>
    <w:rsid w:val="009861EE"/>
    <w:rsid w:val="00986568"/>
    <w:rsid w:val="00986FAE"/>
    <w:rsid w:val="00987096"/>
    <w:rsid w:val="00987404"/>
    <w:rsid w:val="009878E4"/>
    <w:rsid w:val="00987D80"/>
    <w:rsid w:val="009907DA"/>
    <w:rsid w:val="00991C8E"/>
    <w:rsid w:val="00993369"/>
    <w:rsid w:val="009946FE"/>
    <w:rsid w:val="00995772"/>
    <w:rsid w:val="00995EB3"/>
    <w:rsid w:val="00997814"/>
    <w:rsid w:val="009A1350"/>
    <w:rsid w:val="009A1A9D"/>
    <w:rsid w:val="009A50BA"/>
    <w:rsid w:val="009A694C"/>
    <w:rsid w:val="009A7D22"/>
    <w:rsid w:val="009B0277"/>
    <w:rsid w:val="009B06A9"/>
    <w:rsid w:val="009B0753"/>
    <w:rsid w:val="009B0D95"/>
    <w:rsid w:val="009B2F2D"/>
    <w:rsid w:val="009B3817"/>
    <w:rsid w:val="009B38F1"/>
    <w:rsid w:val="009B3F97"/>
    <w:rsid w:val="009B41CE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3B85"/>
    <w:rsid w:val="009C56A7"/>
    <w:rsid w:val="009C67CB"/>
    <w:rsid w:val="009D02EA"/>
    <w:rsid w:val="009D3EB8"/>
    <w:rsid w:val="009D3F42"/>
    <w:rsid w:val="009D5D3E"/>
    <w:rsid w:val="009D6952"/>
    <w:rsid w:val="009E053C"/>
    <w:rsid w:val="009E0EB0"/>
    <w:rsid w:val="009E1044"/>
    <w:rsid w:val="009E2D3E"/>
    <w:rsid w:val="009E2EED"/>
    <w:rsid w:val="009E38CC"/>
    <w:rsid w:val="009E6DB3"/>
    <w:rsid w:val="009F03FC"/>
    <w:rsid w:val="009F36A9"/>
    <w:rsid w:val="009F3A4D"/>
    <w:rsid w:val="009F3B76"/>
    <w:rsid w:val="009F4418"/>
    <w:rsid w:val="009F5A7B"/>
    <w:rsid w:val="009F67D9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5AA6"/>
    <w:rsid w:val="00A172F7"/>
    <w:rsid w:val="00A176D8"/>
    <w:rsid w:val="00A200B0"/>
    <w:rsid w:val="00A2222E"/>
    <w:rsid w:val="00A22867"/>
    <w:rsid w:val="00A23FFC"/>
    <w:rsid w:val="00A243FE"/>
    <w:rsid w:val="00A24B13"/>
    <w:rsid w:val="00A254FE"/>
    <w:rsid w:val="00A2579A"/>
    <w:rsid w:val="00A2640C"/>
    <w:rsid w:val="00A266DC"/>
    <w:rsid w:val="00A271E6"/>
    <w:rsid w:val="00A27481"/>
    <w:rsid w:val="00A31133"/>
    <w:rsid w:val="00A311E7"/>
    <w:rsid w:val="00A31464"/>
    <w:rsid w:val="00A31B12"/>
    <w:rsid w:val="00A31CBF"/>
    <w:rsid w:val="00A343C8"/>
    <w:rsid w:val="00A34787"/>
    <w:rsid w:val="00A34ABB"/>
    <w:rsid w:val="00A34DC1"/>
    <w:rsid w:val="00A35F4A"/>
    <w:rsid w:val="00A36BC3"/>
    <w:rsid w:val="00A3764B"/>
    <w:rsid w:val="00A42B0F"/>
    <w:rsid w:val="00A42F0A"/>
    <w:rsid w:val="00A44A5E"/>
    <w:rsid w:val="00A45343"/>
    <w:rsid w:val="00A4710F"/>
    <w:rsid w:val="00A5011A"/>
    <w:rsid w:val="00A509B0"/>
    <w:rsid w:val="00A52BD5"/>
    <w:rsid w:val="00A534BD"/>
    <w:rsid w:val="00A54168"/>
    <w:rsid w:val="00A55E60"/>
    <w:rsid w:val="00A563B7"/>
    <w:rsid w:val="00A56AD7"/>
    <w:rsid w:val="00A577BA"/>
    <w:rsid w:val="00A57BCB"/>
    <w:rsid w:val="00A60D9E"/>
    <w:rsid w:val="00A62762"/>
    <w:rsid w:val="00A62DD2"/>
    <w:rsid w:val="00A6439C"/>
    <w:rsid w:val="00A6448D"/>
    <w:rsid w:val="00A64744"/>
    <w:rsid w:val="00A66DD1"/>
    <w:rsid w:val="00A671C3"/>
    <w:rsid w:val="00A673F2"/>
    <w:rsid w:val="00A679FB"/>
    <w:rsid w:val="00A70768"/>
    <w:rsid w:val="00A73FC3"/>
    <w:rsid w:val="00A73FD7"/>
    <w:rsid w:val="00A74F46"/>
    <w:rsid w:val="00A75109"/>
    <w:rsid w:val="00A75E9E"/>
    <w:rsid w:val="00A76A73"/>
    <w:rsid w:val="00A77330"/>
    <w:rsid w:val="00A811BA"/>
    <w:rsid w:val="00A812C6"/>
    <w:rsid w:val="00A81882"/>
    <w:rsid w:val="00A81CCE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5831"/>
    <w:rsid w:val="00A979EB"/>
    <w:rsid w:val="00AA02F4"/>
    <w:rsid w:val="00AA07FE"/>
    <w:rsid w:val="00AA0D50"/>
    <w:rsid w:val="00AA276B"/>
    <w:rsid w:val="00AA2E6D"/>
    <w:rsid w:val="00AA4B73"/>
    <w:rsid w:val="00AA5433"/>
    <w:rsid w:val="00AA661E"/>
    <w:rsid w:val="00AB011E"/>
    <w:rsid w:val="00AB106F"/>
    <w:rsid w:val="00AB1EDC"/>
    <w:rsid w:val="00AB38CF"/>
    <w:rsid w:val="00AB3E7A"/>
    <w:rsid w:val="00AB6D48"/>
    <w:rsid w:val="00AB7C96"/>
    <w:rsid w:val="00AC07F5"/>
    <w:rsid w:val="00AC1718"/>
    <w:rsid w:val="00AC5082"/>
    <w:rsid w:val="00AC674C"/>
    <w:rsid w:val="00AC6BE5"/>
    <w:rsid w:val="00AC6C39"/>
    <w:rsid w:val="00AC7820"/>
    <w:rsid w:val="00AC7A54"/>
    <w:rsid w:val="00AD1260"/>
    <w:rsid w:val="00AD18D1"/>
    <w:rsid w:val="00AD2F6A"/>
    <w:rsid w:val="00AD3CDD"/>
    <w:rsid w:val="00AD42D3"/>
    <w:rsid w:val="00AD462A"/>
    <w:rsid w:val="00AD4B1A"/>
    <w:rsid w:val="00AD797F"/>
    <w:rsid w:val="00AD7B82"/>
    <w:rsid w:val="00AE149D"/>
    <w:rsid w:val="00AE21D2"/>
    <w:rsid w:val="00AE567A"/>
    <w:rsid w:val="00AE59C7"/>
    <w:rsid w:val="00AE5EFD"/>
    <w:rsid w:val="00AE5FFC"/>
    <w:rsid w:val="00AE61B4"/>
    <w:rsid w:val="00AE626B"/>
    <w:rsid w:val="00AE65D3"/>
    <w:rsid w:val="00AE7626"/>
    <w:rsid w:val="00AE7F93"/>
    <w:rsid w:val="00AF0214"/>
    <w:rsid w:val="00AF07A0"/>
    <w:rsid w:val="00AF07CA"/>
    <w:rsid w:val="00AF12EA"/>
    <w:rsid w:val="00AF15C4"/>
    <w:rsid w:val="00AF2A0A"/>
    <w:rsid w:val="00AF3329"/>
    <w:rsid w:val="00AF3592"/>
    <w:rsid w:val="00AF3E19"/>
    <w:rsid w:val="00AF43A6"/>
    <w:rsid w:val="00AF4EBC"/>
    <w:rsid w:val="00AF587F"/>
    <w:rsid w:val="00AF5F4C"/>
    <w:rsid w:val="00B00955"/>
    <w:rsid w:val="00B00A18"/>
    <w:rsid w:val="00B0183B"/>
    <w:rsid w:val="00B034CB"/>
    <w:rsid w:val="00B03A3A"/>
    <w:rsid w:val="00B0620E"/>
    <w:rsid w:val="00B10561"/>
    <w:rsid w:val="00B10906"/>
    <w:rsid w:val="00B1111F"/>
    <w:rsid w:val="00B12B07"/>
    <w:rsid w:val="00B148AC"/>
    <w:rsid w:val="00B14D7D"/>
    <w:rsid w:val="00B17028"/>
    <w:rsid w:val="00B170FB"/>
    <w:rsid w:val="00B213E2"/>
    <w:rsid w:val="00B23D5B"/>
    <w:rsid w:val="00B23D87"/>
    <w:rsid w:val="00B23DD2"/>
    <w:rsid w:val="00B24881"/>
    <w:rsid w:val="00B251E0"/>
    <w:rsid w:val="00B2671A"/>
    <w:rsid w:val="00B30EF3"/>
    <w:rsid w:val="00B30FB8"/>
    <w:rsid w:val="00B3301A"/>
    <w:rsid w:val="00B338CE"/>
    <w:rsid w:val="00B34C15"/>
    <w:rsid w:val="00B352FE"/>
    <w:rsid w:val="00B35733"/>
    <w:rsid w:val="00B35841"/>
    <w:rsid w:val="00B36094"/>
    <w:rsid w:val="00B36ACC"/>
    <w:rsid w:val="00B41EC4"/>
    <w:rsid w:val="00B425DB"/>
    <w:rsid w:val="00B4314E"/>
    <w:rsid w:val="00B43A5B"/>
    <w:rsid w:val="00B43C18"/>
    <w:rsid w:val="00B4561F"/>
    <w:rsid w:val="00B45BAC"/>
    <w:rsid w:val="00B472A9"/>
    <w:rsid w:val="00B505FC"/>
    <w:rsid w:val="00B50E12"/>
    <w:rsid w:val="00B527F5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0C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58AC"/>
    <w:rsid w:val="00B767D1"/>
    <w:rsid w:val="00B76DAF"/>
    <w:rsid w:val="00B8029F"/>
    <w:rsid w:val="00B80316"/>
    <w:rsid w:val="00B81E46"/>
    <w:rsid w:val="00B82962"/>
    <w:rsid w:val="00B82BD2"/>
    <w:rsid w:val="00B83108"/>
    <w:rsid w:val="00B8314E"/>
    <w:rsid w:val="00B83870"/>
    <w:rsid w:val="00B86C7A"/>
    <w:rsid w:val="00B90900"/>
    <w:rsid w:val="00B90EC8"/>
    <w:rsid w:val="00B919F3"/>
    <w:rsid w:val="00B91CFC"/>
    <w:rsid w:val="00B94D5C"/>
    <w:rsid w:val="00B95699"/>
    <w:rsid w:val="00B95D24"/>
    <w:rsid w:val="00B95DEB"/>
    <w:rsid w:val="00B96429"/>
    <w:rsid w:val="00B97262"/>
    <w:rsid w:val="00BA0BC1"/>
    <w:rsid w:val="00BA0CAA"/>
    <w:rsid w:val="00BA187D"/>
    <w:rsid w:val="00BA32B4"/>
    <w:rsid w:val="00BA4344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EBB"/>
    <w:rsid w:val="00BB27FB"/>
    <w:rsid w:val="00BB2D4D"/>
    <w:rsid w:val="00BB320C"/>
    <w:rsid w:val="00BB45D4"/>
    <w:rsid w:val="00BB524C"/>
    <w:rsid w:val="00BB53F0"/>
    <w:rsid w:val="00BB69FA"/>
    <w:rsid w:val="00BB74D3"/>
    <w:rsid w:val="00BB7A6E"/>
    <w:rsid w:val="00BC0E6E"/>
    <w:rsid w:val="00BC0FE9"/>
    <w:rsid w:val="00BC1365"/>
    <w:rsid w:val="00BC14FC"/>
    <w:rsid w:val="00BC1EC4"/>
    <w:rsid w:val="00BC235C"/>
    <w:rsid w:val="00BC3328"/>
    <w:rsid w:val="00BC3CC2"/>
    <w:rsid w:val="00BC5E04"/>
    <w:rsid w:val="00BC6467"/>
    <w:rsid w:val="00BC7162"/>
    <w:rsid w:val="00BC7854"/>
    <w:rsid w:val="00BD0800"/>
    <w:rsid w:val="00BD2CD4"/>
    <w:rsid w:val="00BD42BD"/>
    <w:rsid w:val="00BE0297"/>
    <w:rsid w:val="00BE3FB9"/>
    <w:rsid w:val="00BE4EC3"/>
    <w:rsid w:val="00BE5F3D"/>
    <w:rsid w:val="00BE61DE"/>
    <w:rsid w:val="00BE629C"/>
    <w:rsid w:val="00BE6B12"/>
    <w:rsid w:val="00BE7508"/>
    <w:rsid w:val="00BE7AE7"/>
    <w:rsid w:val="00BF00F3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665"/>
    <w:rsid w:val="00BF6CF3"/>
    <w:rsid w:val="00BF6F0B"/>
    <w:rsid w:val="00BF7B32"/>
    <w:rsid w:val="00BF7D57"/>
    <w:rsid w:val="00C03BB7"/>
    <w:rsid w:val="00C0408E"/>
    <w:rsid w:val="00C05E09"/>
    <w:rsid w:val="00C06C4F"/>
    <w:rsid w:val="00C072CD"/>
    <w:rsid w:val="00C07805"/>
    <w:rsid w:val="00C07AA4"/>
    <w:rsid w:val="00C11553"/>
    <w:rsid w:val="00C1163D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1B0"/>
    <w:rsid w:val="00C2538D"/>
    <w:rsid w:val="00C25476"/>
    <w:rsid w:val="00C25AC6"/>
    <w:rsid w:val="00C26307"/>
    <w:rsid w:val="00C269BD"/>
    <w:rsid w:val="00C269D2"/>
    <w:rsid w:val="00C275CD"/>
    <w:rsid w:val="00C301B8"/>
    <w:rsid w:val="00C3123A"/>
    <w:rsid w:val="00C3145B"/>
    <w:rsid w:val="00C33175"/>
    <w:rsid w:val="00C340D4"/>
    <w:rsid w:val="00C35885"/>
    <w:rsid w:val="00C419A4"/>
    <w:rsid w:val="00C41C38"/>
    <w:rsid w:val="00C42FA5"/>
    <w:rsid w:val="00C434CE"/>
    <w:rsid w:val="00C44B09"/>
    <w:rsid w:val="00C454B0"/>
    <w:rsid w:val="00C45ABD"/>
    <w:rsid w:val="00C466BB"/>
    <w:rsid w:val="00C46D8C"/>
    <w:rsid w:val="00C475C7"/>
    <w:rsid w:val="00C47CC5"/>
    <w:rsid w:val="00C47D60"/>
    <w:rsid w:val="00C51C4A"/>
    <w:rsid w:val="00C52059"/>
    <w:rsid w:val="00C5317B"/>
    <w:rsid w:val="00C56250"/>
    <w:rsid w:val="00C576EB"/>
    <w:rsid w:val="00C57D54"/>
    <w:rsid w:val="00C6311E"/>
    <w:rsid w:val="00C63AD9"/>
    <w:rsid w:val="00C63E2F"/>
    <w:rsid w:val="00C63FC6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CFE"/>
    <w:rsid w:val="00C76AEE"/>
    <w:rsid w:val="00C76D47"/>
    <w:rsid w:val="00C835EE"/>
    <w:rsid w:val="00C83B8A"/>
    <w:rsid w:val="00C83C7B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AF5"/>
    <w:rsid w:val="00C93E91"/>
    <w:rsid w:val="00C94C2D"/>
    <w:rsid w:val="00C95A91"/>
    <w:rsid w:val="00C96224"/>
    <w:rsid w:val="00C96D1A"/>
    <w:rsid w:val="00C96E6F"/>
    <w:rsid w:val="00C97304"/>
    <w:rsid w:val="00C9740A"/>
    <w:rsid w:val="00C97998"/>
    <w:rsid w:val="00CA1C1B"/>
    <w:rsid w:val="00CA3C9F"/>
    <w:rsid w:val="00CA4585"/>
    <w:rsid w:val="00CA520C"/>
    <w:rsid w:val="00CA5236"/>
    <w:rsid w:val="00CA62EF"/>
    <w:rsid w:val="00CA6A0F"/>
    <w:rsid w:val="00CA6DC2"/>
    <w:rsid w:val="00CA6F44"/>
    <w:rsid w:val="00CA7556"/>
    <w:rsid w:val="00CB08E0"/>
    <w:rsid w:val="00CB0B39"/>
    <w:rsid w:val="00CB0F01"/>
    <w:rsid w:val="00CB1560"/>
    <w:rsid w:val="00CB1793"/>
    <w:rsid w:val="00CB253E"/>
    <w:rsid w:val="00CB3037"/>
    <w:rsid w:val="00CB399A"/>
    <w:rsid w:val="00CB46AD"/>
    <w:rsid w:val="00CB4736"/>
    <w:rsid w:val="00CB5C68"/>
    <w:rsid w:val="00CB6181"/>
    <w:rsid w:val="00CB7DF6"/>
    <w:rsid w:val="00CB7EC7"/>
    <w:rsid w:val="00CC01DE"/>
    <w:rsid w:val="00CC18A7"/>
    <w:rsid w:val="00CC6399"/>
    <w:rsid w:val="00CC744B"/>
    <w:rsid w:val="00CD0318"/>
    <w:rsid w:val="00CD138D"/>
    <w:rsid w:val="00CD1B17"/>
    <w:rsid w:val="00CD2687"/>
    <w:rsid w:val="00CD36E3"/>
    <w:rsid w:val="00CD3D98"/>
    <w:rsid w:val="00CD54CA"/>
    <w:rsid w:val="00CD5D1D"/>
    <w:rsid w:val="00CD65C5"/>
    <w:rsid w:val="00CD6FF0"/>
    <w:rsid w:val="00CD7243"/>
    <w:rsid w:val="00CD7941"/>
    <w:rsid w:val="00CE03E5"/>
    <w:rsid w:val="00CE0D7A"/>
    <w:rsid w:val="00CE155B"/>
    <w:rsid w:val="00CE1FF8"/>
    <w:rsid w:val="00CE2BF3"/>
    <w:rsid w:val="00CE482A"/>
    <w:rsid w:val="00CE51C1"/>
    <w:rsid w:val="00CE5E31"/>
    <w:rsid w:val="00CE65B5"/>
    <w:rsid w:val="00CE6F8F"/>
    <w:rsid w:val="00CF0412"/>
    <w:rsid w:val="00CF0738"/>
    <w:rsid w:val="00CF1143"/>
    <w:rsid w:val="00CF34F1"/>
    <w:rsid w:val="00CF3914"/>
    <w:rsid w:val="00CF442D"/>
    <w:rsid w:val="00CF5041"/>
    <w:rsid w:val="00CF6754"/>
    <w:rsid w:val="00CF6ADD"/>
    <w:rsid w:val="00CF702B"/>
    <w:rsid w:val="00CF7FF7"/>
    <w:rsid w:val="00D0177B"/>
    <w:rsid w:val="00D02335"/>
    <w:rsid w:val="00D0324A"/>
    <w:rsid w:val="00D054C8"/>
    <w:rsid w:val="00D056F9"/>
    <w:rsid w:val="00D061E9"/>
    <w:rsid w:val="00D068BC"/>
    <w:rsid w:val="00D06B76"/>
    <w:rsid w:val="00D06DF9"/>
    <w:rsid w:val="00D073BD"/>
    <w:rsid w:val="00D0747A"/>
    <w:rsid w:val="00D07DBF"/>
    <w:rsid w:val="00D105F3"/>
    <w:rsid w:val="00D111F2"/>
    <w:rsid w:val="00D1163C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22D6B"/>
    <w:rsid w:val="00D25230"/>
    <w:rsid w:val="00D27483"/>
    <w:rsid w:val="00D31D95"/>
    <w:rsid w:val="00D328B4"/>
    <w:rsid w:val="00D328E9"/>
    <w:rsid w:val="00D33066"/>
    <w:rsid w:val="00D36EDC"/>
    <w:rsid w:val="00D37225"/>
    <w:rsid w:val="00D40C15"/>
    <w:rsid w:val="00D4229D"/>
    <w:rsid w:val="00D42CC5"/>
    <w:rsid w:val="00D451B7"/>
    <w:rsid w:val="00D45249"/>
    <w:rsid w:val="00D46BB0"/>
    <w:rsid w:val="00D46E8C"/>
    <w:rsid w:val="00D472C0"/>
    <w:rsid w:val="00D47AB1"/>
    <w:rsid w:val="00D51EAA"/>
    <w:rsid w:val="00D5226B"/>
    <w:rsid w:val="00D5266F"/>
    <w:rsid w:val="00D535B4"/>
    <w:rsid w:val="00D53C91"/>
    <w:rsid w:val="00D54114"/>
    <w:rsid w:val="00D549FD"/>
    <w:rsid w:val="00D54BED"/>
    <w:rsid w:val="00D557B3"/>
    <w:rsid w:val="00D56730"/>
    <w:rsid w:val="00D60ABB"/>
    <w:rsid w:val="00D62372"/>
    <w:rsid w:val="00D63114"/>
    <w:rsid w:val="00D6375C"/>
    <w:rsid w:val="00D64387"/>
    <w:rsid w:val="00D650C8"/>
    <w:rsid w:val="00D65790"/>
    <w:rsid w:val="00D67EC8"/>
    <w:rsid w:val="00D70437"/>
    <w:rsid w:val="00D72B88"/>
    <w:rsid w:val="00D7389F"/>
    <w:rsid w:val="00D73F93"/>
    <w:rsid w:val="00D74E7A"/>
    <w:rsid w:val="00D75D39"/>
    <w:rsid w:val="00D75F0D"/>
    <w:rsid w:val="00D7668C"/>
    <w:rsid w:val="00D76725"/>
    <w:rsid w:val="00D76AAD"/>
    <w:rsid w:val="00D80BAC"/>
    <w:rsid w:val="00D80C7E"/>
    <w:rsid w:val="00D82301"/>
    <w:rsid w:val="00D84F94"/>
    <w:rsid w:val="00D853F5"/>
    <w:rsid w:val="00D85500"/>
    <w:rsid w:val="00D85C60"/>
    <w:rsid w:val="00D864B4"/>
    <w:rsid w:val="00D905D1"/>
    <w:rsid w:val="00D9081D"/>
    <w:rsid w:val="00D90970"/>
    <w:rsid w:val="00D92190"/>
    <w:rsid w:val="00D927E8"/>
    <w:rsid w:val="00D93AB4"/>
    <w:rsid w:val="00D93B35"/>
    <w:rsid w:val="00D94756"/>
    <w:rsid w:val="00D95111"/>
    <w:rsid w:val="00D95866"/>
    <w:rsid w:val="00D96C7A"/>
    <w:rsid w:val="00D96EBC"/>
    <w:rsid w:val="00D97017"/>
    <w:rsid w:val="00D97AE3"/>
    <w:rsid w:val="00DA06FD"/>
    <w:rsid w:val="00DA0ACA"/>
    <w:rsid w:val="00DA0AF1"/>
    <w:rsid w:val="00DA300E"/>
    <w:rsid w:val="00DA5479"/>
    <w:rsid w:val="00DB0B93"/>
    <w:rsid w:val="00DB1D4C"/>
    <w:rsid w:val="00DB23EA"/>
    <w:rsid w:val="00DB290B"/>
    <w:rsid w:val="00DB368B"/>
    <w:rsid w:val="00DB4185"/>
    <w:rsid w:val="00DB4641"/>
    <w:rsid w:val="00DB4AFA"/>
    <w:rsid w:val="00DB5C6A"/>
    <w:rsid w:val="00DB5CFD"/>
    <w:rsid w:val="00DB5F58"/>
    <w:rsid w:val="00DB676B"/>
    <w:rsid w:val="00DB789C"/>
    <w:rsid w:val="00DC1CDF"/>
    <w:rsid w:val="00DC33B0"/>
    <w:rsid w:val="00DC59FF"/>
    <w:rsid w:val="00DC7724"/>
    <w:rsid w:val="00DD0097"/>
    <w:rsid w:val="00DD0E31"/>
    <w:rsid w:val="00DD12B2"/>
    <w:rsid w:val="00DD17E4"/>
    <w:rsid w:val="00DD2DE9"/>
    <w:rsid w:val="00DD3253"/>
    <w:rsid w:val="00DD3325"/>
    <w:rsid w:val="00DD34DC"/>
    <w:rsid w:val="00DD388F"/>
    <w:rsid w:val="00DD39E6"/>
    <w:rsid w:val="00DD430C"/>
    <w:rsid w:val="00DD5737"/>
    <w:rsid w:val="00DD6B83"/>
    <w:rsid w:val="00DE0831"/>
    <w:rsid w:val="00DE0F87"/>
    <w:rsid w:val="00DE1254"/>
    <w:rsid w:val="00DE1487"/>
    <w:rsid w:val="00DE2A44"/>
    <w:rsid w:val="00DE3475"/>
    <w:rsid w:val="00DE5197"/>
    <w:rsid w:val="00DE63EE"/>
    <w:rsid w:val="00DE744A"/>
    <w:rsid w:val="00DF1834"/>
    <w:rsid w:val="00DF292B"/>
    <w:rsid w:val="00DF29A7"/>
    <w:rsid w:val="00DF3169"/>
    <w:rsid w:val="00DF3C9A"/>
    <w:rsid w:val="00DF3DA6"/>
    <w:rsid w:val="00DF69E3"/>
    <w:rsid w:val="00E01091"/>
    <w:rsid w:val="00E01F5D"/>
    <w:rsid w:val="00E021F2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3380"/>
    <w:rsid w:val="00E14C5E"/>
    <w:rsid w:val="00E158A2"/>
    <w:rsid w:val="00E16F3B"/>
    <w:rsid w:val="00E17069"/>
    <w:rsid w:val="00E17F52"/>
    <w:rsid w:val="00E21602"/>
    <w:rsid w:val="00E21875"/>
    <w:rsid w:val="00E23249"/>
    <w:rsid w:val="00E24D5D"/>
    <w:rsid w:val="00E25495"/>
    <w:rsid w:val="00E26640"/>
    <w:rsid w:val="00E26A11"/>
    <w:rsid w:val="00E31FB3"/>
    <w:rsid w:val="00E32F69"/>
    <w:rsid w:val="00E33C1B"/>
    <w:rsid w:val="00E33EDE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0176"/>
    <w:rsid w:val="00E51DBA"/>
    <w:rsid w:val="00E52A6C"/>
    <w:rsid w:val="00E53FE9"/>
    <w:rsid w:val="00E55BA7"/>
    <w:rsid w:val="00E56447"/>
    <w:rsid w:val="00E56B0C"/>
    <w:rsid w:val="00E61000"/>
    <w:rsid w:val="00E61903"/>
    <w:rsid w:val="00E61F93"/>
    <w:rsid w:val="00E62A03"/>
    <w:rsid w:val="00E6461D"/>
    <w:rsid w:val="00E6667B"/>
    <w:rsid w:val="00E66731"/>
    <w:rsid w:val="00E66955"/>
    <w:rsid w:val="00E7080A"/>
    <w:rsid w:val="00E70B47"/>
    <w:rsid w:val="00E710E1"/>
    <w:rsid w:val="00E7216C"/>
    <w:rsid w:val="00E757B8"/>
    <w:rsid w:val="00E803E5"/>
    <w:rsid w:val="00E81232"/>
    <w:rsid w:val="00E820CA"/>
    <w:rsid w:val="00E84501"/>
    <w:rsid w:val="00E85083"/>
    <w:rsid w:val="00E85A73"/>
    <w:rsid w:val="00E8611B"/>
    <w:rsid w:val="00E863A4"/>
    <w:rsid w:val="00E86505"/>
    <w:rsid w:val="00E86887"/>
    <w:rsid w:val="00E868A5"/>
    <w:rsid w:val="00E87286"/>
    <w:rsid w:val="00E87D0B"/>
    <w:rsid w:val="00E90226"/>
    <w:rsid w:val="00E908F5"/>
    <w:rsid w:val="00E917B2"/>
    <w:rsid w:val="00E92267"/>
    <w:rsid w:val="00E924B0"/>
    <w:rsid w:val="00E926AC"/>
    <w:rsid w:val="00E929AB"/>
    <w:rsid w:val="00E92CC2"/>
    <w:rsid w:val="00E9312D"/>
    <w:rsid w:val="00E9572B"/>
    <w:rsid w:val="00E957BA"/>
    <w:rsid w:val="00E96509"/>
    <w:rsid w:val="00E97BBC"/>
    <w:rsid w:val="00E97EB6"/>
    <w:rsid w:val="00EA1145"/>
    <w:rsid w:val="00EA1525"/>
    <w:rsid w:val="00EA35AE"/>
    <w:rsid w:val="00EA3D31"/>
    <w:rsid w:val="00EA474F"/>
    <w:rsid w:val="00EA4A65"/>
    <w:rsid w:val="00EA7357"/>
    <w:rsid w:val="00EB262B"/>
    <w:rsid w:val="00EB30DA"/>
    <w:rsid w:val="00EB3F0D"/>
    <w:rsid w:val="00EB4849"/>
    <w:rsid w:val="00EB4FBD"/>
    <w:rsid w:val="00EB57EC"/>
    <w:rsid w:val="00EB5C09"/>
    <w:rsid w:val="00EB6D1B"/>
    <w:rsid w:val="00EB6DFF"/>
    <w:rsid w:val="00EB6E83"/>
    <w:rsid w:val="00EC114E"/>
    <w:rsid w:val="00EC1EFB"/>
    <w:rsid w:val="00EC24FA"/>
    <w:rsid w:val="00EC361F"/>
    <w:rsid w:val="00EC3A92"/>
    <w:rsid w:val="00EC5E6D"/>
    <w:rsid w:val="00EC6A71"/>
    <w:rsid w:val="00EC6B50"/>
    <w:rsid w:val="00EC6F73"/>
    <w:rsid w:val="00EC7346"/>
    <w:rsid w:val="00EC79DD"/>
    <w:rsid w:val="00ED0BDA"/>
    <w:rsid w:val="00ED1C87"/>
    <w:rsid w:val="00ED3E5B"/>
    <w:rsid w:val="00ED4C95"/>
    <w:rsid w:val="00ED4DE2"/>
    <w:rsid w:val="00ED66C5"/>
    <w:rsid w:val="00EE1330"/>
    <w:rsid w:val="00EE4B74"/>
    <w:rsid w:val="00EE54B4"/>
    <w:rsid w:val="00EE6FD7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01"/>
    <w:rsid w:val="00F045B3"/>
    <w:rsid w:val="00F04A98"/>
    <w:rsid w:val="00F04D6C"/>
    <w:rsid w:val="00F04D93"/>
    <w:rsid w:val="00F0531D"/>
    <w:rsid w:val="00F06E4F"/>
    <w:rsid w:val="00F06F1E"/>
    <w:rsid w:val="00F07354"/>
    <w:rsid w:val="00F07B63"/>
    <w:rsid w:val="00F108FE"/>
    <w:rsid w:val="00F109C8"/>
    <w:rsid w:val="00F10F30"/>
    <w:rsid w:val="00F11857"/>
    <w:rsid w:val="00F118A8"/>
    <w:rsid w:val="00F11F91"/>
    <w:rsid w:val="00F11FCB"/>
    <w:rsid w:val="00F12F88"/>
    <w:rsid w:val="00F13492"/>
    <w:rsid w:val="00F14A56"/>
    <w:rsid w:val="00F15A31"/>
    <w:rsid w:val="00F1633C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27C38"/>
    <w:rsid w:val="00F31A48"/>
    <w:rsid w:val="00F31E4D"/>
    <w:rsid w:val="00F320FA"/>
    <w:rsid w:val="00F32AE4"/>
    <w:rsid w:val="00F33FAA"/>
    <w:rsid w:val="00F34FE1"/>
    <w:rsid w:val="00F352AA"/>
    <w:rsid w:val="00F3588B"/>
    <w:rsid w:val="00F36300"/>
    <w:rsid w:val="00F37628"/>
    <w:rsid w:val="00F4109E"/>
    <w:rsid w:val="00F43577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FF5"/>
    <w:rsid w:val="00F544D1"/>
    <w:rsid w:val="00F5454F"/>
    <w:rsid w:val="00F54BF4"/>
    <w:rsid w:val="00F5681C"/>
    <w:rsid w:val="00F56B22"/>
    <w:rsid w:val="00F57558"/>
    <w:rsid w:val="00F60692"/>
    <w:rsid w:val="00F60767"/>
    <w:rsid w:val="00F60D60"/>
    <w:rsid w:val="00F611AF"/>
    <w:rsid w:val="00F620C5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4F9"/>
    <w:rsid w:val="00F74C70"/>
    <w:rsid w:val="00F75641"/>
    <w:rsid w:val="00F75F50"/>
    <w:rsid w:val="00F76082"/>
    <w:rsid w:val="00F76C2E"/>
    <w:rsid w:val="00F80D9B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10F"/>
    <w:rsid w:val="00FA5C63"/>
    <w:rsid w:val="00FB0543"/>
    <w:rsid w:val="00FB1138"/>
    <w:rsid w:val="00FB25DA"/>
    <w:rsid w:val="00FB3844"/>
    <w:rsid w:val="00FB45BC"/>
    <w:rsid w:val="00FB55A5"/>
    <w:rsid w:val="00FB645A"/>
    <w:rsid w:val="00FB721E"/>
    <w:rsid w:val="00FC0659"/>
    <w:rsid w:val="00FC31A3"/>
    <w:rsid w:val="00FC3FDD"/>
    <w:rsid w:val="00FC511F"/>
    <w:rsid w:val="00FC53D8"/>
    <w:rsid w:val="00FC58BE"/>
    <w:rsid w:val="00FC6779"/>
    <w:rsid w:val="00FC6CD3"/>
    <w:rsid w:val="00FD1440"/>
    <w:rsid w:val="00FD2647"/>
    <w:rsid w:val="00FD2A2E"/>
    <w:rsid w:val="00FD3369"/>
    <w:rsid w:val="00FD3765"/>
    <w:rsid w:val="00FD5E87"/>
    <w:rsid w:val="00FD7649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F044F"/>
    <w:rsid w:val="00FF16D1"/>
    <w:rsid w:val="00FF2DCC"/>
    <w:rsid w:val="00FF6043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IWG+Worn+Tyres+Session+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GIzNWUzYzktMDBlMC00NWRkLWIyNTItOGY5NWU2NGNiZjVm%40thread.v2/0?context=%7b%22Tid%22%3a%220a059498-0e48-4cd6-9486-261f37097265%22%2c%22Oid%22%3a%2286ffda28-54bf-46cb-8307-ac4eaeeea850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mFjNjEzNTAtZmU1YS00ZjgyLTkyMTEtYWUwYTQyOWVlMDQ1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2</cp:revision>
  <cp:lastPrinted>2020-03-04T12:50:00Z</cp:lastPrinted>
  <dcterms:created xsi:type="dcterms:W3CDTF">2022-01-25T08:50:00Z</dcterms:created>
  <dcterms:modified xsi:type="dcterms:W3CDTF">2022-01-25T08:50:00Z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