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2FEE" w14:textId="77777777" w:rsidR="00C93772" w:rsidRDefault="009A6EC7">
      <w:pPr>
        <w:rPr>
          <w:lang w:val="en-GB"/>
        </w:rPr>
      </w:pPr>
      <w:r>
        <w:rPr>
          <w:lang w:val="en-GB"/>
        </w:rPr>
        <w:t>Proposal immunity testing up to 6GHz – Antenna positions</w:t>
      </w:r>
    </w:p>
    <w:p w14:paraId="0862A551" w14:textId="77777777" w:rsidR="009A6EC7" w:rsidRDefault="009A6EC7">
      <w:pPr>
        <w:rPr>
          <w:lang w:val="en-GB"/>
        </w:rPr>
      </w:pPr>
    </w:p>
    <w:p w14:paraId="4B6CBE9C" w14:textId="77777777" w:rsidR="00963257" w:rsidRDefault="00963257">
      <w:pPr>
        <w:rPr>
          <w:lang w:val="en-GB"/>
        </w:rPr>
      </w:pPr>
      <w:r>
        <w:rPr>
          <w:lang w:val="en-GB"/>
        </w:rPr>
        <w:t>The ISO11451-2 Par 8.1 already states:</w:t>
      </w:r>
    </w:p>
    <w:p w14:paraId="25D94AA1" w14:textId="77777777" w:rsidR="00963257" w:rsidRDefault="00963257" w:rsidP="00963257">
      <w:pPr>
        <w:jc w:val="center"/>
        <w:rPr>
          <w:lang w:val="en-GB"/>
        </w:rPr>
      </w:pPr>
      <w:r>
        <w:rPr>
          <w:lang w:val="en-GB"/>
        </w:rPr>
        <w:t>“Additional vehicle positions, antenna locations or both could be needed to ensure complete illumination of the vehicle owing to the narrow beam widths of high- frequency antennas.”</w:t>
      </w:r>
    </w:p>
    <w:p w14:paraId="1C10C1CE" w14:textId="77777777" w:rsidR="00963257" w:rsidRDefault="00963257">
      <w:pPr>
        <w:rPr>
          <w:lang w:val="en-GB"/>
        </w:rPr>
      </w:pPr>
    </w:p>
    <w:p w14:paraId="49E7C1F8" w14:textId="77777777" w:rsidR="00963257" w:rsidRDefault="00963257">
      <w:pPr>
        <w:rPr>
          <w:lang w:val="en-GB"/>
        </w:rPr>
      </w:pPr>
      <w:r>
        <w:rPr>
          <w:lang w:val="en-GB"/>
        </w:rPr>
        <w:t>An emphasis can be added to R10 like:</w:t>
      </w:r>
    </w:p>
    <w:p w14:paraId="5B092188" w14:textId="77777777" w:rsidR="00963257" w:rsidRDefault="00963257" w:rsidP="009A6EC7">
      <w:pPr>
        <w:rPr>
          <w:lang w:val="en-GB"/>
        </w:rPr>
      </w:pPr>
    </w:p>
    <w:p w14:paraId="08584177" w14:textId="77777777" w:rsidR="009A6EC7" w:rsidRPr="009A6EC7" w:rsidRDefault="00963257" w:rsidP="009A6EC7">
      <w:pPr>
        <w:rPr>
          <w:lang w:val="en-GB"/>
        </w:rPr>
      </w:pPr>
      <w:r w:rsidRPr="009A6EC7">
        <w:rPr>
          <w:lang w:val="en-GB"/>
        </w:rPr>
        <w:t>Definition</w:t>
      </w:r>
      <w:r w:rsidR="009A6EC7" w:rsidRPr="009A6EC7">
        <w:rPr>
          <w:lang w:val="en-GB"/>
        </w:rPr>
        <w:t xml:space="preserve">: </w:t>
      </w:r>
      <w:r w:rsidR="009A6EC7" w:rsidRPr="009A6EC7">
        <w:rPr>
          <w:i/>
          <w:lang w:val="en-GB"/>
        </w:rPr>
        <w:t>Immunity related areas</w:t>
      </w:r>
      <w:r w:rsidR="009A6EC7" w:rsidRPr="009A6EC7">
        <w:rPr>
          <w:lang w:val="en-GB"/>
        </w:rPr>
        <w:t>: Areas where electronic control units with immunity related functions and the associated wiring harness are situated.</w:t>
      </w:r>
    </w:p>
    <w:p w14:paraId="3CD42AA7" w14:textId="77777777" w:rsidR="009A6EC7" w:rsidRDefault="009A6EC7" w:rsidP="009A6EC7">
      <w:pPr>
        <w:rPr>
          <w:lang w:val="en-GB"/>
        </w:rPr>
      </w:pPr>
    </w:p>
    <w:p w14:paraId="327519E4" w14:textId="77777777" w:rsidR="009A6EC7" w:rsidRPr="009A6EC7" w:rsidRDefault="009A6EC7" w:rsidP="009A6EC7">
      <w:pPr>
        <w:rPr>
          <w:lang w:val="en-GB"/>
        </w:rPr>
      </w:pPr>
      <w:r>
        <w:rPr>
          <w:lang w:val="en-GB"/>
        </w:rPr>
        <w:t>Add following at end of par 5.1.3 of Annex 6</w:t>
      </w:r>
      <w:r w:rsidR="00963257">
        <w:rPr>
          <w:lang w:val="en-GB"/>
        </w:rPr>
        <w:t>:</w:t>
      </w:r>
    </w:p>
    <w:p w14:paraId="516F15C5" w14:textId="77777777" w:rsidR="009A6EC7" w:rsidRPr="009A6EC7" w:rsidRDefault="009A6EC7" w:rsidP="009A6EC7">
      <w:pPr>
        <w:rPr>
          <w:lang w:val="en-GB"/>
        </w:rPr>
      </w:pPr>
      <w:r>
        <w:rPr>
          <w:lang w:val="en-GB"/>
        </w:rPr>
        <w:t>T</w:t>
      </w:r>
      <w:r w:rsidRPr="009A6EC7">
        <w:rPr>
          <w:lang w:val="en-GB"/>
        </w:rPr>
        <w:t>he number of antenna positions and the position of the antenna with respect to the vehicle shall be documented in the test report.</w:t>
      </w:r>
    </w:p>
    <w:p w14:paraId="2DA30D85" w14:textId="77777777" w:rsidR="009A6EC7" w:rsidRPr="009A6EC7" w:rsidRDefault="009A6EC7" w:rsidP="009A6EC7">
      <w:pPr>
        <w:rPr>
          <w:lang w:val="en-GB"/>
        </w:rPr>
      </w:pPr>
      <w:r w:rsidRPr="009A6EC7">
        <w:rPr>
          <w:lang w:val="en-GB"/>
        </w:rPr>
        <w:t xml:space="preserve">- If the length of the </w:t>
      </w:r>
      <w:r>
        <w:rPr>
          <w:i/>
          <w:lang w:val="en-GB"/>
        </w:rPr>
        <w:t xml:space="preserve">Immunity related area </w:t>
      </w:r>
      <w:r w:rsidRPr="009A6EC7">
        <w:rPr>
          <w:lang w:val="en-GB"/>
        </w:rPr>
        <w:t>is smaller than the 3 dB beamwidth of the antenna, only one antenna position is necessary</w:t>
      </w:r>
      <w:r>
        <w:rPr>
          <w:lang w:val="en-GB"/>
        </w:rPr>
        <w:t xml:space="preserve"> at that point</w:t>
      </w:r>
      <w:r w:rsidRPr="009A6EC7">
        <w:rPr>
          <w:lang w:val="en-GB"/>
        </w:rPr>
        <w:t>. The antenna shall be aligned with the middle of th</w:t>
      </w:r>
      <w:r>
        <w:rPr>
          <w:lang w:val="en-GB"/>
        </w:rPr>
        <w:t>at</w:t>
      </w:r>
      <w:r w:rsidRPr="009A6EC7">
        <w:rPr>
          <w:lang w:val="en-GB"/>
        </w:rPr>
        <w:t xml:space="preserve"> </w:t>
      </w:r>
      <w:r>
        <w:rPr>
          <w:lang w:val="en-GB"/>
        </w:rPr>
        <w:t>area</w:t>
      </w:r>
      <w:r w:rsidRPr="009A6EC7">
        <w:rPr>
          <w:lang w:val="en-GB"/>
        </w:rPr>
        <w:t xml:space="preserve"> (see Figure 4);</w:t>
      </w:r>
    </w:p>
    <w:p w14:paraId="634A70D2" w14:textId="77777777" w:rsidR="009A6EC7" w:rsidRDefault="009A6EC7" w:rsidP="009A6EC7">
      <w:pPr>
        <w:rPr>
          <w:lang w:val="en-GB"/>
        </w:rPr>
      </w:pPr>
      <w:r w:rsidRPr="009A6EC7">
        <w:rPr>
          <w:lang w:val="en-GB"/>
        </w:rPr>
        <w:t xml:space="preserve">- If the length of the </w:t>
      </w:r>
      <w:r>
        <w:rPr>
          <w:i/>
          <w:lang w:val="en-GB"/>
        </w:rPr>
        <w:t>Immunity related area</w:t>
      </w:r>
      <w:r w:rsidRPr="009A6EC7">
        <w:rPr>
          <w:lang w:val="en-GB"/>
        </w:rPr>
        <w:t xml:space="preserve"> is greater than the 3 dB beamwidth of the antenna, multiple antenna positions are nece</w:t>
      </w:r>
      <w:r>
        <w:rPr>
          <w:lang w:val="en-GB"/>
        </w:rPr>
        <w:t xml:space="preserve">ssary in order to cover that area </w:t>
      </w:r>
      <w:r w:rsidRPr="009A6EC7">
        <w:rPr>
          <w:lang w:val="en-GB"/>
        </w:rPr>
        <w:t>(see Figure 5). The number of antenna positions shall allow to meet the following condition:</w:t>
      </w:r>
    </w:p>
    <w:p w14:paraId="39D70966" w14:textId="77777777" w:rsidR="00963257" w:rsidRPr="009A6EC7" w:rsidRDefault="00963257" w:rsidP="009A6EC7">
      <w:pPr>
        <w:rPr>
          <w:lang w:val="en-GB"/>
        </w:rPr>
      </w:pPr>
    </w:p>
    <w:p w14:paraId="0990511F" w14:textId="77777777" w:rsidR="009A6EC7" w:rsidRPr="00377B06" w:rsidRDefault="009A6EC7" w:rsidP="009A6EC7">
      <w:pPr>
        <w:pStyle w:val="PARAGRAPH"/>
        <w:tabs>
          <w:tab w:val="right" w:pos="9070"/>
        </w:tabs>
        <w:ind w:left="2160" w:firstLine="720"/>
      </w:pPr>
      <w:r w:rsidRPr="00377B06">
        <w:rPr>
          <w:position w:val="-10"/>
        </w:rPr>
        <w:object w:dxaOrig="1780" w:dyaOrig="300" w14:anchorId="6CBBC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15.6pt" o:ole="">
            <v:imagedata r:id="rId6" o:title=""/>
          </v:shape>
          <o:OLEObject Type="Embed" ProgID="Equation.3" ShapeID="_x0000_i1025" DrawAspect="Content" ObjectID="_1708448977" r:id="rId7"/>
        </w:object>
      </w:r>
      <w:r w:rsidRPr="00377B06">
        <w:t xml:space="preserve">   (1)</w:t>
      </w:r>
    </w:p>
    <w:p w14:paraId="0084B52F" w14:textId="77777777" w:rsidR="009A6EC7" w:rsidRPr="009A6EC7" w:rsidRDefault="009A6EC7" w:rsidP="009A6EC7">
      <w:pPr>
        <w:rPr>
          <w:lang w:val="en-GB"/>
        </w:rPr>
      </w:pPr>
    </w:p>
    <w:p w14:paraId="7E2771E9" w14:textId="77777777" w:rsidR="009A6EC7" w:rsidRPr="009A6EC7" w:rsidRDefault="009A6EC7" w:rsidP="009A6EC7">
      <w:pPr>
        <w:rPr>
          <w:lang w:val="en-GB"/>
        </w:rPr>
      </w:pPr>
      <w:r w:rsidRPr="009A6EC7">
        <w:rPr>
          <w:lang w:val="en-GB"/>
        </w:rPr>
        <w:t>With:</w:t>
      </w:r>
    </w:p>
    <w:p w14:paraId="4A49ED6F" w14:textId="77777777" w:rsidR="009A6EC7" w:rsidRPr="009A6EC7" w:rsidRDefault="009A6EC7" w:rsidP="009A6EC7">
      <w:pPr>
        <w:rPr>
          <w:lang w:val="en-GB"/>
        </w:rPr>
      </w:pPr>
      <w:r w:rsidRPr="009A6EC7">
        <w:rPr>
          <w:lang w:val="en-GB"/>
        </w:rPr>
        <w:t>N: Number of antenna positions;</w:t>
      </w:r>
    </w:p>
    <w:p w14:paraId="11268F06" w14:textId="77777777" w:rsidR="009A6EC7" w:rsidRPr="009A6EC7" w:rsidRDefault="009A6EC7" w:rsidP="009A6EC7">
      <w:pPr>
        <w:rPr>
          <w:lang w:val="en-GB"/>
        </w:rPr>
      </w:pPr>
      <w:r>
        <w:rPr>
          <w:lang w:val="en-GB"/>
        </w:rPr>
        <w:t>D: Antenna distance</w:t>
      </w:r>
      <w:r w:rsidRPr="009A6EC7">
        <w:rPr>
          <w:lang w:val="en-GB"/>
        </w:rPr>
        <w:t>;</w:t>
      </w:r>
    </w:p>
    <w:p w14:paraId="0F49888A" w14:textId="77777777" w:rsidR="009A6EC7" w:rsidRPr="009A6EC7" w:rsidRDefault="009A6EC7" w:rsidP="009A6EC7">
      <w:pPr>
        <w:rPr>
          <w:lang w:val="en-GB"/>
        </w:rPr>
      </w:pPr>
      <w:r w:rsidRPr="009A6EC7">
        <w:rPr>
          <w:lang w:val="en-GB"/>
        </w:rPr>
        <w:t>2</w:t>
      </w:r>
      <w:r w:rsidRPr="009A6EC7">
        <w:rPr>
          <w:lang w:val="en-GB"/>
        </w:rPr>
        <w:t>β: 3 dB antenna beamwidth angle in the pl</w:t>
      </w:r>
      <w:r>
        <w:rPr>
          <w:lang w:val="en-GB"/>
        </w:rPr>
        <w:t xml:space="preserve">ane parallel to ground (i.e. </w:t>
      </w:r>
      <w:r w:rsidRPr="009A6EC7">
        <w:rPr>
          <w:lang w:val="en-GB"/>
        </w:rPr>
        <w:t>the H-plane beamwidth angle when the antenna is used in vertical polarization);</w:t>
      </w:r>
    </w:p>
    <w:p w14:paraId="1307C1D2" w14:textId="77777777" w:rsidR="009A6EC7" w:rsidRPr="009A6EC7" w:rsidRDefault="009A6EC7" w:rsidP="009A6EC7">
      <w:pPr>
        <w:rPr>
          <w:lang w:val="en-GB"/>
        </w:rPr>
      </w:pPr>
      <w:r w:rsidRPr="009A6EC7">
        <w:rPr>
          <w:lang w:val="en-GB"/>
        </w:rPr>
        <w:t>L: Total length</w:t>
      </w:r>
      <w:r>
        <w:rPr>
          <w:lang w:val="en-GB"/>
        </w:rPr>
        <w:t xml:space="preserve"> of the Immunity related area</w:t>
      </w:r>
      <w:r w:rsidRPr="009A6EC7">
        <w:rPr>
          <w:lang w:val="en-GB"/>
        </w:rPr>
        <w:t>;</w:t>
      </w:r>
    </w:p>
    <w:p w14:paraId="2BA344CC" w14:textId="77777777" w:rsidR="009A6EC7" w:rsidRPr="009A6EC7" w:rsidRDefault="009A6EC7" w:rsidP="009A6EC7">
      <w:pPr>
        <w:rPr>
          <w:lang w:val="en-GB"/>
        </w:rPr>
      </w:pPr>
      <w:r w:rsidRPr="009A6EC7">
        <w:rPr>
          <w:lang w:val="en-GB"/>
        </w:rPr>
        <w:t>Depending of the chosen values of N (number of antenna positions) different set-up shall be used:</w:t>
      </w:r>
    </w:p>
    <w:p w14:paraId="3192FFBB" w14:textId="77777777" w:rsidR="009A6EC7" w:rsidRPr="009A6EC7" w:rsidRDefault="009A6EC7" w:rsidP="009A6EC7">
      <w:pPr>
        <w:rPr>
          <w:lang w:val="en-GB"/>
        </w:rPr>
      </w:pPr>
      <w:r w:rsidRPr="009A6EC7">
        <w:rPr>
          <w:lang w:val="en-GB"/>
        </w:rPr>
        <w:t xml:space="preserve">if N=1 (only one antenna position is necessary) and the antenna shall be aligned with the middle of the </w:t>
      </w:r>
      <w:r>
        <w:rPr>
          <w:lang w:val="en-GB"/>
        </w:rPr>
        <w:t>immunity related area</w:t>
      </w:r>
      <w:r w:rsidRPr="009A6EC7">
        <w:rPr>
          <w:lang w:val="en-GB"/>
        </w:rPr>
        <w:t xml:space="preserve"> (see Figure </w:t>
      </w:r>
      <w:r>
        <w:rPr>
          <w:lang w:val="en-GB"/>
        </w:rPr>
        <w:t>1</w:t>
      </w:r>
      <w:r w:rsidRPr="009A6EC7">
        <w:rPr>
          <w:lang w:val="en-GB"/>
        </w:rPr>
        <w:t>).</w:t>
      </w:r>
    </w:p>
    <w:p w14:paraId="6F69768F" w14:textId="77777777" w:rsidR="009A6EC7" w:rsidRDefault="009A6EC7">
      <w:pPr>
        <w:rPr>
          <w:lang w:val="en-GB"/>
        </w:rPr>
      </w:pPr>
      <w:r w:rsidRPr="009A6EC7">
        <w:rPr>
          <w:lang w:val="en-GB"/>
        </w:rPr>
        <w:t xml:space="preserve">if N&gt;1 (more than one antenna position is necessary) and multiple antenna positions are necessary </w:t>
      </w:r>
      <w:proofErr w:type="gramStart"/>
      <w:r w:rsidRPr="009A6EC7">
        <w:rPr>
          <w:lang w:val="en-GB"/>
        </w:rPr>
        <w:t>in order to</w:t>
      </w:r>
      <w:proofErr w:type="gramEnd"/>
      <w:r w:rsidRPr="009A6EC7">
        <w:rPr>
          <w:lang w:val="en-GB"/>
        </w:rPr>
        <w:t xml:space="preserve"> cover the total length of the </w:t>
      </w:r>
      <w:r>
        <w:rPr>
          <w:lang w:val="en-GB"/>
        </w:rPr>
        <w:t>immunity related area</w:t>
      </w:r>
      <w:r w:rsidRPr="009A6EC7">
        <w:rPr>
          <w:lang w:val="en-GB"/>
        </w:rPr>
        <w:t xml:space="preserve"> (see Figure </w:t>
      </w:r>
      <w:r>
        <w:rPr>
          <w:lang w:val="en-GB"/>
        </w:rPr>
        <w:t>2</w:t>
      </w:r>
      <w:r w:rsidRPr="009A6EC7">
        <w:rPr>
          <w:lang w:val="en-GB"/>
        </w:rPr>
        <w:t xml:space="preserve">). </w:t>
      </w:r>
      <w:r>
        <w:rPr>
          <w:lang w:val="en-GB"/>
        </w:rPr>
        <w:br w:type="page"/>
      </w:r>
    </w:p>
    <w:p w14:paraId="3BF62CAF" w14:textId="77777777" w:rsidR="009A6EC7" w:rsidRDefault="009A6EC7" w:rsidP="009A6EC7">
      <w:pPr>
        <w:rPr>
          <w:lang w:val="en-GB"/>
        </w:rPr>
      </w:pPr>
    </w:p>
    <w:p w14:paraId="6E1CFC3B" w14:textId="77777777" w:rsidR="009A6EC7" w:rsidRPr="00E54CDF" w:rsidRDefault="009A6EC7" w:rsidP="009A6EC7">
      <w:pPr>
        <w:pStyle w:val="Titre1"/>
        <w:spacing w:after="120"/>
        <w:ind w:right="1134"/>
        <w:jc w:val="both"/>
        <w:rPr>
          <w:b/>
          <w:lang w:val="en-US"/>
        </w:rPr>
      </w:pPr>
      <w:r w:rsidRPr="00E54CDF">
        <w:rPr>
          <w:b/>
          <w:lang w:val="en-US"/>
        </w:rPr>
        <w:t>Antenna position</w:t>
      </w:r>
    </w:p>
    <w:p w14:paraId="69054849" w14:textId="77777777" w:rsidR="009A6EC7" w:rsidRPr="00E54CDF" w:rsidRDefault="009A6EC7" w:rsidP="009A6EC7">
      <w:pPr>
        <w:pStyle w:val="Titre1"/>
        <w:ind w:right="1134"/>
        <w:jc w:val="both"/>
        <w:rPr>
          <w:lang w:val="en-US"/>
        </w:rPr>
      </w:pPr>
      <w:r w:rsidRPr="00E54CDF">
        <w:rPr>
          <w:lang w:val="en-US"/>
        </w:rPr>
        <w:t>Figure 1</w:t>
      </w:r>
    </w:p>
    <w:p w14:paraId="0AB3053E" w14:textId="77777777" w:rsidR="009A6EC7" w:rsidRPr="007F7B38" w:rsidRDefault="009A6EC7" w:rsidP="009A6EC7">
      <w:pPr>
        <w:pStyle w:val="Titre1"/>
        <w:rPr>
          <w:b/>
          <w:bCs/>
        </w:rPr>
      </w:pPr>
      <w:r w:rsidRPr="007F7B38">
        <w:rPr>
          <w:b/>
          <w:bCs/>
        </w:rPr>
        <w:t xml:space="preserve">Antenna position for N = 1 (one antenna position to be used) – </w:t>
      </w:r>
      <w:r>
        <w:rPr>
          <w:b/>
          <w:bCs/>
        </w:rPr>
        <w:br/>
      </w:r>
      <w:commentRangeStart w:id="0"/>
      <w:r>
        <w:rPr>
          <w:b/>
          <w:bCs/>
        </w:rPr>
        <w:t>Vertica</w:t>
      </w:r>
      <w:r w:rsidRPr="007F7B38">
        <w:rPr>
          <w:b/>
          <w:bCs/>
        </w:rPr>
        <w:t>l polarization shown</w:t>
      </w:r>
      <w:commentRangeEnd w:id="0"/>
      <w:r>
        <w:rPr>
          <w:rStyle w:val="Marquedecommentaire"/>
          <w:rFonts w:asciiTheme="minorHAnsi" w:eastAsiaTheme="minorHAnsi" w:hAnsiTheme="minorHAnsi" w:cstheme="minorBidi"/>
          <w:lang w:val="nl-NL"/>
        </w:rPr>
        <w:commentReference w:id="0"/>
      </w:r>
    </w:p>
    <w:p w14:paraId="10DCE482" w14:textId="77777777" w:rsidR="009A6EC7" w:rsidRPr="00377B06" w:rsidRDefault="009A6EC7" w:rsidP="009A6EC7">
      <w:pPr>
        <w:pStyle w:val="SingleTxtG"/>
        <w:spacing w:line="240" w:lineRule="auto"/>
        <w:jc w:val="center"/>
        <w:rPr>
          <w:b/>
        </w:rPr>
      </w:pPr>
      <w:r w:rsidRPr="00377B06">
        <w:rPr>
          <w:b/>
          <w:noProof/>
          <w:lang w:val="nl-NL" w:eastAsia="nl-NL"/>
        </w:rPr>
        <w:drawing>
          <wp:inline distT="0" distB="0" distL="0" distR="0" wp14:anchorId="11E4BEF1" wp14:editId="0F7DD708">
            <wp:extent cx="4838700" cy="2342788"/>
            <wp:effectExtent l="0" t="0" r="0" b="635"/>
            <wp:docPr id="6462" name="Image 6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1428" cy="234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6FF8F" w14:textId="77777777" w:rsidR="009A6EC7" w:rsidRPr="00377B06" w:rsidRDefault="009A6EC7" w:rsidP="009A6EC7">
      <w:pPr>
        <w:pStyle w:val="TABFIGfootnote"/>
        <w:rPr>
          <w:b/>
        </w:rPr>
      </w:pPr>
    </w:p>
    <w:p w14:paraId="29F6CA7F" w14:textId="77777777" w:rsidR="009A6EC7" w:rsidRPr="002E2AE7" w:rsidRDefault="009A6EC7" w:rsidP="009A6EC7">
      <w:pPr>
        <w:pStyle w:val="TABFIGfootnote"/>
        <w:ind w:left="1418"/>
        <w:rPr>
          <w:rFonts w:ascii="Times New Roman" w:hAnsi="Times New Roman" w:cs="Times New Roman"/>
        </w:rPr>
      </w:pPr>
      <w:r w:rsidRPr="002E2AE7">
        <w:rPr>
          <w:rFonts w:ascii="Times New Roman" w:hAnsi="Times New Roman" w:cs="Times New Roman"/>
        </w:rPr>
        <w:t>Legend</w:t>
      </w:r>
      <w:r>
        <w:rPr>
          <w:rFonts w:ascii="Times New Roman" w:hAnsi="Times New Roman" w:cs="Times New Roman"/>
        </w:rPr>
        <w:t>:</w:t>
      </w:r>
    </w:p>
    <w:p w14:paraId="7BC330CA" w14:textId="77777777" w:rsidR="009A6EC7" w:rsidRPr="002E2AE7" w:rsidRDefault="009A6EC7" w:rsidP="009A6EC7">
      <w:pPr>
        <w:pStyle w:val="TABFIGfootnote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ab/>
        <w:t>Immunity related area</w:t>
      </w:r>
    </w:p>
    <w:p w14:paraId="0A33C09A" w14:textId="77777777" w:rsidR="009A6EC7" w:rsidRPr="002E2AE7" w:rsidRDefault="009A6EC7" w:rsidP="009A6EC7">
      <w:pPr>
        <w:pStyle w:val="TABFIGfootnote"/>
        <w:ind w:left="1418"/>
        <w:rPr>
          <w:rFonts w:ascii="Times New Roman" w:hAnsi="Times New Roman" w:cs="Times New Roman"/>
        </w:rPr>
      </w:pPr>
      <w:r w:rsidRPr="002E2A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2E2AE7">
        <w:rPr>
          <w:rFonts w:ascii="Times New Roman" w:hAnsi="Times New Roman" w:cs="Times New Roman"/>
        </w:rPr>
        <w:t>Antenna</w:t>
      </w:r>
    </w:p>
    <w:p w14:paraId="7E709A4D" w14:textId="77777777" w:rsidR="009A6EC7" w:rsidRDefault="009A6EC7" w:rsidP="009A6EC7">
      <w:pPr>
        <w:pStyle w:val="Titre1"/>
        <w:spacing w:after="120"/>
        <w:ind w:right="1134"/>
        <w:rPr>
          <w:bCs/>
        </w:rPr>
      </w:pPr>
    </w:p>
    <w:p w14:paraId="40DC6B51" w14:textId="77777777" w:rsidR="009A6EC7" w:rsidRPr="00607276" w:rsidRDefault="009A6EC7" w:rsidP="009A6EC7">
      <w:pPr>
        <w:pStyle w:val="Titre1"/>
        <w:ind w:right="1134"/>
      </w:pPr>
      <w:r w:rsidRPr="00607276">
        <w:t>Figure 2</w:t>
      </w:r>
    </w:p>
    <w:p w14:paraId="630DD944" w14:textId="77777777" w:rsidR="009A6EC7" w:rsidRPr="00377B06" w:rsidRDefault="009A6EC7" w:rsidP="009A6EC7">
      <w:pPr>
        <w:pStyle w:val="FIGURE-title"/>
        <w:spacing w:before="0" w:after="120"/>
        <w:ind w:left="1134"/>
        <w:jc w:val="left"/>
        <w:rPr>
          <w:rFonts w:ascii="Times New Roman" w:hAnsi="Times New Roman" w:cs="Times New Roman"/>
          <w:bCs w:val="0"/>
          <w:noProof w:val="0"/>
          <w:spacing w:val="0"/>
          <w:lang w:eastAsia="en-US"/>
        </w:rPr>
      </w:pPr>
      <w:r w:rsidRPr="00377B06">
        <w:rPr>
          <w:rFonts w:ascii="Times New Roman" w:hAnsi="Times New Roman" w:cs="Times New Roman"/>
          <w:bCs w:val="0"/>
          <w:noProof w:val="0"/>
          <w:spacing w:val="0"/>
          <w:lang w:eastAsia="en-US"/>
        </w:rPr>
        <w:t xml:space="preserve">Antenna positions for N = 2 (multiple antenna positions to be used) – </w:t>
      </w:r>
      <w:r>
        <w:rPr>
          <w:rFonts w:ascii="Times New Roman" w:hAnsi="Times New Roman" w:cs="Times New Roman"/>
          <w:bCs w:val="0"/>
          <w:noProof w:val="0"/>
          <w:spacing w:val="0"/>
          <w:lang w:eastAsia="en-US"/>
        </w:rPr>
        <w:br/>
      </w:r>
      <w:commentRangeStart w:id="1"/>
      <w:r>
        <w:rPr>
          <w:rFonts w:ascii="Times New Roman" w:hAnsi="Times New Roman" w:cs="Times New Roman"/>
          <w:bCs w:val="0"/>
          <w:noProof w:val="0"/>
          <w:spacing w:val="0"/>
          <w:lang w:eastAsia="en-US"/>
        </w:rPr>
        <w:t xml:space="preserve">Vertical </w:t>
      </w:r>
      <w:r w:rsidRPr="00377B06">
        <w:rPr>
          <w:rFonts w:ascii="Times New Roman" w:hAnsi="Times New Roman" w:cs="Times New Roman"/>
          <w:bCs w:val="0"/>
          <w:noProof w:val="0"/>
          <w:spacing w:val="0"/>
          <w:lang w:eastAsia="en-US"/>
        </w:rPr>
        <w:t>polarization</w:t>
      </w:r>
      <w:r>
        <w:rPr>
          <w:rFonts w:ascii="Times New Roman" w:hAnsi="Times New Roman" w:cs="Times New Roman"/>
          <w:bCs w:val="0"/>
          <w:noProof w:val="0"/>
          <w:spacing w:val="0"/>
          <w:lang w:eastAsia="en-US"/>
        </w:rPr>
        <w:t xml:space="preserve"> </w:t>
      </w:r>
      <w:r w:rsidRPr="00377B06">
        <w:rPr>
          <w:rFonts w:ascii="Times New Roman" w:hAnsi="Times New Roman" w:cs="Times New Roman"/>
          <w:bCs w:val="0"/>
          <w:noProof w:val="0"/>
          <w:spacing w:val="0"/>
          <w:lang w:eastAsia="en-US"/>
        </w:rPr>
        <w:t>shown</w:t>
      </w:r>
      <w:commentRangeEnd w:id="1"/>
      <w:r>
        <w:rPr>
          <w:rStyle w:val="Marquedecommentaire"/>
          <w:rFonts w:asciiTheme="minorHAnsi" w:eastAsiaTheme="minorHAnsi" w:hAnsiTheme="minorHAnsi" w:cstheme="minorBidi"/>
          <w:b w:val="0"/>
          <w:bCs w:val="0"/>
          <w:noProof w:val="0"/>
          <w:spacing w:val="0"/>
          <w:lang w:val="nl-NL" w:eastAsia="en-US"/>
        </w:rPr>
        <w:commentReference w:id="1"/>
      </w:r>
    </w:p>
    <w:p w14:paraId="2554F38D" w14:textId="77777777" w:rsidR="009A6EC7" w:rsidRPr="00377B06" w:rsidRDefault="009A6EC7" w:rsidP="009A6EC7">
      <w:pPr>
        <w:pStyle w:val="TABFIGfootnote"/>
        <w:rPr>
          <w:b/>
        </w:rPr>
      </w:pPr>
    </w:p>
    <w:p w14:paraId="471026A3" w14:textId="77777777" w:rsidR="009A6EC7" w:rsidRPr="00377B06" w:rsidRDefault="009A6EC7" w:rsidP="009A6EC7">
      <w:pPr>
        <w:pStyle w:val="TABFIGfootnote"/>
        <w:jc w:val="center"/>
        <w:rPr>
          <w:b/>
        </w:rPr>
      </w:pPr>
      <w:r w:rsidRPr="00377B06">
        <w:rPr>
          <w:b/>
          <w:noProof/>
          <w:lang w:val="nl-NL" w:eastAsia="nl-NL"/>
        </w:rPr>
        <w:drawing>
          <wp:inline distT="0" distB="0" distL="0" distR="0" wp14:anchorId="69AEF936" wp14:editId="789B8C5E">
            <wp:extent cx="4729505" cy="1930748"/>
            <wp:effectExtent l="0" t="0" r="0" b="0"/>
            <wp:docPr id="6464" name="Image 6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273" cy="193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720D1" w14:textId="77777777" w:rsidR="009A6EC7" w:rsidRPr="00607276" w:rsidRDefault="009A6EC7" w:rsidP="009A6EC7">
      <w:pPr>
        <w:pStyle w:val="TABFIGfootnote"/>
        <w:tabs>
          <w:tab w:val="clear" w:pos="284"/>
        </w:tabs>
        <w:ind w:left="1134" w:firstLine="0"/>
        <w:rPr>
          <w:rFonts w:ascii="Times New Roman" w:hAnsi="Times New Roman" w:cs="Times New Roman"/>
        </w:rPr>
      </w:pPr>
    </w:p>
    <w:p w14:paraId="13A2D775" w14:textId="77777777" w:rsidR="009A6EC7" w:rsidRPr="00607276" w:rsidRDefault="009A6EC7" w:rsidP="009A6EC7">
      <w:pPr>
        <w:pStyle w:val="TABFIGfootnote"/>
        <w:ind w:left="1418"/>
        <w:rPr>
          <w:rFonts w:ascii="Times New Roman" w:hAnsi="Times New Roman" w:cs="Times New Roman"/>
        </w:rPr>
      </w:pPr>
      <w:r w:rsidRPr="00607276">
        <w:rPr>
          <w:rFonts w:ascii="Times New Roman" w:hAnsi="Times New Roman" w:cs="Times New Roman"/>
        </w:rPr>
        <w:t xml:space="preserve">Legend </w:t>
      </w:r>
    </w:p>
    <w:p w14:paraId="69305BB3" w14:textId="77777777" w:rsidR="009A6EC7" w:rsidRPr="00607276" w:rsidRDefault="009A6EC7" w:rsidP="009A6EC7">
      <w:pPr>
        <w:pStyle w:val="TABFIGfootnote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Immunity related area</w:t>
      </w:r>
    </w:p>
    <w:p w14:paraId="7F3AC4B4" w14:textId="77777777" w:rsidR="009A6EC7" w:rsidRPr="00607276" w:rsidRDefault="009A6EC7" w:rsidP="009A6EC7">
      <w:pPr>
        <w:pStyle w:val="TABFIGfootnote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607276">
        <w:rPr>
          <w:rFonts w:ascii="Times New Roman" w:hAnsi="Times New Roman" w:cs="Times New Roman"/>
        </w:rPr>
        <w:t>Antenna (two positions)</w:t>
      </w:r>
    </w:p>
    <w:p w14:paraId="0C993610" w14:textId="208C8E7F" w:rsidR="009A6EC7" w:rsidRDefault="009A6EC7" w:rsidP="009A6EC7">
      <w:pPr>
        <w:rPr>
          <w:lang w:val="en-GB"/>
        </w:rPr>
      </w:pPr>
    </w:p>
    <w:p w14:paraId="4B43561C" w14:textId="714B3DF2" w:rsidR="00E54CDF" w:rsidRDefault="00E54CDF" w:rsidP="009A6EC7">
      <w:pPr>
        <w:rPr>
          <w:lang w:val="en-GB"/>
        </w:rPr>
      </w:pPr>
    </w:p>
    <w:p w14:paraId="6E945B95" w14:textId="4C8A47E8" w:rsidR="00E54CDF" w:rsidRDefault="00E54CDF" w:rsidP="009A6EC7">
      <w:pPr>
        <w:rPr>
          <w:lang w:val="en-GB"/>
        </w:rPr>
      </w:pPr>
    </w:p>
    <w:p w14:paraId="6FF574F5" w14:textId="3694C780" w:rsidR="00E54CDF" w:rsidRDefault="00E54CDF" w:rsidP="009A6EC7">
      <w:pPr>
        <w:rPr>
          <w:lang w:val="en-GB"/>
        </w:rPr>
      </w:pPr>
    </w:p>
    <w:p w14:paraId="04B653F1" w14:textId="77777777" w:rsidR="00E54CDF" w:rsidRDefault="00E54CDF" w:rsidP="009A6EC7">
      <w:pPr>
        <w:rPr>
          <w:lang w:val="en-GB"/>
        </w:rPr>
      </w:pPr>
    </w:p>
    <w:p w14:paraId="045FCBE8" w14:textId="61BF013E" w:rsidR="00E54CDF" w:rsidRPr="00E54CDF" w:rsidRDefault="00E54CDF" w:rsidP="00E54CDF">
      <w:pPr>
        <w:rPr>
          <w:lang w:val="en-GB"/>
        </w:rPr>
      </w:pPr>
      <w:r w:rsidRPr="00E54CDF">
        <w:rPr>
          <w:lang w:val="en-GB"/>
        </w:rPr>
        <w:lastRenderedPageBreak/>
        <w:t>As requested by Aurelie</w:t>
      </w:r>
      <w:r>
        <w:rPr>
          <w:lang w:val="en-GB"/>
        </w:rPr>
        <w:t>,</w:t>
      </w:r>
      <w:r w:rsidRPr="00E54CDF">
        <w:rPr>
          <w:lang w:val="en-GB"/>
        </w:rPr>
        <w:t xml:space="preserve"> we from the NL EMC experts panel have provided examples how to tackle the following two topics:</w:t>
      </w:r>
    </w:p>
    <w:p w14:paraId="6A1E39FA" w14:textId="77777777" w:rsidR="00E54CDF" w:rsidRPr="00E54CDF" w:rsidRDefault="00E54CDF" w:rsidP="00E54CDF">
      <w:pPr>
        <w:rPr>
          <w:lang w:val="en-GB"/>
        </w:rPr>
      </w:pPr>
      <w:r w:rsidRPr="00E54CDF">
        <w:rPr>
          <w:lang w:val="en-GB"/>
        </w:rPr>
        <w:tab/>
        <w:t>-</w:t>
      </w:r>
      <w:r w:rsidRPr="00E54CDF">
        <w:rPr>
          <w:lang w:val="en-GB"/>
        </w:rPr>
        <w:tab/>
        <w:t>Alternative methods for immunity testing above 2GHz for large vehicles</w:t>
      </w:r>
    </w:p>
    <w:p w14:paraId="24F8474C" w14:textId="1EAF17CD" w:rsidR="00E54CDF" w:rsidRDefault="00E54CDF" w:rsidP="00E54CDF">
      <w:pPr>
        <w:rPr>
          <w:lang w:val="en-GB"/>
        </w:rPr>
      </w:pPr>
      <w:r w:rsidRPr="00E54CDF">
        <w:rPr>
          <w:lang w:val="en-GB"/>
        </w:rPr>
        <w:tab/>
        <w:t>-</w:t>
      </w:r>
      <w:r w:rsidRPr="00E54CDF">
        <w:rPr>
          <w:lang w:val="en-GB"/>
        </w:rPr>
        <w:tab/>
        <w:t xml:space="preserve">Clarification how the R10 and the supporting radiated immunity standard addresses beamwidth </w:t>
      </w:r>
      <w:r w:rsidRPr="00E54CDF">
        <w:rPr>
          <w:lang w:val="en-GB"/>
        </w:rPr>
        <w:t>in regard to</w:t>
      </w:r>
      <w:r w:rsidRPr="00E54CDF">
        <w:rPr>
          <w:lang w:val="en-GB"/>
        </w:rPr>
        <w:t xml:space="preserve"> the </w:t>
      </w:r>
      <w:r w:rsidRPr="00E54CDF">
        <w:rPr>
          <w:lang w:val="en-GB"/>
        </w:rPr>
        <w:t>chosen</w:t>
      </w:r>
      <w:r w:rsidRPr="00E54CDF">
        <w:rPr>
          <w:lang w:val="en-GB"/>
        </w:rPr>
        <w:t xml:space="preserve"> antenna position. We also included an addendum for extra clarification if needed.</w:t>
      </w:r>
    </w:p>
    <w:p w14:paraId="535E6E9C" w14:textId="68C6427E" w:rsidR="00E54CDF" w:rsidRDefault="00E54CDF" w:rsidP="009A6EC7">
      <w:pPr>
        <w:rPr>
          <w:lang w:val="en-GB"/>
        </w:rPr>
      </w:pPr>
    </w:p>
    <w:p w14:paraId="18F1C43A" w14:textId="77777777" w:rsidR="00E54CDF" w:rsidRPr="009A6EC7" w:rsidRDefault="00E54CDF" w:rsidP="009A6EC7">
      <w:pPr>
        <w:rPr>
          <w:lang w:val="en-GB"/>
        </w:rPr>
      </w:pPr>
    </w:p>
    <w:sectPr w:rsidR="00E54CDF" w:rsidRPr="009A6EC7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rank de Kleuver" w:date="2021-11-05T16:09:00Z" w:initials="FdK">
    <w:p w14:paraId="0264E6BE" w14:textId="77777777" w:rsidR="009A6EC7" w:rsidRDefault="009A6EC7">
      <w:pPr>
        <w:pStyle w:val="Commentaire"/>
      </w:pPr>
      <w:r>
        <w:rPr>
          <w:rStyle w:val="Marquedecommentaire"/>
        </w:rPr>
        <w:annotationRef/>
      </w:r>
      <w:r>
        <w:t>Graphics have to be edited so a vertical example of the antenna is shown.</w:t>
      </w:r>
    </w:p>
  </w:comment>
  <w:comment w:id="1" w:author="Frank de Kleuver" w:date="2021-11-05T16:10:00Z" w:initials="FdK">
    <w:p w14:paraId="73F4AC69" w14:textId="77777777" w:rsidR="009A6EC7" w:rsidRDefault="009A6EC7">
      <w:pPr>
        <w:pStyle w:val="Commentaire"/>
      </w:pPr>
      <w:r>
        <w:rPr>
          <w:rStyle w:val="Marquedecommentaire"/>
        </w:rPr>
        <w:annotationRef/>
      </w:r>
      <w:r>
        <w:t>Graphics have to be edited so a vertical example of the antenna is shown.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64E6BE" w15:done="0"/>
  <w15:commentEx w15:paraId="73F4AC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DC46" w16cex:dateUtc="2021-11-05T15:09:00Z"/>
  <w16cex:commentExtensible w16cex:durableId="25D4DC47" w16cex:dateUtc="2021-11-05T1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4E6BE" w16cid:durableId="25D4DC46"/>
  <w16cid:commentId w16cid:paraId="73F4AC69" w16cid:durableId="25D4DC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2027" w14:textId="77777777" w:rsidR="00B5225C" w:rsidRDefault="00B5225C" w:rsidP="00B5225C">
      <w:pPr>
        <w:spacing w:after="0" w:line="240" w:lineRule="auto"/>
      </w:pPr>
      <w:r>
        <w:separator/>
      </w:r>
    </w:p>
  </w:endnote>
  <w:endnote w:type="continuationSeparator" w:id="0">
    <w:p w14:paraId="68ADE9BF" w14:textId="77777777" w:rsidR="00B5225C" w:rsidRDefault="00B5225C" w:rsidP="00B5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D915" w14:textId="514E27C4" w:rsidR="00B5225C" w:rsidRPr="00B5225C" w:rsidRDefault="00B5225C">
    <w:pPr>
      <w:pStyle w:val="Pieddepage"/>
      <w:rPr>
        <w:sz w:val="16"/>
        <w:u w:val="single"/>
      </w:rPr>
    </w:pPr>
    <w:r w:rsidRPr="00B5225C">
      <w:rPr>
        <w:sz w:val="16"/>
        <w:u w:val="single"/>
      </w:rPr>
      <w:fldChar w:fldCharType="begin"/>
    </w:r>
    <w:r w:rsidRPr="00B5225C">
      <w:rPr>
        <w:sz w:val="16"/>
        <w:u w:val="single"/>
      </w:rPr>
      <w:instrText xml:space="preserve"> FILENAME   \* MERGEFORMAT </w:instrText>
    </w:r>
    <w:r w:rsidRPr="00B5225C">
      <w:rPr>
        <w:sz w:val="16"/>
        <w:u w:val="single"/>
      </w:rPr>
      <w:fldChar w:fldCharType="separate"/>
    </w:r>
    <w:r w:rsidRPr="00B5225C">
      <w:rPr>
        <w:noProof/>
        <w:sz w:val="16"/>
        <w:u w:val="single"/>
      </w:rPr>
      <w:t>NL Proposal immunity testing up to 6GHz - Multiple antenna positions v1_01.docx</w:t>
    </w:r>
    <w:r w:rsidRPr="00B5225C">
      <w:rPr>
        <w:sz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6691" w14:textId="77777777" w:rsidR="00B5225C" w:rsidRDefault="00B5225C" w:rsidP="00B5225C">
      <w:pPr>
        <w:spacing w:after="0" w:line="240" w:lineRule="auto"/>
      </w:pPr>
      <w:r>
        <w:separator/>
      </w:r>
    </w:p>
  </w:footnote>
  <w:footnote w:type="continuationSeparator" w:id="0">
    <w:p w14:paraId="7FC5C66C" w14:textId="77777777" w:rsidR="00B5225C" w:rsidRDefault="00B5225C" w:rsidP="00B5225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de Kleuver">
    <w15:presenceInfo w15:providerId="Windows Live" w15:userId="09fb8857ea787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C7"/>
    <w:rsid w:val="00963257"/>
    <w:rsid w:val="009A6EC7"/>
    <w:rsid w:val="00B5225C"/>
    <w:rsid w:val="00C93772"/>
    <w:rsid w:val="00E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935226"/>
  <w15:chartTrackingRefBased/>
  <w15:docId w15:val="{5655212C-8B13-4D1F-9D29-9C51174F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Table_G"/>
    <w:basedOn w:val="SingleTxtG"/>
    <w:next w:val="SingleTxtG"/>
    <w:link w:val="Titre1Car"/>
    <w:qFormat/>
    <w:rsid w:val="009A6EC7"/>
    <w:pPr>
      <w:spacing w:after="0" w:line="240" w:lineRule="auto"/>
      <w:ind w:right="0"/>
      <w:jc w:val="left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link w:val="PARAGRAPHChar"/>
    <w:qFormat/>
    <w:rsid w:val="009A6EC7"/>
    <w:pPr>
      <w:snapToGrid w:val="0"/>
      <w:spacing w:before="100" w:after="200" w:line="240" w:lineRule="auto"/>
      <w:jc w:val="both"/>
    </w:pPr>
    <w:rPr>
      <w:rFonts w:ascii="Arial" w:eastAsia="MS Mincho" w:hAnsi="Arial" w:cs="Arial"/>
      <w:noProof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9A6EC7"/>
    <w:rPr>
      <w:rFonts w:ascii="Arial" w:eastAsia="MS Mincho" w:hAnsi="Arial" w:cs="Arial"/>
      <w:noProof/>
      <w:spacing w:val="8"/>
      <w:sz w:val="20"/>
      <w:szCs w:val="20"/>
      <w:lang w:val="en-GB" w:eastAsia="zh-CN"/>
    </w:rPr>
  </w:style>
  <w:style w:type="character" w:customStyle="1" w:styleId="Titre1Car">
    <w:name w:val="Titre 1 Car"/>
    <w:aliases w:val="Table_G Car"/>
    <w:basedOn w:val="Policepardfaut"/>
    <w:link w:val="Titre1"/>
    <w:rsid w:val="009A6EC7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9A6EC7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rsid w:val="009A6EC7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TABFIGfootnote">
    <w:name w:val="TAB_FIG_footnote"/>
    <w:basedOn w:val="Notedebasdepage"/>
    <w:rsid w:val="009A6EC7"/>
    <w:pPr>
      <w:tabs>
        <w:tab w:val="left" w:pos="284"/>
      </w:tabs>
      <w:snapToGrid w:val="0"/>
      <w:spacing w:before="60" w:after="60"/>
      <w:ind w:left="284" w:hanging="284"/>
      <w:jc w:val="both"/>
    </w:pPr>
    <w:rPr>
      <w:rFonts w:ascii="Arial" w:eastAsia="MS Mincho" w:hAnsi="Arial" w:cs="Arial"/>
      <w:spacing w:val="8"/>
      <w:sz w:val="16"/>
      <w:szCs w:val="16"/>
      <w:lang w:val="en-GB" w:eastAsia="zh-CN"/>
    </w:rPr>
  </w:style>
  <w:style w:type="paragraph" w:customStyle="1" w:styleId="FIGURE-title">
    <w:name w:val="FIGURE-title"/>
    <w:basedOn w:val="Normal"/>
    <w:next w:val="PARAGRAPH"/>
    <w:qFormat/>
    <w:rsid w:val="009A6EC7"/>
    <w:pPr>
      <w:snapToGrid w:val="0"/>
      <w:spacing w:before="100" w:after="200" w:line="240" w:lineRule="auto"/>
      <w:jc w:val="center"/>
    </w:pPr>
    <w:rPr>
      <w:rFonts w:ascii="Arial" w:eastAsia="MS Mincho" w:hAnsi="Arial" w:cs="Arial"/>
      <w:b/>
      <w:bCs/>
      <w:noProof/>
      <w:spacing w:val="8"/>
      <w:sz w:val="20"/>
      <w:szCs w:val="20"/>
      <w:lang w:val="en-GB"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6EC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6EC7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9A6E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6E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6E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E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EC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EC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52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25C"/>
  </w:style>
  <w:style w:type="paragraph" w:styleId="Pieddepage">
    <w:name w:val="footer"/>
    <w:basedOn w:val="Normal"/>
    <w:link w:val="PieddepageCar"/>
    <w:uiPriority w:val="99"/>
    <w:unhideWhenUsed/>
    <w:rsid w:val="00B52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de Kleuver</dc:creator>
  <cp:keywords/>
  <dc:description/>
  <cp:lastModifiedBy>Jean-Marc Prigent</cp:lastModifiedBy>
  <cp:revision>2</cp:revision>
  <dcterms:created xsi:type="dcterms:W3CDTF">2022-03-10T19:23:00Z</dcterms:created>
  <dcterms:modified xsi:type="dcterms:W3CDTF">2022-03-10T19:23:00Z</dcterms:modified>
</cp:coreProperties>
</file>