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031576" w:rsidRPr="003C2FD9" w14:paraId="03082570" w14:textId="77777777" w:rsidTr="00725437">
        <w:tc>
          <w:tcPr>
            <w:tcW w:w="5830" w:type="dxa"/>
            <w:vAlign w:val="center"/>
            <w:hideMark/>
          </w:tcPr>
          <w:p w14:paraId="2C37BDB2" w14:textId="77777777" w:rsidR="00031576" w:rsidRPr="003C2FD9" w:rsidRDefault="00031576" w:rsidP="00725437">
            <w:pPr>
              <w:ind w:left="-74"/>
              <w:rPr>
                <w:lang w:val="en-US"/>
              </w:rPr>
            </w:pPr>
            <w:r>
              <w:rPr>
                <w:lang w:val="en-US"/>
              </w:rPr>
              <w:t>Trans</w:t>
            </w:r>
            <w:r w:rsidRPr="00F63B12">
              <w:rPr>
                <w:lang w:val="en-US"/>
              </w:rPr>
              <w:t xml:space="preserve">mitted by the experts </w:t>
            </w:r>
            <w:r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br/>
              <w:t xml:space="preserve">Informal Working Group on </w:t>
            </w:r>
            <w:r>
              <w:rPr>
                <w:lang w:val="en-US"/>
              </w:rPr>
              <w:br/>
              <w:t>Measurement Uncertainties (IWG MU)</w:t>
            </w:r>
          </w:p>
        </w:tc>
        <w:tc>
          <w:tcPr>
            <w:tcW w:w="3809" w:type="dxa"/>
            <w:hideMark/>
          </w:tcPr>
          <w:p w14:paraId="717513A1" w14:textId="74B226D0" w:rsidR="00031576" w:rsidRPr="004720F9" w:rsidRDefault="00031576" w:rsidP="00725437">
            <w:pPr>
              <w:rPr>
                <w:lang w:val="nl-NL"/>
              </w:rPr>
            </w:pPr>
            <w:r w:rsidRPr="004720F9">
              <w:rPr>
                <w:u w:val="single"/>
                <w:lang w:val="nl-NL"/>
              </w:rPr>
              <w:t>Informal document</w:t>
            </w:r>
            <w:r w:rsidRPr="004720F9">
              <w:rPr>
                <w:lang w:val="nl-NL"/>
              </w:rPr>
              <w:t xml:space="preserve"> </w:t>
            </w:r>
            <w:r w:rsidRPr="004720F9">
              <w:rPr>
                <w:b/>
                <w:lang w:val="nl-NL"/>
              </w:rPr>
              <w:t>GRBP-7</w:t>
            </w:r>
            <w:r w:rsidR="00D33891">
              <w:rPr>
                <w:b/>
                <w:lang w:val="nl-NL"/>
              </w:rPr>
              <w:t>6</w:t>
            </w:r>
            <w:r w:rsidRPr="004720F9">
              <w:rPr>
                <w:rFonts w:hint="eastAsia"/>
                <w:b/>
                <w:lang w:val="nl-NL"/>
              </w:rPr>
              <w:t>-</w:t>
            </w:r>
            <w:r>
              <w:rPr>
                <w:b/>
                <w:lang w:val="nl-NL"/>
              </w:rPr>
              <w:t>ZZe</w:t>
            </w:r>
          </w:p>
          <w:p w14:paraId="337EE9A5" w14:textId="0EA0435D" w:rsidR="00031576" w:rsidRPr="004720F9" w:rsidRDefault="00031576" w:rsidP="00725437">
            <w:pPr>
              <w:rPr>
                <w:lang w:val="nl-NL"/>
              </w:rPr>
            </w:pPr>
            <w:r w:rsidRPr="004720F9">
              <w:rPr>
                <w:lang w:val="nl-NL"/>
              </w:rPr>
              <w:t>(7</w:t>
            </w:r>
            <w:r w:rsidR="00D33891">
              <w:rPr>
                <w:lang w:val="nl-NL"/>
              </w:rPr>
              <w:t>6</w:t>
            </w:r>
            <w:r>
              <w:rPr>
                <w:vertAlign w:val="superscript"/>
                <w:lang w:val="nl-NL"/>
              </w:rPr>
              <w:t>th</w:t>
            </w:r>
            <w:r w:rsidRPr="004720F9">
              <w:rPr>
                <w:lang w:val="nl-NL"/>
              </w:rPr>
              <w:t xml:space="preserve"> GRBP, </w:t>
            </w:r>
            <w:r w:rsidR="00B01D03">
              <w:rPr>
                <w:lang w:val="nl-NL"/>
              </w:rPr>
              <w:t>5-7</w:t>
            </w:r>
            <w:r w:rsidRPr="004720F9">
              <w:rPr>
                <w:lang w:val="nl-NL"/>
              </w:rPr>
              <w:t xml:space="preserve"> </w:t>
            </w:r>
            <w:r w:rsidR="00D33891">
              <w:rPr>
                <w:lang w:val="nl-NL"/>
              </w:rPr>
              <w:t>September</w:t>
            </w:r>
            <w:r>
              <w:rPr>
                <w:lang w:val="nl-NL"/>
              </w:rPr>
              <w:t xml:space="preserve"> </w:t>
            </w:r>
            <w:r w:rsidRPr="004720F9">
              <w:rPr>
                <w:lang w:val="nl-NL"/>
              </w:rPr>
              <w:t>202</w:t>
            </w:r>
            <w:r>
              <w:rPr>
                <w:lang w:val="nl-NL"/>
              </w:rPr>
              <w:t>2</w:t>
            </w:r>
            <w:r w:rsidRPr="004720F9">
              <w:rPr>
                <w:lang w:val="nl-NL"/>
              </w:rPr>
              <w:t>,</w:t>
            </w:r>
          </w:p>
          <w:p w14:paraId="26D636FC" w14:textId="77777777" w:rsidR="00031576" w:rsidRPr="003C2FD9" w:rsidRDefault="00031576" w:rsidP="00725437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>
              <w:rPr>
                <w:lang w:val="en-US"/>
              </w:rPr>
              <w:t>3)</w:t>
            </w:r>
          </w:p>
        </w:tc>
      </w:tr>
    </w:tbl>
    <w:p w14:paraId="6A90DC87" w14:textId="77777777" w:rsidR="00031576" w:rsidRDefault="00031576" w:rsidP="00031576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526912A4" w14:textId="77777777" w:rsidR="00031576" w:rsidRDefault="00031576" w:rsidP="00031576">
      <w:pPr>
        <w:pStyle w:val="Default"/>
      </w:pPr>
    </w:p>
    <w:p w14:paraId="23FD0821" w14:textId="77777777" w:rsidR="00031576" w:rsidRPr="009F4786" w:rsidRDefault="00031576" w:rsidP="00031576">
      <w:pPr>
        <w:pStyle w:val="Default"/>
        <w:jc w:val="center"/>
        <w:rPr>
          <w:b/>
          <w:bCs/>
          <w:sz w:val="28"/>
          <w:szCs w:val="28"/>
        </w:rPr>
      </w:pPr>
    </w:p>
    <w:p w14:paraId="3D2D98B4" w14:textId="77777777" w:rsidR="00031576" w:rsidRDefault="00031576" w:rsidP="00031576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19480C82" w14:textId="5504276F" w:rsidR="00031576" w:rsidRDefault="00031576" w:rsidP="00031576">
      <w:pPr>
        <w:pStyle w:val="Default"/>
        <w:rPr>
          <w:b/>
          <w:bCs/>
          <w:sz w:val="28"/>
          <w:szCs w:val="28"/>
          <w:lang w:val="en-GB"/>
        </w:rPr>
      </w:pPr>
      <w:bookmarkStart w:id="0" w:name="_Hlk79074696"/>
      <w:r w:rsidRPr="009931E5">
        <w:rPr>
          <w:b/>
          <w:bCs/>
          <w:sz w:val="28"/>
          <w:szCs w:val="28"/>
          <w:lang w:val="en-GB"/>
        </w:rPr>
        <w:t xml:space="preserve">Proposal </w:t>
      </w:r>
      <w:r>
        <w:rPr>
          <w:b/>
          <w:bCs/>
          <w:sz w:val="28"/>
          <w:szCs w:val="28"/>
          <w:lang w:val="en-GB"/>
        </w:rPr>
        <w:t>to</w:t>
      </w:r>
      <w:r w:rsidRPr="009931E5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Introduce </w:t>
      </w:r>
      <w:r w:rsidRPr="005B7353">
        <w:rPr>
          <w:b/>
          <w:bCs/>
          <w:sz w:val="28"/>
          <w:szCs w:val="28"/>
          <w:lang w:val="en-GB"/>
        </w:rPr>
        <w:t xml:space="preserve">a </w:t>
      </w:r>
      <w:r>
        <w:rPr>
          <w:b/>
          <w:bCs/>
          <w:sz w:val="28"/>
          <w:szCs w:val="28"/>
          <w:lang w:val="en-GB"/>
        </w:rPr>
        <w:t>new Appendix on Measurement Uncertainties to</w:t>
      </w:r>
      <w:r w:rsidRPr="005B7353">
        <w:rPr>
          <w:b/>
          <w:bCs/>
          <w:sz w:val="28"/>
          <w:szCs w:val="28"/>
          <w:lang w:val="en-GB"/>
        </w:rPr>
        <w:t xml:space="preserve"> UN R</w:t>
      </w:r>
      <w:r>
        <w:rPr>
          <w:b/>
          <w:bCs/>
          <w:sz w:val="28"/>
          <w:szCs w:val="28"/>
          <w:lang w:val="en-GB"/>
        </w:rPr>
        <w:t xml:space="preserve">egulation No. </w:t>
      </w:r>
      <w:r w:rsidRPr="005B7353">
        <w:rPr>
          <w:b/>
          <w:bCs/>
          <w:sz w:val="28"/>
          <w:szCs w:val="28"/>
          <w:lang w:val="en-GB"/>
        </w:rPr>
        <w:t>51.03 Annex 3</w:t>
      </w:r>
      <w:r w:rsidR="00810C62">
        <w:rPr>
          <w:b/>
          <w:bCs/>
          <w:sz w:val="28"/>
          <w:szCs w:val="28"/>
          <w:lang w:val="en-GB"/>
        </w:rPr>
        <w:t xml:space="preserve">, Supplement </w:t>
      </w:r>
      <w:commentRangeStart w:id="1"/>
      <w:r w:rsidR="00D727AB" w:rsidRPr="00D727AB">
        <w:rPr>
          <w:b/>
          <w:bCs/>
          <w:sz w:val="28"/>
          <w:szCs w:val="28"/>
          <w:highlight w:val="yellow"/>
          <w:lang w:val="en-GB"/>
        </w:rPr>
        <w:t>8</w:t>
      </w:r>
      <w:commentRangeEnd w:id="1"/>
      <w:r w:rsidR="003E196B">
        <w:rPr>
          <w:rStyle w:val="CommentReference"/>
          <w:color w:val="auto"/>
          <w:lang w:val="en-GB" w:eastAsia="en-US"/>
        </w:rPr>
        <w:commentReference w:id="1"/>
      </w:r>
    </w:p>
    <w:bookmarkEnd w:id="0"/>
    <w:p w14:paraId="7C1485E7" w14:textId="77777777" w:rsidR="00031576" w:rsidRDefault="00031576" w:rsidP="00031576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A61F557" w14:textId="1044A0B5" w:rsidR="00031576" w:rsidRDefault="00031576" w:rsidP="000315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text below has been prepared by the experts of the Informal Working group on Measurement Uncertainties (IWG MU) in order to introduce a new Appendix to Annex 3 to the regulation to implement a table showing the measurement uncertainties when performing type-approval, COP or </w:t>
      </w:r>
      <w:r w:rsidR="00817993">
        <w:rPr>
          <w:sz w:val="20"/>
          <w:szCs w:val="20"/>
        </w:rPr>
        <w:t>field</w:t>
      </w:r>
      <w:r>
        <w:rPr>
          <w:sz w:val="20"/>
          <w:szCs w:val="20"/>
        </w:rPr>
        <w:t xml:space="preserve"> testing (e.g. market surveillance).</w:t>
      </w:r>
    </w:p>
    <w:p w14:paraId="5B0DDF59" w14:textId="77777777" w:rsidR="00031576" w:rsidRPr="002B720E" w:rsidRDefault="00031576" w:rsidP="00031576">
      <w:pPr>
        <w:keepNext/>
        <w:keepLines/>
        <w:numPr>
          <w:ilvl w:val="0"/>
          <w:numId w:val="1"/>
        </w:numPr>
        <w:tabs>
          <w:tab w:val="right" w:pos="993"/>
        </w:tabs>
        <w:spacing w:before="360" w:after="240" w:line="300" w:lineRule="exact"/>
        <w:ind w:left="1134" w:right="1134"/>
        <w:rPr>
          <w:rFonts w:eastAsia="Times New Roman"/>
          <w:b/>
          <w:bCs/>
          <w:sz w:val="28"/>
          <w:szCs w:val="28"/>
          <w:lang w:val="en-US"/>
        </w:rPr>
      </w:pPr>
      <w:r w:rsidRPr="002B720E">
        <w:rPr>
          <w:rFonts w:eastAsia="Times New Roman"/>
          <w:b/>
          <w:bCs/>
          <w:sz w:val="28"/>
          <w:szCs w:val="28"/>
          <w:lang w:val="en-US"/>
        </w:rPr>
        <w:t>Proposal</w:t>
      </w:r>
    </w:p>
    <w:p w14:paraId="3E3E43E1" w14:textId="276DAF33" w:rsidR="00031576" w:rsidRPr="005B7353" w:rsidRDefault="00031576" w:rsidP="00031576">
      <w:pPr>
        <w:keepNext/>
        <w:keepLines/>
        <w:tabs>
          <w:tab w:val="right" w:leader="dot" w:pos="8505"/>
        </w:tabs>
        <w:spacing w:after="120"/>
        <w:ind w:left="1701" w:right="521" w:hanging="1134"/>
        <w:jc w:val="both"/>
        <w:rPr>
          <w:rFonts w:eastAsia="Times New Roman"/>
          <w:i/>
        </w:rPr>
      </w:pPr>
      <w:bookmarkStart w:id="2" w:name="_Toc427847368"/>
      <w:r w:rsidRPr="005B7353">
        <w:rPr>
          <w:rFonts w:eastAsia="Times New Roman"/>
          <w:i/>
        </w:rPr>
        <w:t xml:space="preserve">Annex 3, add </w:t>
      </w:r>
      <w:r w:rsidRPr="00EA2548">
        <w:rPr>
          <w:rFonts w:eastAsia="Times New Roman"/>
          <w:i/>
        </w:rPr>
        <w:t xml:space="preserve">new Appendix </w:t>
      </w:r>
      <w:r w:rsidR="00792258" w:rsidRPr="00792258">
        <w:rPr>
          <w:rFonts w:eastAsia="Times New Roman"/>
          <w:i/>
          <w:highlight w:val="yellow"/>
        </w:rPr>
        <w:t>4</w:t>
      </w:r>
    </w:p>
    <w:p w14:paraId="75BEF3D0" w14:textId="7CD4585F" w:rsidR="00031576" w:rsidRPr="00DB4717" w:rsidRDefault="00031576" w:rsidP="00031576">
      <w:pPr>
        <w:keepNext/>
        <w:keepLines/>
        <w:tabs>
          <w:tab w:val="right" w:pos="851"/>
        </w:tabs>
        <w:spacing w:before="360" w:after="240" w:line="300" w:lineRule="exact"/>
        <w:ind w:left="1701" w:hanging="1134"/>
        <w:rPr>
          <w:rFonts w:eastAsia="Times New Roman"/>
          <w:b/>
          <w:sz w:val="28"/>
        </w:rPr>
      </w:pPr>
      <w:r w:rsidRPr="00B15C81">
        <w:rPr>
          <w:rFonts w:eastAsia="Times New Roman"/>
          <w:bCs/>
          <w:sz w:val="28"/>
        </w:rPr>
        <w:t>“</w:t>
      </w:r>
      <w:r w:rsidRPr="00DB4717">
        <w:rPr>
          <w:rFonts w:eastAsia="Times New Roman"/>
          <w:b/>
          <w:sz w:val="28"/>
        </w:rPr>
        <w:t xml:space="preserve">Annex 3 </w:t>
      </w:r>
      <w:bookmarkStart w:id="3" w:name="_Hlk79077133"/>
      <w:r w:rsidRPr="00DB4717">
        <w:rPr>
          <w:rFonts w:eastAsia="Times New Roman"/>
          <w:b/>
          <w:sz w:val="28"/>
        </w:rPr>
        <w:t>–</w:t>
      </w:r>
      <w:bookmarkEnd w:id="3"/>
      <w:r w:rsidRPr="00DB4717">
        <w:rPr>
          <w:rFonts w:eastAsia="Times New Roman"/>
          <w:b/>
          <w:sz w:val="28"/>
        </w:rPr>
        <w:t xml:space="preserve"> Appendix</w:t>
      </w:r>
      <w:bookmarkEnd w:id="2"/>
      <w:r w:rsidRPr="00DB4717">
        <w:rPr>
          <w:rFonts w:eastAsia="Times New Roman"/>
          <w:b/>
          <w:sz w:val="28"/>
        </w:rPr>
        <w:t xml:space="preserve"> </w:t>
      </w:r>
      <w:r w:rsidR="00792258" w:rsidRPr="00792258">
        <w:rPr>
          <w:rFonts w:eastAsia="Times New Roman"/>
          <w:b/>
          <w:sz w:val="28"/>
          <w:highlight w:val="yellow"/>
        </w:rPr>
        <w:t>4</w:t>
      </w:r>
    </w:p>
    <w:p w14:paraId="399C740A" w14:textId="77777777" w:rsidR="00031576" w:rsidRPr="00DB4717" w:rsidRDefault="00031576" w:rsidP="00031576">
      <w:pPr>
        <w:keepNext/>
        <w:keepLines/>
        <w:tabs>
          <w:tab w:val="right" w:leader="dot" w:pos="8505"/>
        </w:tabs>
        <w:spacing w:after="120"/>
        <w:ind w:left="567"/>
        <w:jc w:val="both"/>
        <w:rPr>
          <w:rFonts w:eastAsia="Times New Roman"/>
          <w:b/>
          <w:sz w:val="24"/>
          <w:szCs w:val="18"/>
        </w:rPr>
      </w:pPr>
      <w:r>
        <w:rPr>
          <w:rFonts w:eastAsia="Times New Roman"/>
          <w:b/>
          <w:sz w:val="24"/>
          <w:szCs w:val="18"/>
        </w:rPr>
        <w:t>Estimation of the calculation of the expanded measurement uncertainties for</w:t>
      </w:r>
      <w:r w:rsidRPr="00DB4717">
        <w:rPr>
          <w:rFonts w:eastAsia="Times New Roman"/>
          <w:b/>
          <w:sz w:val="24"/>
          <w:szCs w:val="18"/>
        </w:rPr>
        <w:t xml:space="preserve"> sound measurements of Annex</w:t>
      </w:r>
      <w:r>
        <w:rPr>
          <w:rFonts w:eastAsia="Times New Roman"/>
          <w:b/>
          <w:sz w:val="24"/>
          <w:szCs w:val="18"/>
        </w:rPr>
        <w:t> </w:t>
      </w:r>
      <w:r w:rsidRPr="00DB4717">
        <w:rPr>
          <w:rFonts w:eastAsia="Times New Roman"/>
          <w:b/>
          <w:sz w:val="24"/>
          <w:szCs w:val="18"/>
        </w:rPr>
        <w:t>3 for vehicles of category M and N</w:t>
      </w:r>
      <w:r>
        <w:rPr>
          <w:rFonts w:eastAsia="Times New Roman"/>
          <w:b/>
          <w:sz w:val="24"/>
          <w:szCs w:val="18"/>
        </w:rPr>
        <w:t>.</w:t>
      </w:r>
      <w:r w:rsidRPr="00DB4717">
        <w:rPr>
          <w:rFonts w:eastAsia="Times New Roman"/>
          <w:b/>
          <w:sz w:val="24"/>
          <w:szCs w:val="18"/>
        </w:rPr>
        <w:t xml:space="preserve"> </w:t>
      </w:r>
    </w:p>
    <w:p w14:paraId="2EC9590E" w14:textId="6520B01F" w:rsidR="00BF1242" w:rsidRDefault="00BF1242"/>
    <w:p w14:paraId="10463BDE" w14:textId="77777777" w:rsidR="00031576" w:rsidRPr="00817993" w:rsidRDefault="00031576" w:rsidP="00031576">
      <w:pPr>
        <w:pStyle w:val="ListParagraph"/>
        <w:numPr>
          <w:ilvl w:val="0"/>
          <w:numId w:val="2"/>
        </w:numPr>
        <w:ind w:left="851" w:hanging="301"/>
        <w:rPr>
          <w:b/>
          <w:bCs/>
        </w:rPr>
      </w:pPr>
      <w:r w:rsidRPr="00817993">
        <w:rPr>
          <w:b/>
          <w:bCs/>
        </w:rPr>
        <w:t>General</w:t>
      </w:r>
    </w:p>
    <w:p w14:paraId="0A7B2433" w14:textId="68EC9333" w:rsidR="00031576" w:rsidRPr="00817993" w:rsidRDefault="00031576" w:rsidP="00392DB1">
      <w:pPr>
        <w:pStyle w:val="para"/>
        <w:ind w:left="851" w:right="0" w:hanging="851"/>
        <w:jc w:val="left"/>
        <w:rPr>
          <w:b/>
          <w:bCs/>
        </w:rPr>
      </w:pPr>
      <w:r w:rsidRPr="00817993">
        <w:rPr>
          <w:b/>
          <w:bCs/>
        </w:rPr>
        <w:t xml:space="preserve">                </w:t>
      </w:r>
    </w:p>
    <w:p w14:paraId="5E329CD5" w14:textId="281B218C" w:rsidR="00F90E45" w:rsidRPr="00817993" w:rsidRDefault="00031576" w:rsidP="00F90E45">
      <w:pPr>
        <w:pStyle w:val="ListParagraph"/>
        <w:numPr>
          <w:ilvl w:val="1"/>
          <w:numId w:val="2"/>
        </w:numPr>
        <w:tabs>
          <w:tab w:val="left" w:pos="993"/>
        </w:tabs>
        <w:rPr>
          <w:b/>
          <w:bCs/>
        </w:rPr>
      </w:pPr>
      <w:r w:rsidRPr="00817993">
        <w:rPr>
          <w:b/>
          <w:bCs/>
        </w:rPr>
        <w:t>The method for M1, N1 and M2 &lt; 3500 kg classes of vehicles (Annex 3) is based on two driving conditions; a constant speed test, L</w:t>
      </w:r>
      <w:r w:rsidRPr="00817993">
        <w:rPr>
          <w:b/>
          <w:bCs/>
          <w:vertAlign w:val="subscript"/>
        </w:rPr>
        <w:t>crs</w:t>
      </w:r>
      <w:r w:rsidRPr="00817993">
        <w:rPr>
          <w:b/>
          <w:bCs/>
        </w:rPr>
        <w:t>, and a wide-open throttle acceleration test, L</w:t>
      </w:r>
      <w:r w:rsidRPr="00817993">
        <w:rPr>
          <w:b/>
          <w:bCs/>
          <w:vertAlign w:val="subscript"/>
        </w:rPr>
        <w:t>wot</w:t>
      </w:r>
      <w:r w:rsidRPr="00817993">
        <w:rPr>
          <w:b/>
          <w:bCs/>
        </w:rPr>
        <w:t>, to determine the final type-approval level, L</w:t>
      </w:r>
      <w:r w:rsidRPr="00817993">
        <w:rPr>
          <w:b/>
          <w:bCs/>
          <w:vertAlign w:val="subscript"/>
        </w:rPr>
        <w:t>urban</w:t>
      </w:r>
      <w:r w:rsidRPr="00817993">
        <w:rPr>
          <w:b/>
          <w:bCs/>
        </w:rPr>
        <w:t>.</w:t>
      </w:r>
      <w:r w:rsidR="00DA5DCF" w:rsidRPr="00817993">
        <w:rPr>
          <w:b/>
          <w:bCs/>
        </w:rPr>
        <w:t xml:space="preserve"> The uncertainty table in paragraph 2.1</w:t>
      </w:r>
      <w:r w:rsidR="00F02112">
        <w:rPr>
          <w:b/>
          <w:bCs/>
        </w:rPr>
        <w:t xml:space="preserve"> is</w:t>
      </w:r>
      <w:r w:rsidR="00DA5DCF" w:rsidRPr="00817993">
        <w:rPr>
          <w:b/>
          <w:bCs/>
        </w:rPr>
        <w:t xml:space="preserve"> valid for these categories of vehicles.</w:t>
      </w:r>
      <w:r w:rsidR="00F02112">
        <w:rPr>
          <w:b/>
          <w:bCs/>
        </w:rPr>
        <w:t xml:space="preserve"> The uncertainty table in paragraph 2</w:t>
      </w:r>
      <w:r w:rsidR="009A3E5E">
        <w:rPr>
          <w:b/>
          <w:bCs/>
        </w:rPr>
        <w:t>.</w:t>
      </w:r>
      <w:r w:rsidR="00F02112">
        <w:rPr>
          <w:b/>
          <w:bCs/>
        </w:rPr>
        <w:t xml:space="preserve">2 is valid </w:t>
      </w:r>
      <w:r w:rsidR="00B01D03">
        <w:rPr>
          <w:b/>
          <w:bCs/>
        </w:rPr>
        <w:t>for</w:t>
      </w:r>
      <w:r w:rsidR="00F02112">
        <w:rPr>
          <w:b/>
          <w:bCs/>
        </w:rPr>
        <w:t xml:space="preserve"> vehicle classes N2</w:t>
      </w:r>
      <w:r w:rsidR="00072D0A">
        <w:rPr>
          <w:b/>
          <w:bCs/>
        </w:rPr>
        <w:t>, N3, M2 &gt;3500 kg and M3</w:t>
      </w:r>
      <w:r w:rsidR="00F02112">
        <w:rPr>
          <w:b/>
          <w:bCs/>
        </w:rPr>
        <w:t>.</w:t>
      </w:r>
      <w:r w:rsidR="00B01D03">
        <w:rPr>
          <w:b/>
          <w:bCs/>
        </w:rPr>
        <w:t xml:space="preserve"> Vehicles in these classes are only measured according to the wide-open throttle acceleration test.</w:t>
      </w:r>
    </w:p>
    <w:p w14:paraId="34EF808C" w14:textId="77777777" w:rsidR="00FF1885" w:rsidRPr="00817993" w:rsidRDefault="00FF1885" w:rsidP="00FF1885">
      <w:pPr>
        <w:pStyle w:val="ListParagraph"/>
        <w:rPr>
          <w:b/>
          <w:bCs/>
        </w:rPr>
      </w:pPr>
    </w:p>
    <w:p w14:paraId="4863B9A3" w14:textId="4A8D1C0F" w:rsidR="00FF1885" w:rsidRDefault="00FF1885" w:rsidP="00031576">
      <w:pPr>
        <w:pStyle w:val="ListParagraph"/>
        <w:numPr>
          <w:ilvl w:val="1"/>
          <w:numId w:val="2"/>
        </w:numPr>
        <w:tabs>
          <w:tab w:val="left" w:pos="993"/>
        </w:tabs>
        <w:rPr>
          <w:b/>
          <w:bCs/>
        </w:rPr>
      </w:pPr>
      <w:r w:rsidRPr="00817993">
        <w:rPr>
          <w:b/>
          <w:bCs/>
        </w:rPr>
        <w:t>Based on the probability distribution, the variance and the standard deviation</w:t>
      </w:r>
      <w:r w:rsidR="009770B7">
        <w:rPr>
          <w:b/>
          <w:bCs/>
        </w:rPr>
        <w:t>,</w:t>
      </w:r>
      <w:r w:rsidRPr="00817993">
        <w:rPr>
          <w:b/>
          <w:bCs/>
        </w:rPr>
        <w:t xml:space="preserve"> </w:t>
      </w:r>
      <w:r w:rsidR="00990D8E">
        <w:rPr>
          <w:b/>
          <w:bCs/>
        </w:rPr>
        <w:t xml:space="preserve">the combined standard uncertainty </w:t>
      </w:r>
      <w:r w:rsidRPr="00817993">
        <w:rPr>
          <w:b/>
          <w:bCs/>
        </w:rPr>
        <w:t xml:space="preserve">is calculated. </w:t>
      </w:r>
      <w:r w:rsidR="009F1BD2" w:rsidRPr="00817993">
        <w:rPr>
          <w:b/>
          <w:bCs/>
        </w:rPr>
        <w:t>For each of the quantities, their contribution</w:t>
      </w:r>
      <w:r w:rsidR="00990D8E">
        <w:rPr>
          <w:b/>
          <w:bCs/>
        </w:rPr>
        <w:t xml:space="preserve"> to the overall uncertainty</w:t>
      </w:r>
      <w:r w:rsidR="009F1BD2" w:rsidRPr="00817993">
        <w:rPr>
          <w:b/>
          <w:bCs/>
        </w:rPr>
        <w:t xml:space="preserve"> (in %) has been calculated and makes it easy to understand the influence of the quantity to the total uncertainty</w:t>
      </w:r>
      <w:r w:rsidR="00A03AF2">
        <w:rPr>
          <w:b/>
          <w:bCs/>
        </w:rPr>
        <w:t>. The percentage is based on the total expanded uncertainty for all for test situations.</w:t>
      </w:r>
      <w:r w:rsidR="009F1BD2" w:rsidRPr="00817993">
        <w:rPr>
          <w:b/>
          <w:bCs/>
        </w:rPr>
        <w:t xml:space="preserve"> </w:t>
      </w:r>
      <w:r w:rsidRPr="00817993">
        <w:rPr>
          <w:b/>
          <w:bCs/>
        </w:rPr>
        <w:t>Some of these quantities can be compensated for, like the influence of temperature and test track variations, while other</w:t>
      </w:r>
      <w:r w:rsidR="009770B7">
        <w:rPr>
          <w:b/>
          <w:bCs/>
        </w:rPr>
        <w:t>s</w:t>
      </w:r>
      <w:r w:rsidR="00C262C7" w:rsidRPr="00817993">
        <w:rPr>
          <w:b/>
          <w:bCs/>
        </w:rPr>
        <w:t xml:space="preserve"> </w:t>
      </w:r>
      <w:r w:rsidR="009770B7">
        <w:rPr>
          <w:b/>
          <w:bCs/>
        </w:rPr>
        <w:t>are</w:t>
      </w:r>
      <w:r w:rsidRPr="00817993">
        <w:rPr>
          <w:b/>
          <w:bCs/>
        </w:rPr>
        <w:t xml:space="preserve"> of random type</w:t>
      </w:r>
      <w:r w:rsidR="009770B7">
        <w:rPr>
          <w:b/>
          <w:bCs/>
        </w:rPr>
        <w:t>s</w:t>
      </w:r>
      <w:r w:rsidRPr="00817993">
        <w:rPr>
          <w:b/>
          <w:bCs/>
        </w:rPr>
        <w:t>, like instrumentation accuracy and cannot be compensated.</w:t>
      </w:r>
    </w:p>
    <w:p w14:paraId="70D915B5" w14:textId="77777777" w:rsidR="00990D8E" w:rsidRPr="00990D8E" w:rsidRDefault="00990D8E" w:rsidP="00990D8E">
      <w:pPr>
        <w:pStyle w:val="ListParagraph"/>
        <w:rPr>
          <w:b/>
          <w:bCs/>
        </w:rPr>
      </w:pPr>
    </w:p>
    <w:p w14:paraId="6195D43E" w14:textId="77777777" w:rsidR="00807639" w:rsidRDefault="00990D8E" w:rsidP="00031576">
      <w:pPr>
        <w:pStyle w:val="ListParagraph"/>
        <w:numPr>
          <w:ilvl w:val="1"/>
          <w:numId w:val="2"/>
        </w:numPr>
        <w:tabs>
          <w:tab w:val="left" w:pos="993"/>
        </w:tabs>
        <w:rPr>
          <w:b/>
          <w:bCs/>
        </w:rPr>
      </w:pPr>
      <w:r>
        <w:rPr>
          <w:b/>
          <w:bCs/>
        </w:rPr>
        <w:t>The uncertainty is grouped into 4 different categories; Run-to-run, day-to-day, site-to-site and vehicle-to-vehicle. For each of these categories, the uncertainty budget is calculated separately for type-approval, CoP and field testing. For type-approval, the</w:t>
      </w:r>
      <w:r w:rsidR="00807639">
        <w:rPr>
          <w:b/>
          <w:bCs/>
        </w:rPr>
        <w:t xml:space="preserve"> relevant uncertainty is only related to run-to-run variations, while CoP includes vehicle-to-vehicle variations as well. </w:t>
      </w:r>
    </w:p>
    <w:p w14:paraId="4BFC4762" w14:textId="77777777" w:rsidR="00807639" w:rsidRPr="00807639" w:rsidRDefault="00807639" w:rsidP="00807639">
      <w:pPr>
        <w:pStyle w:val="ListParagraph"/>
        <w:rPr>
          <w:b/>
          <w:bCs/>
        </w:rPr>
      </w:pPr>
    </w:p>
    <w:p w14:paraId="60A33946" w14:textId="50D2D371" w:rsidR="00990D8E" w:rsidRPr="00817993" w:rsidRDefault="00807639" w:rsidP="00031576">
      <w:pPr>
        <w:pStyle w:val="ListParagraph"/>
        <w:numPr>
          <w:ilvl w:val="1"/>
          <w:numId w:val="2"/>
        </w:numPr>
        <w:tabs>
          <w:tab w:val="left" w:pos="993"/>
        </w:tabs>
        <w:rPr>
          <w:b/>
          <w:bCs/>
        </w:rPr>
      </w:pPr>
      <w:r>
        <w:rPr>
          <w:b/>
          <w:bCs/>
        </w:rPr>
        <w:t>Reg.51.03 is only regulating type-approval and CoP testing. However, due to the introduction of market surveillance</w:t>
      </w:r>
      <w:r w:rsidR="009770B7">
        <w:rPr>
          <w:b/>
          <w:bCs/>
        </w:rPr>
        <w:t xml:space="preserve"> and other types of in-use</w:t>
      </w:r>
      <w:r>
        <w:rPr>
          <w:b/>
          <w:bCs/>
        </w:rPr>
        <w:t xml:space="preserve"> testing</w:t>
      </w:r>
      <w:r w:rsidR="009770B7">
        <w:rPr>
          <w:b/>
          <w:bCs/>
        </w:rPr>
        <w:t>,</w:t>
      </w:r>
      <w:r>
        <w:rPr>
          <w:b/>
          <w:bCs/>
        </w:rPr>
        <w:t xml:space="preserve"> based on this regulation, it is important to include the uncertainty contribution relating to vehicle-to-vehicle variations.</w:t>
      </w:r>
    </w:p>
    <w:p w14:paraId="0A698D6E" w14:textId="77777777" w:rsidR="009F1BD2" w:rsidRPr="00817993" w:rsidRDefault="009F1BD2" w:rsidP="009F1BD2">
      <w:pPr>
        <w:pStyle w:val="ListParagraph"/>
        <w:rPr>
          <w:b/>
          <w:bCs/>
        </w:rPr>
      </w:pPr>
    </w:p>
    <w:p w14:paraId="34D56B32" w14:textId="73522451" w:rsidR="00FF1885" w:rsidRDefault="00FF1885" w:rsidP="00FF1885">
      <w:pPr>
        <w:pStyle w:val="ListParagraph"/>
        <w:rPr>
          <w:b/>
          <w:bCs/>
        </w:rPr>
      </w:pPr>
    </w:p>
    <w:p w14:paraId="31482294" w14:textId="37634894" w:rsidR="00A03AF2" w:rsidRDefault="00A03AF2" w:rsidP="00FF1885">
      <w:pPr>
        <w:pStyle w:val="ListParagraph"/>
        <w:rPr>
          <w:b/>
          <w:bCs/>
        </w:rPr>
      </w:pPr>
    </w:p>
    <w:p w14:paraId="76E4342C" w14:textId="2BB27718" w:rsidR="00A03AF2" w:rsidRDefault="00A03AF2" w:rsidP="00FF1885">
      <w:pPr>
        <w:pStyle w:val="ListParagraph"/>
        <w:rPr>
          <w:b/>
          <w:bCs/>
        </w:rPr>
      </w:pPr>
    </w:p>
    <w:p w14:paraId="788F97FA" w14:textId="37C63DDE" w:rsidR="00A03AF2" w:rsidRDefault="00A03AF2" w:rsidP="00FF1885">
      <w:pPr>
        <w:pStyle w:val="ListParagraph"/>
        <w:rPr>
          <w:b/>
          <w:bCs/>
        </w:rPr>
      </w:pPr>
    </w:p>
    <w:p w14:paraId="3211BB4E" w14:textId="63B2AEE2" w:rsidR="00C262C7" w:rsidRDefault="00F02112" w:rsidP="00C262C7">
      <w:pPr>
        <w:pStyle w:val="ListParagraph"/>
        <w:numPr>
          <w:ilvl w:val="0"/>
          <w:numId w:val="2"/>
        </w:numPr>
        <w:tabs>
          <w:tab w:val="left" w:pos="993"/>
        </w:tabs>
        <w:rPr>
          <w:b/>
          <w:bCs/>
        </w:rPr>
      </w:pPr>
      <w:r>
        <w:rPr>
          <w:b/>
          <w:bCs/>
        </w:rPr>
        <w:lastRenderedPageBreak/>
        <w:t>Uncertainty estimation</w:t>
      </w:r>
    </w:p>
    <w:p w14:paraId="3323CD7E" w14:textId="1CCC06AE" w:rsidR="00F02112" w:rsidRPr="005230DA" w:rsidRDefault="00F02112" w:rsidP="00F02112">
      <w:pPr>
        <w:pStyle w:val="Heading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230DA">
        <w:rPr>
          <w:rFonts w:ascii="Times New Roman" w:hAnsi="Times New Roman" w:cs="Times New Roman"/>
          <w:b/>
          <w:bCs/>
          <w:color w:val="auto"/>
          <w:sz w:val="20"/>
          <w:szCs w:val="20"/>
        </w:rPr>
        <w:t>2.1 Estimation of uncertainty per situation for M1, N1 and M2 &lt; 3500 kg</w:t>
      </w:r>
    </w:p>
    <w:p w14:paraId="30DE94A4" w14:textId="6531E79C" w:rsidR="00031576" w:rsidRPr="00E46CEE" w:rsidRDefault="00DA5DCF" w:rsidP="00C262C7">
      <w:pPr>
        <w:tabs>
          <w:tab w:val="left" w:pos="993"/>
        </w:tabs>
      </w:pPr>
      <w:r>
        <w:t xml:space="preserve"> </w:t>
      </w:r>
    </w:p>
    <w:p w14:paraId="286079C5" w14:textId="182C3623" w:rsidR="0003253B" w:rsidRDefault="0003253B" w:rsidP="0003253B"/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426"/>
        <w:gridCol w:w="425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E0025" w:rsidRPr="00852A52" w14:paraId="3E26F78C" w14:textId="77777777" w:rsidTr="00867D69">
        <w:trPr>
          <w:cantSplit/>
          <w:trHeight w:val="1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C4AE4B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Situation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F41EB" w14:textId="77777777" w:rsidR="00BE0025" w:rsidRPr="00113446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Input Quantity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70C9EF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Estimated deviations of the meas. result (peak-peak)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FFAF83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Impact on Lurb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FD1EB0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Probability </w:t>
            </w: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br/>
              <w:t>Distribution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F2791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Variance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DD984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Standard uncertainty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BE6FE7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Share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7A751" w14:textId="77777777" w:rsidR="00BE0025" w:rsidRPr="00113446" w:rsidRDefault="00BE0025" w:rsidP="00867D69">
            <w:pPr>
              <w:suppressAutoHyphens w:val="0"/>
              <w:spacing w:line="240" w:lineRule="auto"/>
              <w:ind w:left="-67" w:right="-7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Comb. stand. un-</w:t>
            </w:r>
          </w:p>
          <w:p w14:paraId="693AA351" w14:textId="77777777" w:rsidR="00BE0025" w:rsidRPr="00113446" w:rsidRDefault="00BE0025" w:rsidP="00867D69">
            <w:pPr>
              <w:suppressAutoHyphens w:val="0"/>
              <w:spacing w:line="240" w:lineRule="auto"/>
              <w:ind w:left="-67" w:right="-7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certainty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9852EA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Uncertainty Budgets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B1917B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95% uncertainty</w:t>
            </w:r>
          </w:p>
        </w:tc>
      </w:tr>
      <w:tr w:rsidR="00BE0025" w:rsidRPr="00852A52" w14:paraId="42D51AC8" w14:textId="77777777" w:rsidTr="00867D69">
        <w:trPr>
          <w:cantSplit/>
          <w:trHeight w:val="6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F383DB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66C22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3F2CB0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Lwot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A2620F" w14:textId="77777777" w:rsidR="00BE0025" w:rsidRPr="00113446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Lcrs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98B8B0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1E63E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ABC1A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AF1AA6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06AF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319C7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B598" w14:textId="77777777" w:rsidR="00BE0025" w:rsidRPr="00113446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Type </w:t>
            </w: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br/>
              <w:t>Appro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-</w:t>
            </w: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val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5AF1" w14:textId="77777777" w:rsidR="00BE0025" w:rsidRPr="00113446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>CoP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9767" w14:textId="77777777" w:rsidR="00BE0025" w:rsidRPr="00113446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Field </w:t>
            </w:r>
            <w:r w:rsidRPr="0011344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  <w:br/>
              <w:t>Tests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7A1520A" w14:textId="77777777" w:rsidR="00BE0025" w:rsidRPr="00113446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BE0025" w:rsidRPr="00AE6DBE" w14:paraId="427F05CA" w14:textId="77777777" w:rsidTr="00867D69">
        <w:trPr>
          <w:trHeight w:val="16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139A2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Run to Run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CC09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Microclimate wind effect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41D7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1,60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A5CA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6E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1,57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BBD4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1F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015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EE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0,392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937C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5,6%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E04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AC4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6C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52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AA2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1,1</w:t>
            </w:r>
          </w:p>
        </w:tc>
      </w:tr>
      <w:tr w:rsidR="00BE0025" w:rsidRPr="00AE6DBE" w14:paraId="00BE701C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E0A4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A74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Driver #1: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Deviation from centred driving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1355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94A8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F7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4D93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DB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91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53A5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55A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9BEF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249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D65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18B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786D1FE8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96EC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DB0C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Driver #2: Start of acceleration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ADD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1677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0B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FF03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B4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7C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1A10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0,5%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E29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CAD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492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B4E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402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41463F1C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308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1352D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Driver #3: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Speed variations of +/- 1km/h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1CCD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B8D7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39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4481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F0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6E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8647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5A0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BF0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68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B6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6E2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172E34A0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DB74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2D98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Driver #4: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Load variations during cruising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F77C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279B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1D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A383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74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89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BDF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0,3%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94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44D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8E6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087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B35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7416053D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A90D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34A2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Varying background noise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0089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5731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75F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7862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A8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22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5145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0,5%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09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C41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05D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C32D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0666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33821E05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E46F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F1FC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Variation on operating temperature of engine (WOT) and tyres (WOT&amp;CRS) =&gt; See ISO 362-1 note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407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04A7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96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62E9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E5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89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0,231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05A8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2,0%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D7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E1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701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347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9AB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1B45E32A" w14:textId="77777777" w:rsidTr="00867D69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680DB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Day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to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1FA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Barometric pressure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(Weather +/- 30 hPa)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C6E0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FD2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4C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3B20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22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CF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D29D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0,4%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15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ED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0,53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3B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C4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2A4B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2,1</w:t>
            </w:r>
          </w:p>
        </w:tc>
      </w:tr>
      <w:tr w:rsidR="00BE0025" w:rsidRPr="00AE6DBE" w14:paraId="36245B6E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7E33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E505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Air temperature effect on tyre noise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(5-10°C)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872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5CF3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21E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28C7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92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E0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748B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0,02%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036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A0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734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61D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DA1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BE0025" w:rsidRPr="00AE6DBE" w14:paraId="7DD79C36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51D8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49ED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Air temperature effect on tyre noise (10-40°C)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F647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2,20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F184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3CB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9B37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93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FA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0,772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1067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21,9%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07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37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0E9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3D6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5E2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BE0025" w:rsidRPr="00AE6DBE" w14:paraId="26A7A3C1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D99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68BB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Varying background noise during measurement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A01D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51E0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74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098F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rectangular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B5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9C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F201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71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704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4F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F6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037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BE0025" w:rsidRPr="00AE6DBE" w14:paraId="450D8C92" w14:textId="77777777" w:rsidTr="00867D69">
        <w:trPr>
          <w:trHeight w:val="1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ED72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E91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Air intake temperature variation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AD1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F26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88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E394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rectangular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C1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65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0,305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EE9C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3,4%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414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188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E2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7B2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8B2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BE0025" w:rsidRPr="00AE6DBE" w14:paraId="45AAA5E5" w14:textId="77777777" w:rsidTr="00867D69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D5D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F7D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Residual humidity on test track surface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5986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52C3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2,10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B8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5AE3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09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3A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0,377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07F9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5,2%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282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85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2D9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6CA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CE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</w:tr>
      <w:tr w:rsidR="00BE0025" w:rsidRPr="00AE6DBE" w14:paraId="7ACA8BBF" w14:textId="77777777" w:rsidTr="00867D69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B2C11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Site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 xml:space="preserve">to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Si</w:t>
            </w: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54E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Altitude (Location of Track)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-100 hPa/1000m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 </w:t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(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fr.</w:t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1015 to 915 hPa)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3FBC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E132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723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6B67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60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95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0,202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0F84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1,5%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9E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1,63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3B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57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0,82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07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1,63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0F1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3,3</w:t>
            </w:r>
          </w:p>
        </w:tc>
      </w:tr>
      <w:tr w:rsidR="00BE0025" w:rsidRPr="00AE6DBE" w14:paraId="40F1D171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6011C7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6CEA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Test Track Surface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512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3,40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F39E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5,50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CF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4,11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559A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47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1,41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72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1,187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FC15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51,8%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9A0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77E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9FD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08A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805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6D2B586A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CA03D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02E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Microphone Class 1 IEC 61672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7267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C5E7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83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411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EF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E4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F670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2,3%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69B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FE2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EDE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7D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E93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75D004AE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BC342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E926C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Sound calibrator IEC 60942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EBB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757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53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0F88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gaussian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97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BB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9440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0,6%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A5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2FA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639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E7D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795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1892AB09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078E1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A185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Speed measuring equipment continuous at 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4C22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A533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CD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94DA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68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42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0,029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4E64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34E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367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2D5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DA2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86B2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3DB53F91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8405A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98C7F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Acceleration calculation from vehicle speed measurement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FA8C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A761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91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8981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86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76E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949F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BFAD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5D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7D3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FA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1B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0A39BA95" w14:textId="77777777" w:rsidTr="00867D69"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478B6" w14:textId="77777777" w:rsidR="00BE0025" w:rsidRPr="00852A52" w:rsidRDefault="00BE0025" w:rsidP="00867D69">
            <w:pPr>
              <w:suppressAutoHyphens w:val="0"/>
              <w:spacing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  <w:r w:rsidRPr="00852A52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  <w:t>Vehicle to Vehicle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7D28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Production Variation on Tyres; Aging of Tyres until delivery to customer (1dB after one year)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575E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9742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72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8591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55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0BD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0,259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D2B8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2,5%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FF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2F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D0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76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1,73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87C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3,5</w:t>
            </w:r>
          </w:p>
        </w:tc>
      </w:tr>
      <w:tr w:rsidR="00BE0025" w:rsidRPr="00AE6DBE" w14:paraId="62B45E1C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B79F26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1576A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Tyres at minimum tread depth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3327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482A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48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549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3C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86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0,209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A941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1,8%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0384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BFAA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B79A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6390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7BC0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3F3C81BD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8B39A7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FA192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Variation on Tyre Size and Brand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(non-OEM)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391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825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7E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DE0E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DF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51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44EB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C3DB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474ACC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D6759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2A943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4206A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4B1AF280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9F3A0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3EAF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Production Variation in Power, incl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.</w:t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 proper break-in of a brand-new engine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8BA4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FEFE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87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C6FD3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8A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75D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8A0F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0,5%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B3BD5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742A8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0F23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A8C1A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15A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04697CF2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D5E6E0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F91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Battery state of charge for HEVs </w:t>
            </w:r>
            <w:r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br/>
            </w: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(3 dB(A))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DC4E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0047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714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936DC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B1B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E4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B3E2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0,0%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BFC4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A7D9E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2155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905F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6B56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6D89AC7E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B0B8E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36E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Production Variability of Sound Reduction Components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2207A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492A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28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056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gaussian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DD9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161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0,182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BDE04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1,2%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1401B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5210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FEAFF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704FC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3B4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2BD48A31" w14:textId="77777777" w:rsidTr="00867D69">
        <w:trPr>
          <w:trHeight w:val="162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B433A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EDFD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Impact of variation of vehicle mass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CFCF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05CE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77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 xml:space="preserve">1,60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7EE96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>rectangular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468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43A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6"/>
                <w:szCs w:val="16"/>
                <w:lang w:eastAsia="de-DE"/>
              </w:rPr>
              <w:t xml:space="preserve">0,462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1FC6F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000000"/>
                <w:sz w:val="16"/>
                <w:szCs w:val="16"/>
                <w:lang w:eastAsia="de-DE"/>
              </w:rPr>
              <w:t>7,8%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9E07B7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AC5B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F7C81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85334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CD2EC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de-DE"/>
              </w:rPr>
            </w:pPr>
          </w:p>
        </w:tc>
      </w:tr>
      <w:tr w:rsidR="00BE0025" w:rsidRPr="00AE6DBE" w14:paraId="7F05040C" w14:textId="77777777" w:rsidTr="00867D69">
        <w:trPr>
          <w:trHeight w:val="162"/>
        </w:trPr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3C64734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9C6500"/>
                <w:sz w:val="18"/>
                <w:szCs w:val="18"/>
                <w:lang w:eastAsia="de-DE"/>
              </w:rPr>
            </w:pPr>
            <w:r w:rsidRPr="00852A52">
              <w:rPr>
                <w:rFonts w:asciiTheme="majorBidi" w:hAnsiTheme="majorBidi" w:cstheme="majorBidi"/>
                <w:b/>
                <w:bCs/>
                <w:color w:val="9C65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8A661B8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hideMark/>
          </w:tcPr>
          <w:p w14:paraId="61FFA2CA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FC2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EC55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8C715D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D9A0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6DA84A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FFFF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color w:val="FFFFFF"/>
                <w:sz w:val="18"/>
                <w:szCs w:val="18"/>
                <w:lang w:eastAsia="de-DE"/>
              </w:rPr>
              <w:t xml:space="preserve">1,552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1EBC20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100 %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F4D6" w14:textId="77777777" w:rsidR="00BE0025" w:rsidRPr="00AE6DBE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4748E15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  <w:r w:rsidRPr="00AE6DBE">
              <w:rPr>
                <w:rFonts w:asciiTheme="majorBidi" w:hAnsiTheme="majorBidi" w:cstheme="majorBid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14:paraId="767B9B62" w14:textId="77777777" w:rsidR="00BE0025" w:rsidRPr="00AE6DBE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</w:p>
        </w:tc>
      </w:tr>
      <w:tr w:rsidR="00BE0025" w:rsidRPr="00852A52" w14:paraId="2BE62BF0" w14:textId="77777777" w:rsidTr="00867D69">
        <w:trPr>
          <w:trHeight w:val="162"/>
        </w:trPr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E792D87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9C6500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D486E9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</w:tcPr>
          <w:p w14:paraId="39485DA7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3DB4AC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48FEA1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5D3FA8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5FC95B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BC59D0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CE4B6B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300CF4" w14:textId="77777777" w:rsidR="00BE0025" w:rsidRPr="00852A52" w:rsidRDefault="00BE0025" w:rsidP="00867D69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16DD89C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</w:tcPr>
          <w:p w14:paraId="1E1BCF23" w14:textId="77777777" w:rsidR="00BE0025" w:rsidRPr="00852A52" w:rsidRDefault="00BE0025" w:rsidP="00867D69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tbl>
      <w:tblPr>
        <w:tblStyle w:val="TableGrid1"/>
        <w:tblW w:w="9781" w:type="dxa"/>
        <w:tblInd w:w="142" w:type="dxa"/>
        <w:tblLook w:val="0600" w:firstRow="0" w:lastRow="0" w:firstColumn="0" w:lastColumn="0" w:noHBand="1" w:noVBand="1"/>
      </w:tblPr>
      <w:tblGrid>
        <w:gridCol w:w="1985"/>
        <w:gridCol w:w="1010"/>
        <w:gridCol w:w="1399"/>
        <w:gridCol w:w="1843"/>
        <w:gridCol w:w="700"/>
        <w:gridCol w:w="1028"/>
        <w:gridCol w:w="824"/>
        <w:gridCol w:w="992"/>
      </w:tblGrid>
      <w:tr w:rsidR="00BE0025" w14:paraId="45B47863" w14:textId="77777777" w:rsidTr="00867D69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04ED6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  <w:commentRangeStart w:id="4"/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D2782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16FCF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  <w:sz w:val="18"/>
                <w:szCs w:val="18"/>
              </w:rPr>
              <w:t>Overall Combined Uncertainty</w:t>
            </w:r>
            <w:r w:rsidRPr="000878B8">
              <w:rPr>
                <w:b/>
              </w:rPr>
              <w:t xml:space="preserve"> +/-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B19E9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</w:rPr>
              <w:t xml:space="preserve">Expanded uncertainty (95%) </w:t>
            </w:r>
            <w:r>
              <w:rPr>
                <w:b/>
              </w:rPr>
              <w:br/>
            </w:r>
            <w:r w:rsidRPr="000878B8">
              <w:rPr>
                <w:b/>
              </w:rPr>
              <w:t>+/-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E4F3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507EF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</w:rPr>
              <w:t>Type Approval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14:paraId="4E4E2481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</w:rPr>
              <w:t>CoP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B4A0C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</w:rPr>
              <w:t>Field Test</w:t>
            </w:r>
          </w:p>
        </w:tc>
      </w:tr>
      <w:tr w:rsidR="00BE0025" w14:paraId="356A9544" w14:textId="77777777" w:rsidTr="00867D69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B597D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0878B8">
              <w:rPr>
                <w:b/>
              </w:rPr>
              <w:t>Coverage Factor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DCFD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14:paraId="2B3EA1D0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2827B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45AF6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14:paraId="1D8264A3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14:paraId="2E5B8FD1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9A90D29" w14:textId="77777777" w:rsidR="00BE0025" w:rsidRDefault="00BE0025" w:rsidP="00867D69">
            <w:pPr>
              <w:suppressAutoHyphens w:val="0"/>
              <w:spacing w:line="240" w:lineRule="auto"/>
              <w:jc w:val="center"/>
              <w:rPr>
                <w:bCs/>
              </w:rPr>
            </w:pPr>
          </w:p>
        </w:tc>
      </w:tr>
      <w:tr w:rsidR="00BE0025" w14:paraId="3F7240C9" w14:textId="77777777" w:rsidTr="00867D69">
        <w:trPr>
          <w:trHeight w:val="1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D3475" w14:textId="0C4F3423" w:rsidR="00BE0025" w:rsidRPr="00AB62DE" w:rsidRDefault="00BE0025" w:rsidP="00867D69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516A23">
              <w:rPr>
                <w:b/>
              </w:rPr>
              <w:t>k=2 (95%)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255C8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3A19501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8B8">
              <w:rPr>
                <w:b/>
                <w:sz w:val="24"/>
                <w:szCs w:val="24"/>
              </w:rPr>
              <w:t>1,73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DDF572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8B8">
              <w:rPr>
                <w:b/>
                <w:sz w:val="24"/>
                <w:szCs w:val="24"/>
              </w:rPr>
              <w:t>3,46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DE517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EA728E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8B8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398B33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8B8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9E06A8" w14:textId="77777777" w:rsidR="00BE0025" w:rsidRPr="000878B8" w:rsidRDefault="00BE0025" w:rsidP="00867D6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8B8">
              <w:rPr>
                <w:b/>
                <w:sz w:val="24"/>
                <w:szCs w:val="24"/>
              </w:rPr>
              <w:t>5,3</w:t>
            </w:r>
          </w:p>
        </w:tc>
      </w:tr>
    </w:tbl>
    <w:p w14:paraId="73259FB3" w14:textId="1C26AA0C" w:rsidR="0003253B" w:rsidRDefault="0003253B" w:rsidP="0003253B"/>
    <w:p w14:paraId="060516FA" w14:textId="77777777" w:rsidR="00807639" w:rsidRDefault="00807639" w:rsidP="00B01D03">
      <w:pPr>
        <w:pStyle w:val="Heading2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1DDB1D0D" w14:textId="76CF33DA" w:rsidR="00B01D03" w:rsidRPr="005230DA" w:rsidRDefault="00B01D03" w:rsidP="00B01D03">
      <w:pPr>
        <w:pStyle w:val="Heading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230DA"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  <w:t xml:space="preserve">2.2 Estimation of uncertainty per situation for </w:t>
      </w:r>
      <w:r w:rsidR="00072D0A" w:rsidRPr="00072D0A"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  <w:t xml:space="preserve">N2, N3, M2 &gt;3500 kg and </w:t>
      </w:r>
      <w:commentRangeStart w:id="5"/>
      <w:r w:rsidR="00072D0A" w:rsidRPr="00072D0A"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  <w:t>M3</w:t>
      </w:r>
      <w:commentRangeEnd w:id="5"/>
      <w:r w:rsidR="003E196B">
        <w:rPr>
          <w:rStyle w:val="CommentReference"/>
          <w:rFonts w:ascii="Times New Roman" w:eastAsiaTheme="minorEastAsia" w:hAnsi="Times New Roman" w:cs="Times New Roman"/>
          <w:color w:val="auto"/>
        </w:rPr>
        <w:commentReference w:id="5"/>
      </w:r>
      <w:r w:rsidRPr="005230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0401860" w14:textId="77777777" w:rsidR="00A60E30" w:rsidRPr="00A60E30" w:rsidRDefault="00A60E30" w:rsidP="00A60E30"/>
    <w:p w14:paraId="2E458FCA" w14:textId="2CF302A0" w:rsidR="0003253B" w:rsidRDefault="00A60E30" w:rsidP="0003253B">
      <w:r>
        <w:rPr>
          <w:noProof/>
        </w:rPr>
        <w:drawing>
          <wp:inline distT="0" distB="0" distL="0" distR="0" wp14:anchorId="6B6EE06F" wp14:editId="107C35D6">
            <wp:extent cx="5734050" cy="27410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68" cy="275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871CC" w14:textId="1BF23F08" w:rsidR="00BE0025" w:rsidRDefault="00BE0025" w:rsidP="0003253B"/>
    <w:p w14:paraId="3768D7EC" w14:textId="77777777" w:rsidR="00BE0025" w:rsidRDefault="00BE0025" w:rsidP="0003253B"/>
    <w:p w14:paraId="2A069577" w14:textId="199AC484" w:rsidR="005F50A2" w:rsidRPr="005230DA" w:rsidRDefault="005F50A2" w:rsidP="005F50A2">
      <w:pPr>
        <w:pStyle w:val="ListParagraph"/>
        <w:numPr>
          <w:ilvl w:val="0"/>
          <w:numId w:val="2"/>
        </w:numPr>
        <w:rPr>
          <w:b/>
          <w:bCs/>
        </w:rPr>
      </w:pPr>
      <w:r w:rsidRPr="005230DA">
        <w:rPr>
          <w:b/>
          <w:bCs/>
        </w:rPr>
        <w:t>Update of tables</w:t>
      </w:r>
    </w:p>
    <w:p w14:paraId="6171CA7A" w14:textId="51D1AF68" w:rsidR="005F50A2" w:rsidRPr="005230DA" w:rsidRDefault="005F50A2" w:rsidP="002B5C3D">
      <w:pPr>
        <w:pStyle w:val="ListParagraph"/>
        <w:numPr>
          <w:ilvl w:val="1"/>
          <w:numId w:val="2"/>
        </w:numPr>
        <w:rPr>
          <w:b/>
          <w:bCs/>
        </w:rPr>
      </w:pPr>
      <w:r w:rsidRPr="005230DA">
        <w:rPr>
          <w:b/>
          <w:bCs/>
        </w:rPr>
        <w:t xml:space="preserve">The tables in 2.1 </w:t>
      </w:r>
      <w:r w:rsidR="00A60E30" w:rsidRPr="005230DA">
        <w:rPr>
          <w:b/>
          <w:bCs/>
        </w:rPr>
        <w:t>and 2.2 are</w:t>
      </w:r>
      <w:r w:rsidRPr="005230DA">
        <w:rPr>
          <w:b/>
          <w:bCs/>
        </w:rPr>
        <w:t xml:space="preserve"> based on the </w:t>
      </w:r>
      <w:r w:rsidR="002B5C3D" w:rsidRPr="005230DA">
        <w:rPr>
          <w:b/>
          <w:bCs/>
        </w:rPr>
        <w:t xml:space="preserve">Supplement </w:t>
      </w:r>
      <w:r w:rsidR="00792258" w:rsidRPr="005230DA">
        <w:rPr>
          <w:b/>
          <w:bCs/>
          <w:highlight w:val="yellow"/>
        </w:rPr>
        <w:t>7</w:t>
      </w:r>
      <w:r w:rsidR="002B5C3D" w:rsidRPr="005230DA">
        <w:rPr>
          <w:b/>
          <w:bCs/>
        </w:rPr>
        <w:t xml:space="preserve"> of Regulation 51.03. If the regulation is amended, any implication for the measurement uncertainties shall be evaluated and if necessary, </w:t>
      </w:r>
      <w:r w:rsidR="00A60E30" w:rsidRPr="005230DA">
        <w:rPr>
          <w:b/>
          <w:bCs/>
        </w:rPr>
        <w:t>the</w:t>
      </w:r>
      <w:r w:rsidR="002B5C3D" w:rsidRPr="005230DA">
        <w:rPr>
          <w:b/>
          <w:bCs/>
        </w:rPr>
        <w:t xml:space="preserve"> tables in Appendix </w:t>
      </w:r>
      <w:r w:rsidR="00A60E30" w:rsidRPr="005230DA">
        <w:rPr>
          <w:b/>
          <w:bCs/>
        </w:rPr>
        <w:t>4</w:t>
      </w:r>
      <w:r w:rsidR="002B5C3D" w:rsidRPr="005230DA">
        <w:rPr>
          <w:b/>
          <w:bCs/>
        </w:rPr>
        <w:t xml:space="preserve"> shall be updated.</w:t>
      </w:r>
    </w:p>
    <w:p w14:paraId="0B5405DC" w14:textId="630D8586" w:rsidR="002B5C3D" w:rsidRPr="005230DA" w:rsidRDefault="002B5C3D" w:rsidP="002B5C3D">
      <w:pPr>
        <w:rPr>
          <w:b/>
          <w:bCs/>
        </w:rPr>
      </w:pPr>
    </w:p>
    <w:p w14:paraId="18C84BF6" w14:textId="5716CD85" w:rsidR="002B5C3D" w:rsidRDefault="002B5C3D" w:rsidP="002B5C3D"/>
    <w:p w14:paraId="20D74727" w14:textId="65545392" w:rsidR="002B5C3D" w:rsidRDefault="002B5C3D" w:rsidP="002B5C3D">
      <w:commentRangeStart w:id="6"/>
      <w:r>
        <w:t>Justification</w:t>
      </w:r>
      <w:r w:rsidR="00EA5186">
        <w:t>:</w:t>
      </w:r>
      <w:commentRangeEnd w:id="6"/>
      <w:r w:rsidR="003E196B">
        <w:rPr>
          <w:rStyle w:val="CommentReference"/>
        </w:rPr>
        <w:commentReference w:id="6"/>
      </w:r>
    </w:p>
    <w:p w14:paraId="5C79BFAF" w14:textId="571778A7" w:rsidR="00EA5186" w:rsidRDefault="00EA5186" w:rsidP="00EA5186">
      <w:pPr>
        <w:tabs>
          <w:tab w:val="left" w:pos="993"/>
        </w:tabs>
        <w:ind w:left="592"/>
        <w:rPr>
          <w:b/>
          <w:bCs/>
        </w:rPr>
      </w:pPr>
      <w:r w:rsidRPr="00EA5186">
        <w:t>The measurement uncertainties developed in this Appendix are based on the work of the GRBP Informal Working Group on Measurement Uncertainties. This working group has developed a Document</w:t>
      </w:r>
      <w:r w:rsidR="00A60E30">
        <w:t xml:space="preserve"> for </w:t>
      </w:r>
      <w:r w:rsidRPr="00EA5186">
        <w:t>Reference, which describes a general approach to estimate measurement uncertainties (ECE-TRANS-WP.29-GRBP-2022-09)</w:t>
      </w:r>
      <w:r w:rsidR="00810C62">
        <w:t>.</w:t>
      </w:r>
    </w:p>
    <w:p w14:paraId="46107748" w14:textId="77777777" w:rsidR="00EA5186" w:rsidRDefault="00EA5186" w:rsidP="00EA5186">
      <w:pPr>
        <w:tabs>
          <w:tab w:val="left" w:pos="993"/>
        </w:tabs>
        <w:ind w:left="592"/>
        <w:rPr>
          <w:b/>
          <w:bCs/>
        </w:rPr>
      </w:pPr>
    </w:p>
    <w:p w14:paraId="7AD16250" w14:textId="45BB8600" w:rsidR="00EA5186" w:rsidRPr="00EA5186" w:rsidRDefault="00EA5186" w:rsidP="00EA5186">
      <w:pPr>
        <w:tabs>
          <w:tab w:val="left" w:pos="993"/>
        </w:tabs>
        <w:ind w:left="592"/>
      </w:pPr>
      <w:r w:rsidRPr="00EA5186">
        <w:t>The impact of the quantities on the expanded uncertainty has been evaluated separately for run-to-run, day-to-day, vehicle-to-vehicle and site-to-site variations. Some of the different impacts are based on calculations from tolerances in Annex 3, while others are based on experiences.</w:t>
      </w:r>
    </w:p>
    <w:p w14:paraId="044BB464" w14:textId="4DB59D1C" w:rsidR="002B5C3D" w:rsidRPr="00EA5186" w:rsidRDefault="002B5C3D" w:rsidP="002B5C3D"/>
    <w:sectPr w:rsidR="002B5C3D" w:rsidRPr="00EA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ruls Berge" w:date="2022-06-10T14:03:00Z" w:initials="TB">
    <w:p w14:paraId="506FC396" w14:textId="77777777" w:rsidR="003E196B" w:rsidRDefault="003E196B" w:rsidP="00C36AD3">
      <w:pPr>
        <w:pStyle w:val="CommentText"/>
      </w:pPr>
      <w:r>
        <w:rPr>
          <w:rStyle w:val="CommentReference"/>
        </w:rPr>
        <w:annotationRef/>
      </w:r>
      <w:r>
        <w:t>Correct to refer to new supplement?</w:t>
      </w:r>
    </w:p>
  </w:comment>
  <w:comment w:id="4" w:author="Author" w:initials="A">
    <w:p w14:paraId="1D2C2C46" w14:textId="6AAF35BE" w:rsidR="00BE0025" w:rsidRPr="00852A52" w:rsidRDefault="00BE0025" w:rsidP="00BE002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52A52">
        <w:rPr>
          <w:lang w:val="en-US"/>
        </w:rPr>
        <w:t>Has to be a editable t</w:t>
      </w:r>
      <w:r>
        <w:rPr>
          <w:lang w:val="en-US"/>
        </w:rPr>
        <w:t>able not a graphic!</w:t>
      </w:r>
    </w:p>
  </w:comment>
  <w:comment w:id="5" w:author="Truls Berge" w:date="2022-06-10T14:04:00Z" w:initials="TB">
    <w:p w14:paraId="36DB38E3" w14:textId="77777777" w:rsidR="003E196B" w:rsidRDefault="003E196B" w:rsidP="003A6AFF">
      <w:pPr>
        <w:pStyle w:val="CommentText"/>
      </w:pPr>
      <w:r>
        <w:rPr>
          <w:rStyle w:val="CommentReference"/>
        </w:rPr>
        <w:annotationRef/>
      </w:r>
      <w:r>
        <w:t>This table will be updated from Per-Uno/HCV group., to be the same format as for the table above</w:t>
      </w:r>
    </w:p>
  </w:comment>
  <w:comment w:id="6" w:author="Truls Berge" w:date="2022-06-10T14:05:00Z" w:initials="TB">
    <w:p w14:paraId="50AFC97E" w14:textId="77777777" w:rsidR="003E196B" w:rsidRDefault="003E196B" w:rsidP="004017D5">
      <w:pPr>
        <w:pStyle w:val="CommentText"/>
      </w:pPr>
      <w:r>
        <w:rPr>
          <w:rStyle w:val="CommentReference"/>
        </w:rPr>
        <w:annotationRef/>
      </w:r>
      <w:r>
        <w:t>Please add/or revise this part also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6FC396" w15:done="0"/>
  <w15:commentEx w15:paraId="1D2C2C46" w15:done="1"/>
  <w15:commentEx w15:paraId="36DB38E3" w15:done="0"/>
  <w15:commentEx w15:paraId="50AFC9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CDB0" w16cex:dateUtc="2022-06-10T12:03:00Z"/>
  <w16cex:commentExtensible w16cex:durableId="264DCDFC" w16cex:dateUtc="2022-06-10T12:04:00Z"/>
  <w16cex:commentExtensible w16cex:durableId="264DCE1B" w16cex:dateUtc="2022-06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FC396" w16cid:durableId="264DCDB0"/>
  <w16cid:commentId w16cid:paraId="1D2C2C46" w16cid:durableId="25F7FFAA"/>
  <w16cid:commentId w16cid:paraId="36DB38E3" w16cid:durableId="264DCDFC"/>
  <w16cid:commentId w16cid:paraId="50AFC97E" w16cid:durableId="264DCE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FD1"/>
    <w:multiLevelType w:val="multilevel"/>
    <w:tmpl w:val="45B0D6C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440"/>
      </w:pPr>
      <w:rPr>
        <w:rFonts w:hint="default"/>
      </w:rPr>
    </w:lvl>
  </w:abstractNum>
  <w:abstractNum w:abstractNumId="1" w15:restartNumberingAfterBreak="0">
    <w:nsid w:val="31E60E41"/>
    <w:multiLevelType w:val="multilevel"/>
    <w:tmpl w:val="45B0D6C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440"/>
      </w:pPr>
      <w:rPr>
        <w:rFonts w:hint="default"/>
      </w:rPr>
    </w:lvl>
  </w:abstractNum>
  <w:abstractNum w:abstractNumId="2" w15:restartNumberingAfterBreak="0">
    <w:nsid w:val="4AE610C5"/>
    <w:multiLevelType w:val="multilevel"/>
    <w:tmpl w:val="54ACB6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6F2908"/>
    <w:multiLevelType w:val="multilevel"/>
    <w:tmpl w:val="45B0D6C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440"/>
      </w:pPr>
      <w:rPr>
        <w:rFonts w:hint="default"/>
      </w:rPr>
    </w:lvl>
  </w:abstractNum>
  <w:abstractNum w:abstractNumId="4" w15:restartNumberingAfterBreak="0">
    <w:nsid w:val="598473B9"/>
    <w:multiLevelType w:val="multilevel"/>
    <w:tmpl w:val="7C1EF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440"/>
      </w:pPr>
      <w:rPr>
        <w:rFonts w:hint="default"/>
      </w:rPr>
    </w:lvl>
  </w:abstractNum>
  <w:abstractNum w:abstractNumId="5" w15:restartNumberingAfterBreak="0">
    <w:nsid w:val="7B041C54"/>
    <w:multiLevelType w:val="multilevel"/>
    <w:tmpl w:val="45B0D6C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440"/>
      </w:pPr>
      <w:rPr>
        <w:rFonts w:hint="default"/>
      </w:rPr>
    </w:lvl>
  </w:abstractNum>
  <w:num w:numId="1" w16cid:durableId="700203340">
    <w:abstractNumId w:val="2"/>
  </w:num>
  <w:num w:numId="2" w16cid:durableId="860707177">
    <w:abstractNumId w:val="3"/>
  </w:num>
  <w:num w:numId="3" w16cid:durableId="1308626378">
    <w:abstractNumId w:val="5"/>
  </w:num>
  <w:num w:numId="4" w16cid:durableId="93674951">
    <w:abstractNumId w:val="1"/>
  </w:num>
  <w:num w:numId="5" w16cid:durableId="816265335">
    <w:abstractNumId w:val="4"/>
  </w:num>
  <w:num w:numId="6" w16cid:durableId="6914211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uls Berge">
    <w15:presenceInfo w15:providerId="AD" w15:userId="S::truls.berge@sintef.no::b4b342c6-3a38-48c9-b599-3ca9f23cd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76"/>
    <w:rsid w:val="00026799"/>
    <w:rsid w:val="00031576"/>
    <w:rsid w:val="0003253B"/>
    <w:rsid w:val="00072D0A"/>
    <w:rsid w:val="000B599E"/>
    <w:rsid w:val="00104BB0"/>
    <w:rsid w:val="0012087A"/>
    <w:rsid w:val="00193770"/>
    <w:rsid w:val="002160AE"/>
    <w:rsid w:val="00253153"/>
    <w:rsid w:val="00291DC6"/>
    <w:rsid w:val="002B5C3D"/>
    <w:rsid w:val="0031709D"/>
    <w:rsid w:val="00325BB3"/>
    <w:rsid w:val="003537AF"/>
    <w:rsid w:val="00362D6F"/>
    <w:rsid w:val="00366DF7"/>
    <w:rsid w:val="0038749E"/>
    <w:rsid w:val="00392DB1"/>
    <w:rsid w:val="003E196B"/>
    <w:rsid w:val="004255F3"/>
    <w:rsid w:val="005026E7"/>
    <w:rsid w:val="005230DA"/>
    <w:rsid w:val="005B0F21"/>
    <w:rsid w:val="005F50A2"/>
    <w:rsid w:val="0061349D"/>
    <w:rsid w:val="0065237B"/>
    <w:rsid w:val="00677CEA"/>
    <w:rsid w:val="006E21A6"/>
    <w:rsid w:val="0070413B"/>
    <w:rsid w:val="00761381"/>
    <w:rsid w:val="00792258"/>
    <w:rsid w:val="007A3599"/>
    <w:rsid w:val="007C0970"/>
    <w:rsid w:val="00807639"/>
    <w:rsid w:val="00810C62"/>
    <w:rsid w:val="00817993"/>
    <w:rsid w:val="008203E6"/>
    <w:rsid w:val="008520A1"/>
    <w:rsid w:val="008A3861"/>
    <w:rsid w:val="00910DF1"/>
    <w:rsid w:val="0091213E"/>
    <w:rsid w:val="00923059"/>
    <w:rsid w:val="00924190"/>
    <w:rsid w:val="009770B7"/>
    <w:rsid w:val="00990D8E"/>
    <w:rsid w:val="009A3E5E"/>
    <w:rsid w:val="009C09AC"/>
    <w:rsid w:val="009D0E27"/>
    <w:rsid w:val="009F1BD2"/>
    <w:rsid w:val="00A03AF2"/>
    <w:rsid w:val="00A60E30"/>
    <w:rsid w:val="00A74AF4"/>
    <w:rsid w:val="00AE2281"/>
    <w:rsid w:val="00B01D03"/>
    <w:rsid w:val="00B82CC9"/>
    <w:rsid w:val="00BA25FB"/>
    <w:rsid w:val="00BD464D"/>
    <w:rsid w:val="00BE0025"/>
    <w:rsid w:val="00BF1242"/>
    <w:rsid w:val="00C024B1"/>
    <w:rsid w:val="00C262C7"/>
    <w:rsid w:val="00C3555A"/>
    <w:rsid w:val="00CB2A41"/>
    <w:rsid w:val="00CC1CA7"/>
    <w:rsid w:val="00D33891"/>
    <w:rsid w:val="00D5602D"/>
    <w:rsid w:val="00D727AB"/>
    <w:rsid w:val="00DA5DCF"/>
    <w:rsid w:val="00E0759F"/>
    <w:rsid w:val="00E46CFE"/>
    <w:rsid w:val="00EA5186"/>
    <w:rsid w:val="00EC7747"/>
    <w:rsid w:val="00F02112"/>
    <w:rsid w:val="00F25000"/>
    <w:rsid w:val="00F6027D"/>
    <w:rsid w:val="00F82585"/>
    <w:rsid w:val="00F90E45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8B1"/>
  <w15:chartTrackingRefBased/>
  <w15:docId w15:val="{D588773E-39DA-4E0D-8B21-CE653BA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EA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fr-BE"/>
    </w:rPr>
  </w:style>
  <w:style w:type="character" w:customStyle="1" w:styleId="Heading1Char">
    <w:name w:val="Heading 1 Char"/>
    <w:basedOn w:val="DefaultParagraphFont"/>
    <w:link w:val="Heading1"/>
    <w:uiPriority w:val="9"/>
    <w:rsid w:val="000315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31576"/>
    <w:pPr>
      <w:ind w:left="720"/>
      <w:contextualSpacing/>
    </w:pPr>
  </w:style>
  <w:style w:type="paragraph" w:customStyle="1" w:styleId="para">
    <w:name w:val="para"/>
    <w:basedOn w:val="Normal"/>
    <w:link w:val="paraChar"/>
    <w:qFormat/>
    <w:rsid w:val="00031576"/>
    <w:pPr>
      <w:spacing w:after="120"/>
      <w:ind w:left="2268" w:right="1134" w:hanging="1134"/>
      <w:jc w:val="both"/>
    </w:pPr>
    <w:rPr>
      <w:rFonts w:eastAsia="Times New Roman"/>
    </w:rPr>
  </w:style>
  <w:style w:type="character" w:customStyle="1" w:styleId="paraChar">
    <w:name w:val="para Char"/>
    <w:link w:val="para"/>
    <w:locked/>
    <w:rsid w:val="00031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15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39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66D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91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91DC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C6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table" w:styleId="TableGrid1">
    <w:name w:val="Table Grid 1"/>
    <w:basedOn w:val="TableNormal"/>
    <w:rsid w:val="00BE002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Berge</dc:creator>
  <cp:keywords/>
  <dc:description/>
  <cp:lastModifiedBy>Truls Berge</cp:lastModifiedBy>
  <cp:revision>5</cp:revision>
  <dcterms:created xsi:type="dcterms:W3CDTF">2022-06-10T12:01:00Z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-970208625</vt:i4>
  </property>
  <property fmtid="{D5CDD505-2E9C-101B-9397-08002B2CF9AE}" pid="3" name="_NewReviewCycle">
    <vt:lpwstr/>
  </property>
  <property fmtid="{D5CDD505-2E9C-101B-9397-08002B2CF9AE}" pid="4" name="_EmailSubject">
    <vt:lpwstr>Documents for tomorrow</vt:lpwstr>
  </property>
  <property fmtid="{D5CDD505-2E9C-101B-9397-08002B2CF9AE}" pid="5" name="_AuthorEmail">
    <vt:lpwstr>Truls.Berge@sintef.no</vt:lpwstr>
  </property>
  <property fmtid="{D5CDD505-2E9C-101B-9397-08002B2CF9AE}" pid="6" name="_AuthorEmailDisplayName">
    <vt:lpwstr>Truls Berge</vt:lpwstr>
  </property>
</Properties>
</file>