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72" w:rsidRDefault="00C64C72" w:rsidP="00C64C72">
      <w:pPr>
        <w:pBdr>
          <w:bottom w:val="single" w:sz="12" w:space="1" w:color="auto"/>
        </w:pBdr>
      </w:pPr>
      <w:bookmarkStart w:id="0" w:name="_GoBack"/>
      <w:bookmarkEnd w:id="0"/>
    </w:p>
    <w:p w:rsidR="004B5E5D" w:rsidRDefault="004B5E5D" w:rsidP="00C64C72"/>
    <w:p w:rsidR="004B5E5D" w:rsidRDefault="004B5E5D" w:rsidP="00C64C72"/>
    <w:p w:rsidR="00C64C72" w:rsidRDefault="00C64C72" w:rsidP="00C64C72">
      <w:r>
        <w:t>Regulation UNECE 55 is changed:</w:t>
      </w:r>
    </w:p>
    <w:p w:rsidR="00CC3C89" w:rsidRDefault="00CC3C89" w:rsidP="00C64C72">
      <w:r>
        <w:t>Change</w:t>
      </w:r>
      <w:r w:rsidR="00940D9D">
        <w:t xml:space="preserve"> Annex </w:t>
      </w:r>
      <w:proofErr w:type="gramStart"/>
      <w:r w:rsidR="00940D9D">
        <w:t>6  paragraph</w:t>
      </w:r>
      <w:proofErr w:type="gramEnd"/>
      <w:r w:rsidR="00940D9D">
        <w:t xml:space="preserve"> 1.</w:t>
      </w:r>
      <w:r>
        <w:t>1.</w:t>
      </w:r>
      <w:r w:rsidR="00546017">
        <w:t xml:space="preserve"> </w:t>
      </w:r>
      <w:proofErr w:type="gramStart"/>
      <w:r>
        <w:t>to</w:t>
      </w:r>
      <w:proofErr w:type="gramEnd"/>
      <w:r>
        <w:t xml:space="preserve"> read:</w:t>
      </w:r>
    </w:p>
    <w:p w:rsidR="00CC3C89" w:rsidRDefault="00940D9D" w:rsidP="00940D9D">
      <w:r>
        <w:t>1.</w:t>
      </w:r>
      <w:r w:rsidR="00CC3C89">
        <w:t xml:space="preserve">1. </w:t>
      </w:r>
      <w:r w:rsidRPr="00940D9D">
        <w:t>Samples of coupling devices shall be tested for both strength and</w:t>
      </w:r>
      <w:r>
        <w:t xml:space="preserve"> </w:t>
      </w:r>
      <w:r w:rsidRPr="00940D9D">
        <w:t>function. Physical testing shall be carried out wherever possible</w:t>
      </w:r>
      <w:r w:rsidRPr="00940D9D">
        <w:rPr>
          <w:b/>
        </w:rPr>
        <w:t>.</w:t>
      </w:r>
      <w:r>
        <w:t xml:space="preserve"> B</w:t>
      </w:r>
      <w:r w:rsidRPr="00940D9D">
        <w:t xml:space="preserve">ut unless stated </w:t>
      </w:r>
      <w:proofErr w:type="gramStart"/>
      <w:r w:rsidRPr="00940D9D">
        <w:t xml:space="preserve">otherwise </w:t>
      </w:r>
      <w:r w:rsidRPr="00940D9D">
        <w:rPr>
          <w:strike/>
        </w:rPr>
        <w:t xml:space="preserve"> </w:t>
      </w:r>
      <w:r w:rsidRPr="00940D9D">
        <w:t>the</w:t>
      </w:r>
      <w:proofErr w:type="gramEnd"/>
      <w:r w:rsidRPr="00940D9D">
        <w:t xml:space="preserve"> type approval authority or technical service may</w:t>
      </w:r>
      <w:r>
        <w:rPr>
          <w:b/>
        </w:rPr>
        <w:t xml:space="preserve"> </w:t>
      </w:r>
      <w:r w:rsidRPr="00940D9D">
        <w:rPr>
          <w:b/>
        </w:rPr>
        <w:t xml:space="preserve">in cases where a calculation procedure validated according to Appendix 1 of this Annex </w:t>
      </w:r>
      <w:r>
        <w:rPr>
          <w:b/>
        </w:rPr>
        <w:t xml:space="preserve">exists </w:t>
      </w:r>
      <w:r w:rsidRPr="00940D9D">
        <w:rPr>
          <w:b/>
        </w:rPr>
        <w:t>bas</w:t>
      </w:r>
      <w:r>
        <w:rPr>
          <w:b/>
        </w:rPr>
        <w:t xml:space="preserve">e the approval on </w:t>
      </w:r>
      <w:r w:rsidR="00B83D36">
        <w:rPr>
          <w:b/>
        </w:rPr>
        <w:t>calculated results.</w:t>
      </w:r>
      <w:r>
        <w:rPr>
          <w:b/>
        </w:rPr>
        <w:t xml:space="preserve">      </w:t>
      </w:r>
      <w:proofErr w:type="gramStart"/>
      <w:r w:rsidRPr="00940D9D">
        <w:rPr>
          <w:b/>
        </w:rPr>
        <w:t>e</w:t>
      </w:r>
      <w:proofErr w:type="gramEnd"/>
      <w:r w:rsidRPr="00940D9D">
        <w:t xml:space="preserve">   </w:t>
      </w:r>
      <w:r w:rsidRPr="00940D9D">
        <w:rPr>
          <w:strike/>
        </w:rPr>
        <w:t>waive a physical strength test if the simple design of a component makes a theoretical check possible</w:t>
      </w:r>
      <w:r>
        <w:t xml:space="preserve"> </w:t>
      </w:r>
      <w:r w:rsidRPr="00940D9D">
        <w:t>.</w:t>
      </w:r>
      <w:r>
        <w:t xml:space="preserve"> </w:t>
      </w:r>
      <w:r w:rsidRPr="00940D9D">
        <w:t>Theoretical checks may be carried out to determine worst case</w:t>
      </w:r>
      <w:r>
        <w:t xml:space="preserve"> </w:t>
      </w:r>
      <w:r w:rsidRPr="00940D9D">
        <w:t>conditions. In all cases, theoretical checks shall ensure the</w:t>
      </w:r>
      <w:r>
        <w:t xml:space="preserve"> </w:t>
      </w:r>
      <w:r w:rsidRPr="00940D9D">
        <w:t>same quality of results as with dynamic or static testing. In</w:t>
      </w:r>
      <w:r>
        <w:t xml:space="preserve"> </w:t>
      </w:r>
      <w:r w:rsidRPr="00940D9D">
        <w:t>cases of doubt it is the results of physical testing that are</w:t>
      </w:r>
      <w:r>
        <w:t xml:space="preserve"> </w:t>
      </w:r>
      <w:r w:rsidRPr="00940D9D">
        <w:t>overriding.</w:t>
      </w:r>
    </w:p>
    <w:p w:rsidR="00C64C72" w:rsidRDefault="00C64C72" w:rsidP="00C64C72"/>
    <w:p w:rsidR="00174B30" w:rsidRDefault="00174B30" w:rsidP="00174B30">
      <w:r>
        <w:t>Change</w:t>
      </w:r>
      <w:r w:rsidR="00546017">
        <w:t xml:space="preserve"> Annex </w:t>
      </w:r>
      <w:proofErr w:type="gramStart"/>
      <w:r w:rsidR="00546017">
        <w:t>6  paragraph</w:t>
      </w:r>
      <w:proofErr w:type="gramEnd"/>
      <w:r w:rsidR="00546017">
        <w:t xml:space="preserve"> 3.6</w:t>
      </w:r>
      <w:r>
        <w:t>.1.</w:t>
      </w:r>
      <w:r w:rsidR="00546017">
        <w:t xml:space="preserve"> </w:t>
      </w:r>
      <w:proofErr w:type="gramStart"/>
      <w:r>
        <w:t>to</w:t>
      </w:r>
      <w:proofErr w:type="gramEnd"/>
      <w:r>
        <w:t xml:space="preserve"> read:</w:t>
      </w:r>
    </w:p>
    <w:p w:rsidR="00174B30" w:rsidRDefault="00174B30" w:rsidP="00174B30">
      <w:r>
        <w:t xml:space="preserve">3.6.1. Drawbars shall be tested in the same way as drawbar eyes (see paragraph 3.4.). The type approval authority or technical service </w:t>
      </w:r>
      <w:r w:rsidRPr="00940D9D">
        <w:t>may</w:t>
      </w:r>
      <w:r>
        <w:rPr>
          <w:b/>
        </w:rPr>
        <w:t xml:space="preserve"> </w:t>
      </w:r>
      <w:r w:rsidRPr="00940D9D">
        <w:rPr>
          <w:b/>
        </w:rPr>
        <w:t xml:space="preserve">in cases where a calculation procedure validated according to Appendix 1 of this Annex </w:t>
      </w:r>
      <w:proofErr w:type="gramStart"/>
      <w:r>
        <w:rPr>
          <w:b/>
        </w:rPr>
        <w:t>exists</w:t>
      </w:r>
      <w:proofErr w:type="gramEnd"/>
      <w:r>
        <w:rPr>
          <w:b/>
        </w:rPr>
        <w:t xml:space="preserve"> </w:t>
      </w:r>
      <w:r w:rsidRPr="00940D9D">
        <w:rPr>
          <w:b/>
        </w:rPr>
        <w:t>bas</w:t>
      </w:r>
      <w:r>
        <w:rPr>
          <w:b/>
        </w:rPr>
        <w:t>e the approval on calculated results</w:t>
      </w:r>
      <w:r w:rsidRPr="00174B30">
        <w:rPr>
          <w:b/>
        </w:rPr>
        <w:t xml:space="preserve">.      </w:t>
      </w:r>
      <w:r w:rsidRPr="00174B30">
        <w:rPr>
          <w:strike/>
        </w:rPr>
        <w:t xml:space="preserve"> </w:t>
      </w:r>
      <w:proofErr w:type="gramStart"/>
      <w:r w:rsidRPr="00174B30">
        <w:rPr>
          <w:strike/>
        </w:rPr>
        <w:t>waive</w:t>
      </w:r>
      <w:proofErr w:type="gramEnd"/>
      <w:r w:rsidRPr="00174B30">
        <w:rPr>
          <w:strike/>
        </w:rPr>
        <w:t xml:space="preserve"> an endurance test if the simple design of a component makes a theoretical check of its strength possible. The design forces for the theoretical verification of the drawbar of </w:t>
      </w:r>
      <w:proofErr w:type="spellStart"/>
      <w:r w:rsidRPr="00174B30">
        <w:rPr>
          <w:strike/>
        </w:rPr>
        <w:t>centre</w:t>
      </w:r>
      <w:proofErr w:type="spellEnd"/>
      <w:r w:rsidRPr="00174B30">
        <w:rPr>
          <w:strike/>
        </w:rPr>
        <w:t xml:space="preserve"> axle trailers with a mass, C, of up to and including 3.5 </w:t>
      </w:r>
      <w:proofErr w:type="spellStart"/>
      <w:r w:rsidRPr="00174B30">
        <w:rPr>
          <w:strike/>
        </w:rPr>
        <w:t>tonnes</w:t>
      </w:r>
      <w:proofErr w:type="spellEnd"/>
      <w:r w:rsidRPr="00174B30">
        <w:rPr>
          <w:strike/>
        </w:rPr>
        <w:t xml:space="preserve"> shall be taken from ISO 7641/1:1983. </w:t>
      </w:r>
      <w:r>
        <w:t xml:space="preserve">The design forces for the theoretical verification of drawbars for </w:t>
      </w:r>
      <w:proofErr w:type="spellStart"/>
      <w:r>
        <w:t>centre</w:t>
      </w:r>
      <w:proofErr w:type="spellEnd"/>
      <w:r>
        <w:t xml:space="preserve"> axle trailers having a mass, C, over 3.5 </w:t>
      </w:r>
      <w:proofErr w:type="spellStart"/>
      <w:r>
        <w:t>tonnes</w:t>
      </w:r>
      <w:proofErr w:type="spellEnd"/>
      <w:r>
        <w:t xml:space="preserve"> shall be calculated as follows: </w:t>
      </w:r>
    </w:p>
    <w:p w:rsidR="00174B30" w:rsidRDefault="00174B30" w:rsidP="00174B30">
      <w:proofErr w:type="spellStart"/>
      <w:r>
        <w:t>Fsp</w:t>
      </w:r>
      <w:proofErr w:type="spellEnd"/>
      <w:r>
        <w:t xml:space="preserve"> = (g × S/1000) + </w:t>
      </w:r>
      <w:r>
        <w:rPr>
          <w:b/>
        </w:rPr>
        <w:t>0.6x</w:t>
      </w:r>
      <w:r>
        <w:t>V</w:t>
      </w:r>
    </w:p>
    <w:p w:rsidR="00174B30" w:rsidRDefault="00174B30" w:rsidP="00174B30">
      <w:proofErr w:type="gramStart"/>
      <w:r>
        <w:t>where</w:t>
      </w:r>
      <w:proofErr w:type="gramEnd"/>
      <w:r>
        <w:t xml:space="preserve"> the force amplitude V is that given in paragraph 2.11.4. </w:t>
      </w:r>
      <w:proofErr w:type="gramStart"/>
      <w:r>
        <w:t>of</w:t>
      </w:r>
      <w:proofErr w:type="gramEnd"/>
      <w:r>
        <w:t xml:space="preserve"> this Regulation.</w:t>
      </w:r>
    </w:p>
    <w:p w:rsidR="00174B30" w:rsidRPr="00174B30" w:rsidRDefault="00174B30" w:rsidP="00174B30">
      <w:pPr>
        <w:rPr>
          <w:strike/>
        </w:rPr>
      </w:pPr>
      <w:r w:rsidRPr="00174B30">
        <w:rPr>
          <w:strike/>
        </w:rPr>
        <w:t xml:space="preserve">The permissible stresses based on the design masses for trailers having a total mass, </w:t>
      </w:r>
      <w:proofErr w:type="gramStart"/>
      <w:r w:rsidRPr="00174B30">
        <w:rPr>
          <w:strike/>
        </w:rPr>
        <w:t>C,</w:t>
      </w:r>
      <w:proofErr w:type="gramEnd"/>
      <w:r w:rsidRPr="00174B30">
        <w:rPr>
          <w:strike/>
        </w:rPr>
        <w:t xml:space="preserve"> over 3.5 </w:t>
      </w:r>
      <w:proofErr w:type="spellStart"/>
      <w:r w:rsidRPr="00174B30">
        <w:rPr>
          <w:strike/>
        </w:rPr>
        <w:t>tonnes</w:t>
      </w:r>
      <w:proofErr w:type="spellEnd"/>
      <w:r w:rsidRPr="00174B30">
        <w:rPr>
          <w:strike/>
        </w:rPr>
        <w:t xml:space="preserve"> shall be in accordance with paragraph 5.3. </w:t>
      </w:r>
      <w:proofErr w:type="gramStart"/>
      <w:r w:rsidRPr="00174B30">
        <w:rPr>
          <w:strike/>
        </w:rPr>
        <w:t>of</w:t>
      </w:r>
      <w:proofErr w:type="gramEnd"/>
      <w:r w:rsidRPr="00174B30">
        <w:rPr>
          <w:strike/>
        </w:rPr>
        <w:t xml:space="preserve"> ISO 7641/1:1983. For bent drawbars (e. g. swan neck) and for the drawbars of full trailers, the horizontal force component </w:t>
      </w:r>
      <w:proofErr w:type="spellStart"/>
      <w:r w:rsidRPr="00174B30">
        <w:rPr>
          <w:strike/>
        </w:rPr>
        <w:t>Fhp</w:t>
      </w:r>
      <w:proofErr w:type="spellEnd"/>
      <w:r w:rsidRPr="00174B30">
        <w:rPr>
          <w:strike/>
        </w:rPr>
        <w:t xml:space="preserve"> = 1.0 × D shall be taken into consideration.</w:t>
      </w:r>
    </w:p>
    <w:p w:rsidR="00174B30" w:rsidRDefault="00174B30" w:rsidP="00C64C72"/>
    <w:p w:rsidR="00174B30" w:rsidRDefault="00174B30" w:rsidP="00C64C72"/>
    <w:p w:rsidR="00174B30" w:rsidRDefault="00174B30" w:rsidP="00C64C72"/>
    <w:p w:rsidR="00174B30" w:rsidRDefault="00174B30" w:rsidP="00C64C72"/>
    <w:p w:rsidR="00932361" w:rsidRDefault="00932361"/>
    <w:p w:rsidR="003233F5" w:rsidRPr="003233F5" w:rsidRDefault="003233F5">
      <w:r w:rsidRPr="003233F5">
        <w:t>Insert new</w:t>
      </w:r>
      <w:r w:rsidR="00174B30">
        <w:t xml:space="preserve"> Appendix 1 to</w:t>
      </w:r>
      <w:r w:rsidRPr="003233F5">
        <w:t xml:space="preserve"> An</w:t>
      </w:r>
      <w:r w:rsidR="00174B30">
        <w:t>nex 6</w:t>
      </w:r>
      <w:r w:rsidR="005120BE">
        <w:t xml:space="preserve"> to read:</w:t>
      </w:r>
    </w:p>
    <w:p w:rsidR="003233F5" w:rsidRPr="003233F5" w:rsidRDefault="003233F5" w:rsidP="003233F5">
      <w:pPr>
        <w:jc w:val="center"/>
        <w:rPr>
          <w:b/>
          <w:u w:val="single"/>
        </w:rPr>
      </w:pPr>
      <w:r w:rsidRPr="003233F5">
        <w:rPr>
          <w:b/>
          <w:u w:val="single"/>
        </w:rPr>
        <w:t>A</w:t>
      </w:r>
      <w:r w:rsidR="00174B30">
        <w:rPr>
          <w:b/>
          <w:u w:val="single"/>
        </w:rPr>
        <w:t>ppendix 1</w:t>
      </w:r>
    </w:p>
    <w:p w:rsidR="003233F5" w:rsidRPr="003233F5" w:rsidRDefault="00174B30" w:rsidP="003233F5">
      <w:pPr>
        <w:jc w:val="center"/>
        <w:rPr>
          <w:b/>
          <w:caps/>
        </w:rPr>
      </w:pPr>
      <w:r>
        <w:rPr>
          <w:b/>
          <w:caps/>
        </w:rPr>
        <w:t>Calculation procedure validation</w:t>
      </w:r>
    </w:p>
    <w:p w:rsidR="00EA06E5" w:rsidRPr="00757E2D" w:rsidRDefault="00C87D08" w:rsidP="00757E2D">
      <w:pPr>
        <w:rPr>
          <w:b/>
        </w:rPr>
      </w:pPr>
      <w:r w:rsidRPr="00757E2D">
        <w:rPr>
          <w:b/>
        </w:rPr>
        <w:t xml:space="preserve">General conditions required from virtual testing methods 1. </w:t>
      </w:r>
    </w:p>
    <w:p w:rsidR="00C87D08" w:rsidRPr="003D6A2B" w:rsidRDefault="00C87D08" w:rsidP="00757E2D">
      <w:pPr>
        <w:pStyle w:val="Liststycke"/>
        <w:numPr>
          <w:ilvl w:val="0"/>
          <w:numId w:val="10"/>
        </w:numPr>
        <w:rPr>
          <w:b/>
          <w:i/>
        </w:rPr>
      </w:pPr>
      <w:r w:rsidRPr="003D6A2B">
        <w:rPr>
          <w:b/>
          <w:i/>
        </w:rPr>
        <w:t xml:space="preserve">Virtual test pattern </w:t>
      </w:r>
    </w:p>
    <w:p w:rsidR="00C87D08" w:rsidRPr="00C87D08" w:rsidRDefault="00C87D08" w:rsidP="00C87D08">
      <w:pPr>
        <w:ind w:left="360"/>
        <w:rPr>
          <w:b/>
        </w:rPr>
      </w:pPr>
      <w:r w:rsidRPr="00C87D08">
        <w:rPr>
          <w:b/>
        </w:rPr>
        <w:t xml:space="preserve">The following scheme shall be used as basis structure for describing and conducting virtual testing: </w:t>
      </w:r>
    </w:p>
    <w:p w:rsidR="00C87D08" w:rsidRPr="00EA06E5" w:rsidRDefault="00C87D08" w:rsidP="00EA06E5">
      <w:pPr>
        <w:pStyle w:val="Liststycke"/>
        <w:numPr>
          <w:ilvl w:val="0"/>
          <w:numId w:val="12"/>
        </w:numPr>
        <w:rPr>
          <w:b/>
        </w:rPr>
      </w:pPr>
      <w:r w:rsidRPr="00EA06E5">
        <w:rPr>
          <w:b/>
        </w:rPr>
        <w:t xml:space="preserve">purpose; </w:t>
      </w:r>
    </w:p>
    <w:p w:rsidR="00C87D08" w:rsidRPr="00EA06E5" w:rsidRDefault="00C87D08" w:rsidP="00EA06E5">
      <w:pPr>
        <w:pStyle w:val="Liststycke"/>
        <w:numPr>
          <w:ilvl w:val="0"/>
          <w:numId w:val="12"/>
        </w:numPr>
        <w:rPr>
          <w:b/>
        </w:rPr>
      </w:pPr>
      <w:r w:rsidRPr="00EA06E5">
        <w:rPr>
          <w:b/>
        </w:rPr>
        <w:t xml:space="preserve">structure model; </w:t>
      </w:r>
    </w:p>
    <w:p w:rsidR="00C87D08" w:rsidRPr="00EA06E5" w:rsidRDefault="00C87D08" w:rsidP="00EA06E5">
      <w:pPr>
        <w:pStyle w:val="Liststycke"/>
        <w:numPr>
          <w:ilvl w:val="0"/>
          <w:numId w:val="12"/>
        </w:numPr>
        <w:rPr>
          <w:b/>
        </w:rPr>
      </w:pPr>
      <w:r w:rsidRPr="00EA06E5">
        <w:rPr>
          <w:b/>
        </w:rPr>
        <w:t xml:space="preserve">boundary conditions; </w:t>
      </w:r>
    </w:p>
    <w:p w:rsidR="00C87D08" w:rsidRPr="00EA06E5" w:rsidRDefault="00C87D08" w:rsidP="00EA06E5">
      <w:pPr>
        <w:pStyle w:val="Liststycke"/>
        <w:numPr>
          <w:ilvl w:val="0"/>
          <w:numId w:val="12"/>
        </w:numPr>
        <w:rPr>
          <w:b/>
        </w:rPr>
      </w:pPr>
      <w:r w:rsidRPr="00EA06E5">
        <w:rPr>
          <w:b/>
        </w:rPr>
        <w:t xml:space="preserve">load assumptions; </w:t>
      </w:r>
    </w:p>
    <w:p w:rsidR="00C87D08" w:rsidRPr="00EA06E5" w:rsidRDefault="00C87D08" w:rsidP="00EA06E5">
      <w:pPr>
        <w:pStyle w:val="Liststycke"/>
        <w:numPr>
          <w:ilvl w:val="0"/>
          <w:numId w:val="12"/>
        </w:numPr>
        <w:rPr>
          <w:b/>
        </w:rPr>
      </w:pPr>
      <w:r w:rsidRPr="00EA06E5">
        <w:rPr>
          <w:b/>
        </w:rPr>
        <w:t xml:space="preserve">calculation; </w:t>
      </w:r>
    </w:p>
    <w:p w:rsidR="00C87D08" w:rsidRPr="00EA06E5" w:rsidRDefault="00C87D08" w:rsidP="00EA06E5">
      <w:pPr>
        <w:pStyle w:val="Liststycke"/>
        <w:numPr>
          <w:ilvl w:val="0"/>
          <w:numId w:val="12"/>
        </w:numPr>
        <w:rPr>
          <w:b/>
        </w:rPr>
      </w:pPr>
      <w:r w:rsidRPr="00EA06E5">
        <w:rPr>
          <w:b/>
        </w:rPr>
        <w:t xml:space="preserve">assessment; </w:t>
      </w:r>
    </w:p>
    <w:p w:rsidR="00C87D08" w:rsidRPr="00EA06E5" w:rsidRDefault="00C87D08" w:rsidP="00EA06E5">
      <w:pPr>
        <w:pStyle w:val="Liststycke"/>
        <w:numPr>
          <w:ilvl w:val="0"/>
          <w:numId w:val="12"/>
        </w:numPr>
        <w:rPr>
          <w:b/>
        </w:rPr>
      </w:pPr>
      <w:proofErr w:type="gramStart"/>
      <w:r w:rsidRPr="00EA06E5">
        <w:rPr>
          <w:b/>
        </w:rPr>
        <w:t>documentation</w:t>
      </w:r>
      <w:proofErr w:type="gramEnd"/>
      <w:r w:rsidRPr="00EA06E5">
        <w:rPr>
          <w:b/>
        </w:rPr>
        <w:t xml:space="preserve">. </w:t>
      </w:r>
    </w:p>
    <w:p w:rsidR="00C87D08" w:rsidRPr="00EA06E5" w:rsidRDefault="00C87D08" w:rsidP="00EA06E5">
      <w:pPr>
        <w:pStyle w:val="Liststycke"/>
        <w:numPr>
          <w:ilvl w:val="0"/>
          <w:numId w:val="10"/>
        </w:numPr>
        <w:rPr>
          <w:b/>
        </w:rPr>
      </w:pPr>
      <w:r w:rsidRPr="00EA06E5">
        <w:rPr>
          <w:b/>
        </w:rPr>
        <w:t xml:space="preserve">2. Fundamentals of computer simulation and calculation </w:t>
      </w:r>
    </w:p>
    <w:p w:rsidR="00C87D08" w:rsidRPr="00EA06E5" w:rsidRDefault="00C87D08" w:rsidP="00EA06E5">
      <w:pPr>
        <w:pStyle w:val="Liststycke"/>
        <w:numPr>
          <w:ilvl w:val="1"/>
          <w:numId w:val="10"/>
        </w:numPr>
        <w:rPr>
          <w:b/>
          <w:i/>
        </w:rPr>
      </w:pPr>
      <w:r w:rsidRPr="00EA06E5">
        <w:rPr>
          <w:b/>
          <w:i/>
        </w:rPr>
        <w:t xml:space="preserve">Mathematical model </w:t>
      </w:r>
    </w:p>
    <w:p w:rsidR="00C87D08" w:rsidRPr="00C87D08" w:rsidRDefault="00C87D08" w:rsidP="00C87D08">
      <w:pPr>
        <w:ind w:left="360"/>
        <w:rPr>
          <w:b/>
        </w:rPr>
      </w:pPr>
      <w:r w:rsidRPr="00C87D08">
        <w:rPr>
          <w:b/>
        </w:rPr>
        <w:t>The mathematical model shall be supplied by the manufacturer. It shall reflect the complexity of the structure of the system and components to be tested in rel</w:t>
      </w:r>
      <w:r w:rsidR="00EA06E5">
        <w:rPr>
          <w:b/>
        </w:rPr>
        <w:t>ation to the requirements of this</w:t>
      </w:r>
      <w:r w:rsidRPr="00C87D08">
        <w:rPr>
          <w:b/>
        </w:rPr>
        <w:t xml:space="preserve"> </w:t>
      </w:r>
      <w:r w:rsidRPr="00C87D08">
        <w:rPr>
          <w:b/>
        </w:rPr>
        <w:lastRenderedPageBreak/>
        <w:t xml:space="preserve">regulatory act and its boundary conditions. </w:t>
      </w:r>
      <w:r w:rsidR="00546017">
        <w:rPr>
          <w:b/>
        </w:rPr>
        <w:t>There shall be one validation report</w:t>
      </w:r>
      <w:r w:rsidR="00757E2D">
        <w:rPr>
          <w:b/>
        </w:rPr>
        <w:t xml:space="preserve"> for each </w:t>
      </w:r>
      <w:r w:rsidR="00546017">
        <w:rPr>
          <w:b/>
        </w:rPr>
        <w:t>geometry topology.</w:t>
      </w:r>
    </w:p>
    <w:p w:rsidR="00C87D08" w:rsidRPr="00C87D08" w:rsidRDefault="00C87D08" w:rsidP="00C87D08">
      <w:pPr>
        <w:ind w:left="360"/>
        <w:rPr>
          <w:b/>
        </w:rPr>
      </w:pPr>
      <w:r w:rsidRPr="00C87D08">
        <w:rPr>
          <w:b/>
        </w:rPr>
        <w:t xml:space="preserve">The same provisions shall apply mutatis mutandis for testing components or technical units independently from the vehicle. </w:t>
      </w:r>
    </w:p>
    <w:p w:rsidR="00C87D08" w:rsidRDefault="00C87D08" w:rsidP="00EA06E5">
      <w:pPr>
        <w:pStyle w:val="Liststycke"/>
        <w:numPr>
          <w:ilvl w:val="1"/>
          <w:numId w:val="10"/>
        </w:numPr>
        <w:rPr>
          <w:b/>
          <w:i/>
        </w:rPr>
      </w:pPr>
      <w:r w:rsidRPr="00EA06E5">
        <w:rPr>
          <w:b/>
          <w:i/>
        </w:rPr>
        <w:t xml:space="preserve">Validation process of the mathematical model </w:t>
      </w:r>
    </w:p>
    <w:p w:rsidR="00C87D08" w:rsidRPr="00C87D08" w:rsidRDefault="00C87D08" w:rsidP="00C87D08">
      <w:pPr>
        <w:ind w:left="360"/>
        <w:rPr>
          <w:b/>
        </w:rPr>
      </w:pPr>
      <w:r w:rsidRPr="00C87D08">
        <w:rPr>
          <w:b/>
        </w:rPr>
        <w:t xml:space="preserve">The mathematical model shall be validated in comparison with the actual test conditions. </w:t>
      </w:r>
    </w:p>
    <w:p w:rsidR="00C87D08" w:rsidRPr="00C87D08" w:rsidRDefault="00C87D08" w:rsidP="00C87D08">
      <w:pPr>
        <w:ind w:left="360"/>
        <w:rPr>
          <w:b/>
        </w:rPr>
      </w:pPr>
      <w:r w:rsidRPr="00C87D08">
        <w:rPr>
          <w:b/>
        </w:rPr>
        <w:t xml:space="preserve">To that effect a physical test shall be conducted for the purposes of comparing the results obtained when using the mathematical model with the results of a physical test. Comparability of the test results shall be proven. A validation report shall be drafted by the manufacturer or by the </w:t>
      </w:r>
    </w:p>
    <w:p w:rsidR="00C87D08" w:rsidRPr="00C87D08" w:rsidRDefault="00C87D08" w:rsidP="00C87D08">
      <w:pPr>
        <w:ind w:left="360"/>
        <w:rPr>
          <w:b/>
        </w:rPr>
      </w:pPr>
      <w:proofErr w:type="gramStart"/>
      <w:r w:rsidRPr="00C87D08">
        <w:rPr>
          <w:b/>
        </w:rPr>
        <w:t>technical</w:t>
      </w:r>
      <w:proofErr w:type="gramEnd"/>
      <w:r w:rsidRPr="00C87D08">
        <w:rPr>
          <w:b/>
        </w:rPr>
        <w:t xml:space="preserve"> service and submitted to the approval authority. </w:t>
      </w:r>
    </w:p>
    <w:p w:rsidR="00C87D08" w:rsidRPr="00C87D08" w:rsidRDefault="00C87D08" w:rsidP="00C87D08">
      <w:pPr>
        <w:ind w:left="360"/>
        <w:rPr>
          <w:b/>
        </w:rPr>
      </w:pPr>
      <w:r w:rsidRPr="00C87D08">
        <w:rPr>
          <w:b/>
        </w:rPr>
        <w:t xml:space="preserve">Any change made to the mathematical model or to the software likely to invalidate the validation report shall be brought to the attention of the approval authority which may require that a new validation process is conducted. </w:t>
      </w:r>
    </w:p>
    <w:p w:rsidR="00C87D08" w:rsidRDefault="00C87D08" w:rsidP="00C87D08">
      <w:pPr>
        <w:ind w:left="360"/>
        <w:rPr>
          <w:b/>
        </w:rPr>
      </w:pPr>
      <w:r w:rsidRPr="00C87D08">
        <w:rPr>
          <w:b/>
        </w:rPr>
        <w:t xml:space="preserve">The flow chart of the validation process is shown in </w:t>
      </w:r>
      <w:r w:rsidR="003D6A2B">
        <w:rPr>
          <w:b/>
        </w:rPr>
        <w:t>Figure z</w:t>
      </w:r>
      <w:r w:rsidRPr="00C87D08">
        <w:rPr>
          <w:b/>
        </w:rPr>
        <w:t xml:space="preserve">. </w:t>
      </w:r>
    </w:p>
    <w:p w:rsidR="003D6A2B" w:rsidRPr="003D6A2B" w:rsidRDefault="003D6A2B" w:rsidP="003D6A2B">
      <w:pPr>
        <w:pStyle w:val="Liststycke"/>
        <w:numPr>
          <w:ilvl w:val="2"/>
          <w:numId w:val="10"/>
        </w:numPr>
        <w:rPr>
          <w:b/>
        </w:rPr>
      </w:pPr>
      <w:r w:rsidRPr="003D6A2B">
        <w:rPr>
          <w:b/>
        </w:rPr>
        <w:t>Validation with respect to fatigue</w:t>
      </w:r>
    </w:p>
    <w:p w:rsidR="00615774" w:rsidRDefault="003D6A2B" w:rsidP="003A1738">
      <w:pPr>
        <w:ind w:left="720"/>
        <w:rPr>
          <w:b/>
        </w:rPr>
      </w:pPr>
      <w:r>
        <w:rPr>
          <w:b/>
        </w:rPr>
        <w:t>The calculations results shall be a</w:t>
      </w:r>
      <w:r w:rsidR="00757E2D">
        <w:rPr>
          <w:b/>
        </w:rPr>
        <w:t>ssess</w:t>
      </w:r>
      <w:r>
        <w:rPr>
          <w:b/>
        </w:rPr>
        <w:t>ed using any</w:t>
      </w:r>
      <w:r w:rsidR="00615774">
        <w:rPr>
          <w:b/>
        </w:rPr>
        <w:t xml:space="preserve"> the fatigue evaluation code of </w:t>
      </w:r>
      <w:proofErr w:type="spellStart"/>
      <w:proofErr w:type="gramStart"/>
      <w:r w:rsidR="00615774">
        <w:rPr>
          <w:b/>
        </w:rPr>
        <w:t>a</w:t>
      </w:r>
      <w:proofErr w:type="spellEnd"/>
      <w:proofErr w:type="gramEnd"/>
      <w:r>
        <w:rPr>
          <w:b/>
        </w:rPr>
        <w:t xml:space="preserve"> </w:t>
      </w:r>
      <w:r w:rsidR="00615774">
        <w:rPr>
          <w:b/>
        </w:rPr>
        <w:t xml:space="preserve">internationally recognized welding code for steel structure. The prediction shall </w:t>
      </w:r>
    </w:p>
    <w:p w:rsidR="00615774" w:rsidRPr="003A1738" w:rsidRDefault="00BD7BB6" w:rsidP="003A1738">
      <w:pPr>
        <w:pStyle w:val="Liststycke"/>
        <w:numPr>
          <w:ilvl w:val="0"/>
          <w:numId w:val="14"/>
        </w:numPr>
        <w:rPr>
          <w:b/>
        </w:rPr>
      </w:pPr>
      <w:r w:rsidRPr="003A1738">
        <w:rPr>
          <w:b/>
        </w:rPr>
        <w:t xml:space="preserve">show </w:t>
      </w:r>
      <w:r w:rsidR="00615774" w:rsidRPr="003A1738">
        <w:rPr>
          <w:b/>
        </w:rPr>
        <w:t>the correct failure location</w:t>
      </w:r>
      <w:r w:rsidRPr="003A1738">
        <w:rPr>
          <w:b/>
        </w:rPr>
        <w:t xml:space="preserve"> in comparison to the</w:t>
      </w:r>
      <w:r w:rsidR="003A1738" w:rsidRPr="003A1738">
        <w:rPr>
          <w:b/>
        </w:rPr>
        <w:t xml:space="preserve"> physical</w:t>
      </w:r>
      <w:r w:rsidRPr="003A1738">
        <w:rPr>
          <w:b/>
        </w:rPr>
        <w:t xml:space="preserve"> </w:t>
      </w:r>
      <w:r w:rsidR="003A1738" w:rsidRPr="003A1738">
        <w:rPr>
          <w:b/>
        </w:rPr>
        <w:t>validation test</w:t>
      </w:r>
    </w:p>
    <w:p w:rsidR="003D6A2B" w:rsidRPr="003A1738" w:rsidRDefault="00BD7BB6" w:rsidP="003A1738">
      <w:pPr>
        <w:pStyle w:val="Liststycke"/>
        <w:numPr>
          <w:ilvl w:val="0"/>
          <w:numId w:val="14"/>
        </w:numPr>
        <w:rPr>
          <w:b/>
        </w:rPr>
      </w:pPr>
      <w:proofErr w:type="gramStart"/>
      <w:r w:rsidRPr="003A1738">
        <w:rPr>
          <w:b/>
        </w:rPr>
        <w:t>show</w:t>
      </w:r>
      <w:proofErr w:type="gramEnd"/>
      <w:r w:rsidRPr="003A1738">
        <w:rPr>
          <w:b/>
        </w:rPr>
        <w:t xml:space="preserve"> </w:t>
      </w:r>
      <w:r w:rsidR="00615774" w:rsidRPr="003A1738">
        <w:rPr>
          <w:b/>
        </w:rPr>
        <w:t>a life expectancy of at least</w:t>
      </w:r>
      <w:r w:rsidR="00A63F4D" w:rsidRPr="003A1738">
        <w:rPr>
          <w:b/>
        </w:rPr>
        <w:t xml:space="preserve"> [2.5] Mc</w:t>
      </w:r>
      <w:r w:rsidR="00615774" w:rsidRPr="003A1738">
        <w:rPr>
          <w:b/>
        </w:rPr>
        <w:t>.</w:t>
      </w:r>
    </w:p>
    <w:p w:rsidR="00A63F4D" w:rsidRDefault="00CE0959" w:rsidP="003A1738">
      <w:pPr>
        <w:ind w:left="720"/>
        <w:rPr>
          <w:b/>
        </w:rPr>
      </w:pPr>
      <w:r>
        <w:rPr>
          <w:b/>
        </w:rPr>
        <w:t>[</w:t>
      </w:r>
      <w:r w:rsidR="00BD7BB6">
        <w:rPr>
          <w:b/>
        </w:rPr>
        <w:t>Two</w:t>
      </w:r>
      <w:r>
        <w:rPr>
          <w:b/>
        </w:rPr>
        <w:t>]</w:t>
      </w:r>
      <w:r w:rsidR="00BD7BB6">
        <w:rPr>
          <w:b/>
        </w:rPr>
        <w:t xml:space="preserve"> </w:t>
      </w:r>
      <w:r>
        <w:rPr>
          <w:b/>
        </w:rPr>
        <w:t xml:space="preserve">physical </w:t>
      </w:r>
      <w:r w:rsidR="00BD7BB6">
        <w:rPr>
          <w:b/>
        </w:rPr>
        <w:t xml:space="preserve">validation tests shall </w:t>
      </w:r>
    </w:p>
    <w:p w:rsidR="003A1738" w:rsidRPr="003A1738" w:rsidRDefault="003A1738" w:rsidP="003A1738">
      <w:pPr>
        <w:pStyle w:val="Liststycke"/>
        <w:numPr>
          <w:ilvl w:val="0"/>
          <w:numId w:val="15"/>
        </w:numPr>
        <w:rPr>
          <w:b/>
        </w:rPr>
      </w:pPr>
      <w:r w:rsidRPr="003A1738">
        <w:rPr>
          <w:b/>
        </w:rPr>
        <w:t>a life longer than the predicted life expectancy</w:t>
      </w:r>
    </w:p>
    <w:p w:rsidR="003D6A2B" w:rsidRPr="003D6A2B" w:rsidRDefault="003D6A2B" w:rsidP="003D6A2B">
      <w:pPr>
        <w:pStyle w:val="Liststycke"/>
        <w:numPr>
          <w:ilvl w:val="2"/>
          <w:numId w:val="10"/>
        </w:numPr>
        <w:rPr>
          <w:b/>
          <w:i/>
        </w:rPr>
      </w:pPr>
      <w:r w:rsidRPr="003D6A2B">
        <w:rPr>
          <w:b/>
        </w:rPr>
        <w:t>Validation with respect to static test including any instability effects, e.g. buckling.</w:t>
      </w:r>
    </w:p>
    <w:p w:rsidR="003D6A2B" w:rsidRDefault="003A1738" w:rsidP="003A1738">
      <w:pPr>
        <w:ind w:left="720"/>
        <w:rPr>
          <w:b/>
        </w:rPr>
      </w:pPr>
      <w:r>
        <w:rPr>
          <w:b/>
        </w:rPr>
        <w:t>The calculation model shall account for the geometry deviating from the nominal through manufacturing imperfections and installation deformations</w:t>
      </w:r>
      <w:r w:rsidR="00CE0959">
        <w:rPr>
          <w:b/>
        </w:rPr>
        <w:t xml:space="preserve"> due to tolerance spread</w:t>
      </w:r>
      <w:r>
        <w:rPr>
          <w:b/>
        </w:rPr>
        <w:t xml:space="preserve">. </w:t>
      </w:r>
      <w:proofErr w:type="gramStart"/>
      <w:r w:rsidR="00CE0959">
        <w:rPr>
          <w:b/>
        </w:rPr>
        <w:t>In general this means that the calculation model need</w:t>
      </w:r>
      <w:r w:rsidR="00757E2D">
        <w:rPr>
          <w:b/>
        </w:rPr>
        <w:t>s</w:t>
      </w:r>
      <w:r w:rsidR="00CE0959">
        <w:rPr>
          <w:b/>
        </w:rPr>
        <w:t xml:space="preserve"> to account at least for non-linear large deformations.</w:t>
      </w:r>
      <w:proofErr w:type="gramEnd"/>
    </w:p>
    <w:p w:rsidR="00CE0959" w:rsidRPr="00C87D08" w:rsidRDefault="00CE0959" w:rsidP="003A1738">
      <w:pPr>
        <w:ind w:left="720"/>
        <w:rPr>
          <w:b/>
        </w:rPr>
      </w:pPr>
      <w:r>
        <w:rPr>
          <w:b/>
        </w:rPr>
        <w:t>[Two] physical validation test shall show the same deformations within [15%]</w:t>
      </w:r>
      <w:r w:rsidR="00757E2D">
        <w:rPr>
          <w:b/>
        </w:rPr>
        <w:t xml:space="preserve"> as the calculation model.</w:t>
      </w:r>
    </w:p>
    <w:p w:rsidR="00C87D08" w:rsidRPr="00EA06E5" w:rsidRDefault="00C87D08" w:rsidP="00EA06E5">
      <w:pPr>
        <w:pStyle w:val="Liststycke"/>
        <w:numPr>
          <w:ilvl w:val="1"/>
          <w:numId w:val="10"/>
        </w:numPr>
        <w:rPr>
          <w:b/>
          <w:i/>
        </w:rPr>
      </w:pPr>
      <w:r w:rsidRPr="00EA06E5">
        <w:rPr>
          <w:b/>
          <w:i/>
        </w:rPr>
        <w:t xml:space="preserve">Documentation </w:t>
      </w:r>
    </w:p>
    <w:p w:rsidR="00C87D08" w:rsidRPr="00C87D08" w:rsidRDefault="00C87D08" w:rsidP="00C87D08">
      <w:pPr>
        <w:ind w:left="360"/>
        <w:rPr>
          <w:b/>
        </w:rPr>
      </w:pPr>
      <w:r w:rsidRPr="00C87D08">
        <w:rPr>
          <w:b/>
        </w:rPr>
        <w:t xml:space="preserve">The data and auxiliary tools used for the simulation and calculation shall be made available by the manufacturer and be documented in a suitable way. </w:t>
      </w:r>
    </w:p>
    <w:p w:rsidR="00C87D08" w:rsidRPr="00EA06E5" w:rsidRDefault="00C87D08" w:rsidP="00EA06E5">
      <w:pPr>
        <w:pStyle w:val="Liststycke"/>
        <w:numPr>
          <w:ilvl w:val="0"/>
          <w:numId w:val="10"/>
        </w:numPr>
        <w:rPr>
          <w:b/>
        </w:rPr>
      </w:pPr>
      <w:r w:rsidRPr="00EA06E5">
        <w:rPr>
          <w:b/>
        </w:rPr>
        <w:t xml:space="preserve">Tools and support </w:t>
      </w:r>
    </w:p>
    <w:p w:rsidR="00AF2548" w:rsidRDefault="00C87D08" w:rsidP="00EA06E5">
      <w:pPr>
        <w:ind w:left="360"/>
        <w:rPr>
          <w:b/>
        </w:rPr>
      </w:pPr>
      <w:r w:rsidRPr="00C87D08">
        <w:rPr>
          <w:b/>
        </w:rPr>
        <w:t xml:space="preserve">At the request of the technical service, the manufacturer shall supply or provide access to the necessary tools including appropriate software. In addition he shall provide appropriate support to the technical service. Providing access and support to a technical service does not remove any obligation of the technical service regarding the skills of its personnel, the payment of </w:t>
      </w:r>
      <w:r w:rsidR="00EA06E5" w:rsidRPr="00C87D08">
        <w:rPr>
          <w:b/>
        </w:rPr>
        <w:t>license</w:t>
      </w:r>
      <w:r w:rsidRPr="00C87D08">
        <w:rPr>
          <w:b/>
        </w:rPr>
        <w:t xml:space="preserve"> rights and respect of confidentiality. </w:t>
      </w:r>
      <w:r w:rsidRPr="00C87D08">
        <w:rPr>
          <w:b/>
        </w:rPr>
        <w:cr/>
      </w:r>
    </w:p>
    <w:p w:rsidR="003D6A2B" w:rsidRDefault="003D6A2B" w:rsidP="003D6A2B">
      <w:pPr>
        <w:ind w:left="360"/>
        <w:jc w:val="center"/>
        <w:rPr>
          <w:b/>
        </w:rPr>
      </w:pPr>
      <w:r>
        <w:rPr>
          <w:noProof/>
        </w:rPr>
        <w:lastRenderedPageBreak/>
        <w:drawing>
          <wp:inline distT="0" distB="0" distL="0" distR="0" wp14:anchorId="449AD83C" wp14:editId="084063EC">
            <wp:extent cx="3819525" cy="32194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9525" cy="3219450"/>
                    </a:xfrm>
                    <a:prstGeom prst="rect">
                      <a:avLst/>
                    </a:prstGeom>
                  </pic:spPr>
                </pic:pic>
              </a:graphicData>
            </a:graphic>
          </wp:inline>
        </w:drawing>
      </w:r>
    </w:p>
    <w:p w:rsidR="003D6A2B" w:rsidRPr="003D6A2B" w:rsidRDefault="003D6A2B" w:rsidP="003D6A2B">
      <w:pPr>
        <w:ind w:left="360"/>
        <w:jc w:val="center"/>
        <w:rPr>
          <w:b/>
          <w:u w:val="single"/>
        </w:rPr>
      </w:pPr>
      <w:r w:rsidRPr="003D6A2B">
        <w:rPr>
          <w:b/>
          <w:u w:val="single"/>
        </w:rPr>
        <w:t>Figure z</w:t>
      </w:r>
    </w:p>
    <w:p w:rsidR="003D6A2B" w:rsidRPr="00AF2548" w:rsidRDefault="003D6A2B" w:rsidP="00EA06E5">
      <w:pPr>
        <w:ind w:left="360"/>
        <w:rPr>
          <w:b/>
        </w:rPr>
      </w:pPr>
    </w:p>
    <w:p w:rsidR="00EC3B74" w:rsidRPr="00EC3B74" w:rsidRDefault="00EC3B74" w:rsidP="00873684">
      <w:pPr>
        <w:pageBreakBefore/>
        <w:ind w:left="567" w:hanging="567"/>
        <w:rPr>
          <w:sz w:val="32"/>
        </w:rPr>
      </w:pPr>
      <w:r w:rsidRPr="00EC3B74">
        <w:rPr>
          <w:sz w:val="32"/>
        </w:rPr>
        <w:lastRenderedPageBreak/>
        <w:t>Justification</w:t>
      </w:r>
    </w:p>
    <w:p w:rsidR="00EC3B74" w:rsidRDefault="00EC3B74" w:rsidP="00EC3B74">
      <w:pPr>
        <w:ind w:left="567" w:hanging="567"/>
        <w:rPr>
          <w:b/>
        </w:rPr>
      </w:pPr>
    </w:p>
    <w:p w:rsidR="00EC3B74" w:rsidRDefault="00EC3B74" w:rsidP="00EC3B74">
      <w:pPr>
        <w:ind w:left="567" w:hanging="567"/>
      </w:pPr>
      <w:r w:rsidRPr="00EC3B74">
        <w:t xml:space="preserve">Changes </w:t>
      </w:r>
      <w:r w:rsidR="00546017">
        <w:t xml:space="preserve">Annex </w:t>
      </w:r>
      <w:proofErr w:type="gramStart"/>
      <w:r w:rsidR="00546017">
        <w:t>6  paragraph</w:t>
      </w:r>
      <w:proofErr w:type="gramEnd"/>
      <w:r w:rsidR="00546017">
        <w:t xml:space="preserve"> 1.1. </w:t>
      </w:r>
      <w:proofErr w:type="gramStart"/>
      <w:r w:rsidR="00546017">
        <w:t>and</w:t>
      </w:r>
      <w:proofErr w:type="gramEnd"/>
      <w:r w:rsidR="00546017">
        <w:t xml:space="preserve"> Annex 6  paragraph 3.6.1.</w:t>
      </w:r>
      <w:r>
        <w:t>.</w:t>
      </w:r>
    </w:p>
    <w:p w:rsidR="005444CE" w:rsidRDefault="00546017" w:rsidP="00EC3B74">
      <w:r>
        <w:t xml:space="preserve">A simple design does very seldom exist. Criteria defining a “simple” design have proven to be hard to establish. Hence the treatment of a safety related component such as coupling equipment includes a component of hazard. The reason for the concept of a simple design is to allow for such designs to be assessed through the use of calculations models. Knowing this it is more safe and </w:t>
      </w:r>
      <w:r w:rsidR="005444CE">
        <w:t xml:space="preserve">with less hazard to apply a validated calculation model. </w:t>
      </w:r>
    </w:p>
    <w:p w:rsidR="005444CE" w:rsidRDefault="005444CE" w:rsidP="00EC3B74"/>
    <w:p w:rsidR="005444CE" w:rsidRDefault="005444CE" w:rsidP="00EC3B74">
      <w:r w:rsidRPr="003233F5">
        <w:t>Insert new</w:t>
      </w:r>
      <w:r>
        <w:t xml:space="preserve"> Appendix 1 to</w:t>
      </w:r>
      <w:r w:rsidRPr="003233F5">
        <w:t xml:space="preserve"> An</w:t>
      </w:r>
      <w:r>
        <w:t>nex 6</w:t>
      </w:r>
    </w:p>
    <w:p w:rsidR="006E4B34" w:rsidRDefault="005444CE" w:rsidP="00EC3B74">
      <w:r>
        <w:t>The calculation model validation is proposed to follow the same scheme as proposed in the European frame directive 2007/46/EC Annex XVI. That procedure has been elaborated a bit to account for the fatigue and instability nature of the applications covered by UNECE regulation 55.</w:t>
      </w:r>
      <w:r w:rsidR="00546017">
        <w:t xml:space="preserve"> </w:t>
      </w:r>
    </w:p>
    <w:p w:rsidR="006E4B34" w:rsidRDefault="006E4B34" w:rsidP="00EC3B74"/>
    <w:p w:rsidR="0043655E" w:rsidRPr="00EC3B74" w:rsidRDefault="0043655E" w:rsidP="00EC3B74"/>
    <w:sectPr w:rsidR="0043655E" w:rsidRPr="00EC3B74" w:rsidSect="00A9717E">
      <w:headerReference w:type="default" r:id="rId9"/>
      <w:pgSz w:w="12240" w:h="15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71" w:rsidRDefault="000F3271" w:rsidP="009F6DAB">
      <w:r>
        <w:separator/>
      </w:r>
    </w:p>
  </w:endnote>
  <w:endnote w:type="continuationSeparator" w:id="0">
    <w:p w:rsidR="000F3271" w:rsidRDefault="000F3271" w:rsidP="009F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71" w:rsidRDefault="000F3271" w:rsidP="009F6DAB">
      <w:r>
        <w:separator/>
      </w:r>
    </w:p>
  </w:footnote>
  <w:footnote w:type="continuationSeparator" w:id="0">
    <w:p w:rsidR="000F3271" w:rsidRDefault="000F3271" w:rsidP="009F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71" w:rsidRPr="009F6DAB" w:rsidRDefault="000F3271" w:rsidP="009F6DAB">
    <w:pPr>
      <w:pStyle w:val="Sidhuvud"/>
      <w:jc w:val="right"/>
    </w:pPr>
    <w:r w:rsidRPr="009F6DAB">
      <w:t>R55_</w:t>
    </w:r>
    <w:r w:rsidR="00757E2D">
      <w:t>07_</w:t>
    </w:r>
    <w:r w:rsidR="009A6E75">
      <w:t>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AA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92035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E507E"/>
    <w:multiLevelType w:val="hybridMultilevel"/>
    <w:tmpl w:val="5FE430A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E1E0E7B"/>
    <w:multiLevelType w:val="hybridMultilevel"/>
    <w:tmpl w:val="78E4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E41823"/>
    <w:multiLevelType w:val="hybridMultilevel"/>
    <w:tmpl w:val="3FC4D7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0F22CC3"/>
    <w:multiLevelType w:val="multilevel"/>
    <w:tmpl w:val="398630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DF3D15"/>
    <w:multiLevelType w:val="hybridMultilevel"/>
    <w:tmpl w:val="15328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BB2993"/>
    <w:multiLevelType w:val="hybridMultilevel"/>
    <w:tmpl w:val="3F2CEC7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57DC601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48372D"/>
    <w:multiLevelType w:val="hybridMultilevel"/>
    <w:tmpl w:val="398630BE"/>
    <w:lvl w:ilvl="0" w:tplc="A4780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506CC"/>
    <w:multiLevelType w:val="hybridMultilevel"/>
    <w:tmpl w:val="CFE0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651D86"/>
    <w:multiLevelType w:val="hybridMultilevel"/>
    <w:tmpl w:val="BFE8A8A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nsid w:val="6D854BA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DB443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1"/>
  </w:num>
  <w:num w:numId="4">
    <w:abstractNumId w:val="8"/>
  </w:num>
  <w:num w:numId="5">
    <w:abstractNumId w:val="0"/>
  </w:num>
  <w:num w:numId="6">
    <w:abstractNumId w:val="7"/>
  </w:num>
  <w:num w:numId="7">
    <w:abstractNumId w:val="2"/>
  </w:num>
  <w:num w:numId="8">
    <w:abstractNumId w:val="4"/>
  </w:num>
  <w:num w:numId="9">
    <w:abstractNumId w:val="11"/>
  </w:num>
  <w:num w:numId="10">
    <w:abstractNumId w:val="13"/>
  </w:num>
  <w:num w:numId="11">
    <w:abstractNumId w:val="12"/>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72"/>
    <w:rsid w:val="000227DB"/>
    <w:rsid w:val="00075E94"/>
    <w:rsid w:val="000C245F"/>
    <w:rsid w:val="000C50D3"/>
    <w:rsid w:val="000F3271"/>
    <w:rsid w:val="00114A43"/>
    <w:rsid w:val="00115EEE"/>
    <w:rsid w:val="0016664F"/>
    <w:rsid w:val="00174B30"/>
    <w:rsid w:val="001B55D2"/>
    <w:rsid w:val="001B66E1"/>
    <w:rsid w:val="00231172"/>
    <w:rsid w:val="00282147"/>
    <w:rsid w:val="002B1348"/>
    <w:rsid w:val="002D20E8"/>
    <w:rsid w:val="002D68DE"/>
    <w:rsid w:val="002E1A77"/>
    <w:rsid w:val="002F7D35"/>
    <w:rsid w:val="0031665C"/>
    <w:rsid w:val="003233F5"/>
    <w:rsid w:val="003A1738"/>
    <w:rsid w:val="003C2828"/>
    <w:rsid w:val="003D6A2B"/>
    <w:rsid w:val="004018ED"/>
    <w:rsid w:val="0043655E"/>
    <w:rsid w:val="004A0E5D"/>
    <w:rsid w:val="004B5E5D"/>
    <w:rsid w:val="005120BE"/>
    <w:rsid w:val="005444CE"/>
    <w:rsid w:val="00546017"/>
    <w:rsid w:val="00595759"/>
    <w:rsid w:val="005A7388"/>
    <w:rsid w:val="00615774"/>
    <w:rsid w:val="006176B7"/>
    <w:rsid w:val="00630AE6"/>
    <w:rsid w:val="006E4B34"/>
    <w:rsid w:val="00756AF5"/>
    <w:rsid w:val="00757E2D"/>
    <w:rsid w:val="007824BB"/>
    <w:rsid w:val="007857F6"/>
    <w:rsid w:val="0079610D"/>
    <w:rsid w:val="007B11E5"/>
    <w:rsid w:val="007D0B86"/>
    <w:rsid w:val="00861B7C"/>
    <w:rsid w:val="00873684"/>
    <w:rsid w:val="008A110C"/>
    <w:rsid w:val="008A488B"/>
    <w:rsid w:val="008D1693"/>
    <w:rsid w:val="008E0209"/>
    <w:rsid w:val="008E2914"/>
    <w:rsid w:val="008E3C5F"/>
    <w:rsid w:val="008F735D"/>
    <w:rsid w:val="00932361"/>
    <w:rsid w:val="009354A3"/>
    <w:rsid w:val="00940D9D"/>
    <w:rsid w:val="00953609"/>
    <w:rsid w:val="009A5A24"/>
    <w:rsid w:val="009A6E75"/>
    <w:rsid w:val="009E1748"/>
    <w:rsid w:val="009F6DAB"/>
    <w:rsid w:val="00A63F4D"/>
    <w:rsid w:val="00A9717E"/>
    <w:rsid w:val="00A97CF1"/>
    <w:rsid w:val="00AE7D61"/>
    <w:rsid w:val="00AF2548"/>
    <w:rsid w:val="00B40AEE"/>
    <w:rsid w:val="00B62DD4"/>
    <w:rsid w:val="00B83D36"/>
    <w:rsid w:val="00BD7BB6"/>
    <w:rsid w:val="00C64C72"/>
    <w:rsid w:val="00C72E19"/>
    <w:rsid w:val="00C87D08"/>
    <w:rsid w:val="00CC3C89"/>
    <w:rsid w:val="00CC5FE3"/>
    <w:rsid w:val="00CE0959"/>
    <w:rsid w:val="00CF1914"/>
    <w:rsid w:val="00D11A13"/>
    <w:rsid w:val="00D362AD"/>
    <w:rsid w:val="00D37A4A"/>
    <w:rsid w:val="00DD4916"/>
    <w:rsid w:val="00E36549"/>
    <w:rsid w:val="00E36EE1"/>
    <w:rsid w:val="00E616B8"/>
    <w:rsid w:val="00E67E9C"/>
    <w:rsid w:val="00E87918"/>
    <w:rsid w:val="00EA06E5"/>
    <w:rsid w:val="00EA141A"/>
    <w:rsid w:val="00EB7829"/>
    <w:rsid w:val="00EC3B74"/>
    <w:rsid w:val="00F9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72"/>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4C72"/>
    <w:pPr>
      <w:ind w:left="720"/>
    </w:pPr>
  </w:style>
  <w:style w:type="paragraph" w:styleId="Ballongtext">
    <w:name w:val="Balloon Text"/>
    <w:basedOn w:val="Normal"/>
    <w:link w:val="BallongtextChar"/>
    <w:uiPriority w:val="99"/>
    <w:semiHidden/>
    <w:unhideWhenUsed/>
    <w:rsid w:val="007824BB"/>
    <w:rPr>
      <w:rFonts w:ascii="Tahoma" w:hAnsi="Tahoma" w:cs="Tahoma"/>
      <w:sz w:val="16"/>
      <w:szCs w:val="16"/>
    </w:rPr>
  </w:style>
  <w:style w:type="character" w:customStyle="1" w:styleId="BallongtextChar">
    <w:name w:val="Ballongtext Char"/>
    <w:basedOn w:val="Standardstycketeckensnitt"/>
    <w:link w:val="Ballongtext"/>
    <w:uiPriority w:val="99"/>
    <w:semiHidden/>
    <w:rsid w:val="007824BB"/>
    <w:rPr>
      <w:rFonts w:ascii="Tahoma" w:hAnsi="Tahoma" w:cs="Tahoma"/>
      <w:sz w:val="16"/>
      <w:szCs w:val="16"/>
    </w:rPr>
  </w:style>
  <w:style w:type="character" w:styleId="Platshllartext">
    <w:name w:val="Placeholder Text"/>
    <w:basedOn w:val="Standardstycketeckensnitt"/>
    <w:uiPriority w:val="99"/>
    <w:semiHidden/>
    <w:rsid w:val="007824BB"/>
    <w:rPr>
      <w:color w:val="808080"/>
    </w:rPr>
  </w:style>
  <w:style w:type="paragraph" w:styleId="Sidhuvud">
    <w:name w:val="header"/>
    <w:basedOn w:val="Normal"/>
    <w:link w:val="SidhuvudChar"/>
    <w:uiPriority w:val="99"/>
    <w:unhideWhenUsed/>
    <w:rsid w:val="009F6DAB"/>
    <w:pPr>
      <w:tabs>
        <w:tab w:val="center" w:pos="4703"/>
        <w:tab w:val="right" w:pos="9406"/>
      </w:tabs>
    </w:pPr>
  </w:style>
  <w:style w:type="character" w:customStyle="1" w:styleId="SidhuvudChar">
    <w:name w:val="Sidhuvud Char"/>
    <w:basedOn w:val="Standardstycketeckensnitt"/>
    <w:link w:val="Sidhuvud"/>
    <w:uiPriority w:val="99"/>
    <w:rsid w:val="009F6DAB"/>
  </w:style>
  <w:style w:type="paragraph" w:styleId="Sidfot">
    <w:name w:val="footer"/>
    <w:basedOn w:val="Normal"/>
    <w:link w:val="SidfotChar"/>
    <w:uiPriority w:val="99"/>
    <w:unhideWhenUsed/>
    <w:rsid w:val="009F6DAB"/>
    <w:pPr>
      <w:tabs>
        <w:tab w:val="center" w:pos="4703"/>
        <w:tab w:val="right" w:pos="9406"/>
      </w:tabs>
    </w:pPr>
  </w:style>
  <w:style w:type="character" w:customStyle="1" w:styleId="SidfotChar">
    <w:name w:val="Sidfot Char"/>
    <w:basedOn w:val="Standardstycketeckensnitt"/>
    <w:link w:val="Sidfot"/>
    <w:uiPriority w:val="99"/>
    <w:rsid w:val="009F6DAB"/>
  </w:style>
  <w:style w:type="paragraph" w:styleId="Normalwebb">
    <w:name w:val="Normal (Web)"/>
    <w:basedOn w:val="Normal"/>
    <w:uiPriority w:val="99"/>
    <w:semiHidden/>
    <w:unhideWhenUsed/>
    <w:rsid w:val="000F3271"/>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72"/>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4C72"/>
    <w:pPr>
      <w:ind w:left="720"/>
    </w:pPr>
  </w:style>
  <w:style w:type="paragraph" w:styleId="Ballongtext">
    <w:name w:val="Balloon Text"/>
    <w:basedOn w:val="Normal"/>
    <w:link w:val="BallongtextChar"/>
    <w:uiPriority w:val="99"/>
    <w:semiHidden/>
    <w:unhideWhenUsed/>
    <w:rsid w:val="007824BB"/>
    <w:rPr>
      <w:rFonts w:ascii="Tahoma" w:hAnsi="Tahoma" w:cs="Tahoma"/>
      <w:sz w:val="16"/>
      <w:szCs w:val="16"/>
    </w:rPr>
  </w:style>
  <w:style w:type="character" w:customStyle="1" w:styleId="BallongtextChar">
    <w:name w:val="Ballongtext Char"/>
    <w:basedOn w:val="Standardstycketeckensnitt"/>
    <w:link w:val="Ballongtext"/>
    <w:uiPriority w:val="99"/>
    <w:semiHidden/>
    <w:rsid w:val="007824BB"/>
    <w:rPr>
      <w:rFonts w:ascii="Tahoma" w:hAnsi="Tahoma" w:cs="Tahoma"/>
      <w:sz w:val="16"/>
      <w:szCs w:val="16"/>
    </w:rPr>
  </w:style>
  <w:style w:type="character" w:styleId="Platshllartext">
    <w:name w:val="Placeholder Text"/>
    <w:basedOn w:val="Standardstycketeckensnitt"/>
    <w:uiPriority w:val="99"/>
    <w:semiHidden/>
    <w:rsid w:val="007824BB"/>
    <w:rPr>
      <w:color w:val="808080"/>
    </w:rPr>
  </w:style>
  <w:style w:type="paragraph" w:styleId="Sidhuvud">
    <w:name w:val="header"/>
    <w:basedOn w:val="Normal"/>
    <w:link w:val="SidhuvudChar"/>
    <w:uiPriority w:val="99"/>
    <w:unhideWhenUsed/>
    <w:rsid w:val="009F6DAB"/>
    <w:pPr>
      <w:tabs>
        <w:tab w:val="center" w:pos="4703"/>
        <w:tab w:val="right" w:pos="9406"/>
      </w:tabs>
    </w:pPr>
  </w:style>
  <w:style w:type="character" w:customStyle="1" w:styleId="SidhuvudChar">
    <w:name w:val="Sidhuvud Char"/>
    <w:basedOn w:val="Standardstycketeckensnitt"/>
    <w:link w:val="Sidhuvud"/>
    <w:uiPriority w:val="99"/>
    <w:rsid w:val="009F6DAB"/>
  </w:style>
  <w:style w:type="paragraph" w:styleId="Sidfot">
    <w:name w:val="footer"/>
    <w:basedOn w:val="Normal"/>
    <w:link w:val="SidfotChar"/>
    <w:uiPriority w:val="99"/>
    <w:unhideWhenUsed/>
    <w:rsid w:val="009F6DAB"/>
    <w:pPr>
      <w:tabs>
        <w:tab w:val="center" w:pos="4703"/>
        <w:tab w:val="right" w:pos="9406"/>
      </w:tabs>
    </w:pPr>
  </w:style>
  <w:style w:type="character" w:customStyle="1" w:styleId="SidfotChar">
    <w:name w:val="Sidfot Char"/>
    <w:basedOn w:val="Standardstycketeckensnitt"/>
    <w:link w:val="Sidfot"/>
    <w:uiPriority w:val="99"/>
    <w:rsid w:val="009F6DAB"/>
  </w:style>
  <w:style w:type="paragraph" w:styleId="Normalwebb">
    <w:name w:val="Normal (Web)"/>
    <w:basedOn w:val="Normal"/>
    <w:uiPriority w:val="99"/>
    <w:semiHidden/>
    <w:unhideWhenUsed/>
    <w:rsid w:val="000F3271"/>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899</Words>
  <Characters>5127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Bolennarth</dc:creator>
  <cp:lastModifiedBy>Svensson Bolennarth</cp:lastModifiedBy>
  <cp:revision>5</cp:revision>
  <cp:lastPrinted>2014-05-14T08:12:00Z</cp:lastPrinted>
  <dcterms:created xsi:type="dcterms:W3CDTF">2014-05-14T14:18:00Z</dcterms:created>
  <dcterms:modified xsi:type="dcterms:W3CDTF">2014-05-27T09:38:00Z</dcterms:modified>
</cp:coreProperties>
</file>