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237F" w14:textId="17C31A60" w:rsidR="001F31C2" w:rsidRDefault="00477254" w:rsidP="004D1797">
      <w:pPr>
        <w:pStyle w:val="HChG"/>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 xml:space="preserve">Vehicle-to-Vehicle </w:t>
      </w:r>
      <w:r w:rsidR="00DD566E">
        <w:t xml:space="preserve">communication </w:t>
      </w:r>
      <w:r>
        <w:t>in the context of WP.29</w:t>
      </w:r>
    </w:p>
    <w:p w14:paraId="7C4B826B" w14:textId="77777777" w:rsidR="001F31C2" w:rsidRPr="00A13680"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w:t>
      </w:r>
      <w:r w:rsidR="00A13680" w:rsidRPr="00A13680">
        <w:t>.</w:t>
      </w:r>
      <w:r w:rsidR="00A13680" w:rsidRPr="00A13680">
        <w:tab/>
      </w:r>
      <w:r w:rsidR="00BD280A">
        <w:t>Introduction</w:t>
      </w:r>
    </w:p>
    <w:p w14:paraId="77D7476B" w14:textId="7535F825" w:rsidR="005E1BF6" w:rsidRDefault="006D6C52" w:rsidP="00A90DB0">
      <w:pPr>
        <w:pStyle w:val="SingleTxtG"/>
      </w:pPr>
      <w:r>
        <w:t>1</w:t>
      </w:r>
      <w:r w:rsidR="00911AE2" w:rsidRPr="00A13680">
        <w:t>.</w:t>
      </w:r>
      <w:r w:rsidR="00911AE2" w:rsidRPr="00A13680">
        <w:tab/>
      </w:r>
      <w:r w:rsidR="00923ADA">
        <w:t xml:space="preserve">At </w:t>
      </w:r>
      <w:r w:rsidR="0054109A">
        <w:t>the</w:t>
      </w:r>
      <w:r w:rsidR="00923ADA">
        <w:t xml:space="preserve"> </w:t>
      </w:r>
      <w:r w:rsidR="0054109A">
        <w:t>fourteenth</w:t>
      </w:r>
      <w:r w:rsidR="00923ADA">
        <w:t xml:space="preserve"> </w:t>
      </w:r>
      <w:r w:rsidR="0054109A">
        <w:t xml:space="preserve">GRVA </w:t>
      </w:r>
      <w:r w:rsidR="00923ADA">
        <w:t>session, (</w:t>
      </w:r>
      <w:r w:rsidR="00477254">
        <w:t>September</w:t>
      </w:r>
      <w:r w:rsidR="00923ADA">
        <w:t xml:space="preserve"> 20</w:t>
      </w:r>
      <w:r w:rsidR="00477254">
        <w:t>2</w:t>
      </w:r>
      <w:r w:rsidR="0054109A">
        <w:t>2</w:t>
      </w:r>
      <w:r w:rsidR="00923ADA">
        <w:t xml:space="preserve">), the </w:t>
      </w:r>
      <w:r w:rsidR="0054109A">
        <w:t>expert</w:t>
      </w:r>
      <w:r w:rsidR="00923ADA">
        <w:t xml:space="preserve"> </w:t>
      </w:r>
      <w:r w:rsidR="00431165">
        <w:t xml:space="preserve">from </w:t>
      </w:r>
      <w:r w:rsidR="00477254">
        <w:t>China</w:t>
      </w:r>
      <w:r w:rsidR="00923ADA">
        <w:t xml:space="preserve"> presented</w:t>
      </w:r>
      <w:r w:rsidR="0054109A">
        <w:t xml:space="preserve"> </w:t>
      </w:r>
      <w:r w:rsidR="00477254">
        <w:t>GRVA-14-20,</w:t>
      </w:r>
      <w:r w:rsidR="00923ADA">
        <w:t xml:space="preserve"> </w:t>
      </w:r>
      <w:r w:rsidR="00477254">
        <w:t xml:space="preserve">proposing that GRVA address the topic of </w:t>
      </w:r>
      <w:r w:rsidR="00361C66">
        <w:t>V</w:t>
      </w:r>
      <w:r w:rsidR="00477254">
        <w:t>ehicle-to-</w:t>
      </w:r>
      <w:r w:rsidR="00361C66">
        <w:t>V</w:t>
      </w:r>
      <w:r w:rsidR="00477254">
        <w:t xml:space="preserve">ehicle </w:t>
      </w:r>
      <w:r w:rsidR="00361C66">
        <w:t>(V2V)</w:t>
      </w:r>
      <w:r w:rsidR="00477254">
        <w:t xml:space="preserve"> communication</w:t>
      </w:r>
      <w:r w:rsidR="00923ADA">
        <w:t>.</w:t>
      </w:r>
      <w:r w:rsidR="00477254">
        <w:t xml:space="preserve"> GRVA decided to consult WP.29 </w:t>
      </w:r>
      <w:r w:rsidR="0054109A">
        <w:t>on</w:t>
      </w:r>
      <w:r w:rsidR="00477254">
        <w:t xml:space="preserve"> potential way</w:t>
      </w:r>
      <w:r w:rsidR="0054109A">
        <w:t>s</w:t>
      </w:r>
      <w:r w:rsidR="00477254">
        <w:t xml:space="preserve"> forward.</w:t>
      </w:r>
    </w:p>
    <w:p w14:paraId="40811B65" w14:textId="73943FA1" w:rsidR="00D76B62" w:rsidRPr="00477254" w:rsidRDefault="00F85180" w:rsidP="00082FE0">
      <w:pPr>
        <w:pStyle w:val="SingleTxtG"/>
      </w:pPr>
      <w:r>
        <w:t>2.</w:t>
      </w:r>
      <w:r>
        <w:tab/>
      </w:r>
      <w:r w:rsidR="00477254">
        <w:t>WP.29 decided, at its 188</w:t>
      </w:r>
      <w:r w:rsidR="00477254">
        <w:rPr>
          <w:vertAlign w:val="superscript"/>
        </w:rPr>
        <w:t>th</w:t>
      </w:r>
      <w:r w:rsidR="00477254">
        <w:t xml:space="preserve"> session </w:t>
      </w:r>
      <w:r w:rsidR="00477254">
        <w:rPr>
          <w:shd w:val="clear" w:color="auto" w:fill="FFFFFF"/>
        </w:rPr>
        <w:t>(</w:t>
      </w:r>
      <w:hyperlink r:id="rId11" w:history="1">
        <w:r w:rsidR="00477254">
          <w:rPr>
            <w:rStyle w:val="Hyperlink"/>
            <w:color w:val="0052CC"/>
            <w:shd w:val="clear" w:color="auto" w:fill="FFFFFF"/>
          </w:rPr>
          <w:t>ECE/TRANS/WP.29/1168</w:t>
        </w:r>
      </w:hyperlink>
      <w:r w:rsidR="00477254">
        <w:rPr>
          <w:shd w:val="clear" w:color="auto" w:fill="FFFFFF"/>
        </w:rPr>
        <w:t>, para. 19)</w:t>
      </w:r>
      <w:r w:rsidR="0054109A">
        <w:rPr>
          <w:shd w:val="clear" w:color="auto" w:fill="FFFFFF"/>
        </w:rPr>
        <w:t xml:space="preserve"> in November 2022</w:t>
      </w:r>
      <w:r w:rsidR="00477254">
        <w:t>, that the Informal Working Group (IWG) on Intelligent Transport Systems (ITS) should perform preparatory activities and explore the potential role of WP.29 regarding V2V communication</w:t>
      </w:r>
      <w:r w:rsidR="0054109A">
        <w:t xml:space="preserve">. This document is aimed at supporting the discussions at the IWG on ITS on this topic. </w:t>
      </w:r>
    </w:p>
    <w:p w14:paraId="3404D87E" w14:textId="1959FD8D" w:rsidR="001F31C2" w:rsidRPr="00A13680" w:rsidRDefault="007B025E" w:rsidP="002F0338">
      <w:pPr>
        <w:pStyle w:val="HChG"/>
        <w:pBdr>
          <w:top w:val="none" w:sz="0" w:space="0" w:color="auto"/>
          <w:left w:val="none" w:sz="0" w:space="0" w:color="auto"/>
          <w:bottom w:val="none" w:sz="0" w:space="0" w:color="auto"/>
          <w:right w:val="none" w:sz="0" w:space="0" w:color="auto"/>
          <w:between w:val="none" w:sz="0" w:space="0" w:color="auto"/>
          <w:bar w:val="none" w:sz="0" w:color="auto"/>
        </w:pBdr>
        <w:ind w:right="304"/>
      </w:pPr>
      <w:r w:rsidRPr="00A13680">
        <w:tab/>
      </w:r>
      <w:r w:rsidR="00F53ECE">
        <w:t>II</w:t>
      </w:r>
      <w:r w:rsidR="008B64C5">
        <w:t>.</w:t>
      </w:r>
      <w:r w:rsidR="008B64C5">
        <w:tab/>
      </w:r>
      <w:r w:rsidR="003B4C3D">
        <w:t>History and p</w:t>
      </w:r>
      <w:r w:rsidR="008C1773">
        <w:t xml:space="preserve">otential benefits of </w:t>
      </w:r>
      <w:r w:rsidR="00477254">
        <w:t>Vehicle-to-Vehicle</w:t>
      </w:r>
      <w:r w:rsidR="008C1773">
        <w:t xml:space="preserve"> communication</w:t>
      </w:r>
    </w:p>
    <w:p w14:paraId="38F23BB5" w14:textId="2C60B9A7" w:rsidR="00E65F2C" w:rsidRPr="00EE0152" w:rsidRDefault="003E4BC6" w:rsidP="00EE0152">
      <w:pPr>
        <w:pStyle w:val="SingleTxtG"/>
      </w:pPr>
      <w:r w:rsidRPr="00EE0152">
        <w:t>3</w:t>
      </w:r>
      <w:r w:rsidR="00DE6DE9" w:rsidRPr="00EE0152">
        <w:t>.</w:t>
      </w:r>
      <w:r w:rsidR="0027558F" w:rsidRPr="00EE0152">
        <w:tab/>
      </w:r>
      <w:r w:rsidR="00477254">
        <w:t xml:space="preserve">The beginning of </w:t>
      </w:r>
      <w:r w:rsidR="0054109A">
        <w:t xml:space="preserve">Vehicle-to-Vehicle communication and, more generally, </w:t>
      </w:r>
      <w:r w:rsidR="00477254">
        <w:t>vehicular communications goes back to the 1970s</w:t>
      </w:r>
      <w:r w:rsidR="00685F1C">
        <w:t xml:space="preserve">, when first </w:t>
      </w:r>
      <w:r w:rsidR="00841AA4">
        <w:t xml:space="preserve">route guidance </w:t>
      </w:r>
      <w:r w:rsidR="00685F1C">
        <w:t xml:space="preserve">systems were </w:t>
      </w:r>
      <w:r w:rsidR="005B14C0">
        <w:t xml:space="preserve">developed </w:t>
      </w:r>
      <w:r w:rsidR="00477254">
        <w:t>in Japan and the United States of America</w:t>
      </w:r>
      <w:r w:rsidR="00852BDD" w:rsidRPr="00EE0152">
        <w:t>.</w:t>
      </w:r>
    </w:p>
    <w:p w14:paraId="3FE951BD" w14:textId="54B4DD25" w:rsidR="00852BDD" w:rsidRDefault="00852BDD" w:rsidP="008B64C5">
      <w:pPr>
        <w:pStyle w:val="SingleTxtG"/>
        <w:rPr>
          <w:rFonts w:hAnsi="Times New Roman" w:cs="Times New Roman"/>
          <w:iCs/>
        </w:rPr>
      </w:pPr>
      <w:r>
        <w:rPr>
          <w:rFonts w:hAnsi="Times New Roman" w:cs="Times New Roman"/>
          <w:iCs/>
        </w:rPr>
        <w:t>4.</w:t>
      </w:r>
      <w:r>
        <w:rPr>
          <w:rFonts w:hAnsi="Times New Roman" w:cs="Times New Roman"/>
          <w:iCs/>
        </w:rPr>
        <w:tab/>
      </w:r>
      <w:r w:rsidR="008C1773">
        <w:rPr>
          <w:rFonts w:hAnsi="Times New Roman" w:cs="Times New Roman"/>
          <w:iCs/>
        </w:rPr>
        <w:t>Several countries initiated pre-regulatory activities to support the deployment of vehicular communications. For example, t</w:t>
      </w:r>
      <w:r w:rsidR="008C1773" w:rsidRPr="008C1773">
        <w:rPr>
          <w:rFonts w:hAnsi="Times New Roman" w:cs="Times New Roman"/>
          <w:iCs/>
        </w:rPr>
        <w:t xml:space="preserve">he U.S. Department of Transportation's (DOT) National Highway Traffic Safety Administration (NHTSA) released an </w:t>
      </w:r>
      <w:r w:rsidR="008C1773">
        <w:rPr>
          <w:rFonts w:hAnsi="Times New Roman" w:cs="Times New Roman"/>
          <w:iCs/>
        </w:rPr>
        <w:t>A</w:t>
      </w:r>
      <w:r w:rsidR="008C1773" w:rsidRPr="008C1773">
        <w:rPr>
          <w:rFonts w:hAnsi="Times New Roman" w:cs="Times New Roman"/>
          <w:iCs/>
        </w:rPr>
        <w:t xml:space="preserve">dvance </w:t>
      </w:r>
      <w:r w:rsidR="008C1773">
        <w:rPr>
          <w:rFonts w:hAnsi="Times New Roman" w:cs="Times New Roman"/>
          <w:iCs/>
        </w:rPr>
        <w:t>N</w:t>
      </w:r>
      <w:r w:rsidR="008C1773" w:rsidRPr="008C1773">
        <w:rPr>
          <w:rFonts w:hAnsi="Times New Roman" w:cs="Times New Roman"/>
          <w:iCs/>
        </w:rPr>
        <w:t xml:space="preserve">otice of </w:t>
      </w:r>
      <w:r w:rsidR="008C1773">
        <w:rPr>
          <w:rFonts w:hAnsi="Times New Roman" w:cs="Times New Roman"/>
          <w:iCs/>
        </w:rPr>
        <w:t>P</w:t>
      </w:r>
      <w:r w:rsidR="008C1773" w:rsidRPr="008C1773">
        <w:rPr>
          <w:rFonts w:hAnsi="Times New Roman" w:cs="Times New Roman"/>
          <w:iCs/>
        </w:rPr>
        <w:t xml:space="preserve">roposed </w:t>
      </w:r>
      <w:r w:rsidR="008C1773">
        <w:rPr>
          <w:rFonts w:hAnsi="Times New Roman" w:cs="Times New Roman"/>
          <w:iCs/>
        </w:rPr>
        <w:t>R</w:t>
      </w:r>
      <w:r w:rsidR="008C1773" w:rsidRPr="008C1773">
        <w:rPr>
          <w:rFonts w:hAnsi="Times New Roman" w:cs="Times New Roman"/>
          <w:iCs/>
        </w:rPr>
        <w:t>ulemaking (ANPRM)</w:t>
      </w:r>
      <w:r w:rsidR="00907538">
        <w:rPr>
          <w:rStyle w:val="FootnoteReference"/>
          <w:rFonts w:hAnsi="Times New Roman" w:cs="Times New Roman"/>
          <w:iCs/>
        </w:rPr>
        <w:footnoteReference w:id="2"/>
      </w:r>
      <w:r w:rsidR="008C1773" w:rsidRPr="008C1773">
        <w:rPr>
          <w:rFonts w:hAnsi="Times New Roman" w:cs="Times New Roman"/>
          <w:iCs/>
        </w:rPr>
        <w:t xml:space="preserve"> and a supporting comprehensive research report on V2V communications technology</w:t>
      </w:r>
      <w:r w:rsidR="00947BB1">
        <w:rPr>
          <w:rFonts w:hAnsi="Times New Roman" w:cs="Times New Roman"/>
          <w:iCs/>
        </w:rPr>
        <w:t xml:space="preserve"> in August 2014</w:t>
      </w:r>
      <w:r w:rsidR="00AC3282">
        <w:rPr>
          <w:rStyle w:val="FootnoteReference"/>
          <w:rFonts w:hAnsi="Times New Roman" w:cs="Times New Roman"/>
          <w:iCs/>
        </w:rPr>
        <w:footnoteReference w:id="3"/>
      </w:r>
      <w:r w:rsidR="008C1773">
        <w:rPr>
          <w:rFonts w:hAnsi="Times New Roman" w:cs="Times New Roman"/>
          <w:iCs/>
        </w:rPr>
        <w:t>.</w:t>
      </w:r>
    </w:p>
    <w:p w14:paraId="74F1A855" w14:textId="05797E04" w:rsidR="00852BDD" w:rsidRDefault="00852BDD" w:rsidP="00852BDD">
      <w:pPr>
        <w:pStyle w:val="SingleTxtG"/>
        <w:rPr>
          <w:rFonts w:hAnsi="Times New Roman" w:cs="Times New Roman"/>
          <w:iCs/>
        </w:rPr>
      </w:pPr>
      <w:r>
        <w:rPr>
          <w:rFonts w:hAnsi="Times New Roman" w:cs="Times New Roman"/>
          <w:iCs/>
        </w:rPr>
        <w:t>5.</w:t>
      </w:r>
      <w:r>
        <w:rPr>
          <w:rFonts w:hAnsi="Times New Roman" w:cs="Times New Roman"/>
          <w:iCs/>
        </w:rPr>
        <w:tab/>
      </w:r>
      <w:r w:rsidR="008C1773">
        <w:rPr>
          <w:rFonts w:hAnsi="Times New Roman" w:cs="Times New Roman"/>
          <w:iCs/>
        </w:rPr>
        <w:t>These activities highlighted the potential of the technology to increase road safety</w:t>
      </w:r>
      <w:r w:rsidR="008D23D9">
        <w:rPr>
          <w:rFonts w:hAnsi="Times New Roman" w:cs="Times New Roman"/>
          <w:iCs/>
        </w:rPr>
        <w:t xml:space="preserve"> e.g. </w:t>
      </w:r>
      <w:r w:rsidR="00BC0EE8">
        <w:rPr>
          <w:rFonts w:hAnsi="Times New Roman" w:cs="Times New Roman"/>
          <w:iCs/>
        </w:rPr>
        <w:t xml:space="preserve">for </w:t>
      </w:r>
      <w:r w:rsidR="00083AA4">
        <w:rPr>
          <w:rFonts w:hAnsi="Times New Roman" w:cs="Times New Roman"/>
          <w:iCs/>
        </w:rPr>
        <w:t>an</w:t>
      </w:r>
      <w:r w:rsidR="00BC0EE8">
        <w:rPr>
          <w:rFonts w:hAnsi="Times New Roman" w:cs="Times New Roman"/>
          <w:iCs/>
        </w:rPr>
        <w:t xml:space="preserve"> </w:t>
      </w:r>
      <w:r w:rsidR="00083AA4">
        <w:rPr>
          <w:rFonts w:hAnsi="Times New Roman" w:cs="Times New Roman"/>
          <w:iCs/>
        </w:rPr>
        <w:t xml:space="preserve">unprotected </w:t>
      </w:r>
      <w:r w:rsidR="00BC0EE8">
        <w:rPr>
          <w:rFonts w:hAnsi="Times New Roman" w:cs="Times New Roman"/>
          <w:iCs/>
        </w:rPr>
        <w:t>left tu</w:t>
      </w:r>
      <w:r w:rsidR="00392FA2">
        <w:rPr>
          <w:rFonts w:hAnsi="Times New Roman" w:cs="Times New Roman"/>
          <w:iCs/>
        </w:rPr>
        <w:t xml:space="preserve">rn scenario and </w:t>
      </w:r>
      <w:r w:rsidR="00083AA4">
        <w:rPr>
          <w:rFonts w:hAnsi="Times New Roman" w:cs="Times New Roman"/>
          <w:iCs/>
        </w:rPr>
        <w:t>an</w:t>
      </w:r>
      <w:r w:rsidR="00C149DB">
        <w:rPr>
          <w:rFonts w:hAnsi="Times New Roman" w:cs="Times New Roman"/>
          <w:iCs/>
        </w:rPr>
        <w:t xml:space="preserve"> intersection </w:t>
      </w:r>
      <w:r w:rsidR="000C52A5">
        <w:rPr>
          <w:rFonts w:hAnsi="Times New Roman" w:cs="Times New Roman"/>
          <w:iCs/>
        </w:rPr>
        <w:t>crossing scenario</w:t>
      </w:r>
      <w:r>
        <w:rPr>
          <w:rFonts w:hAnsi="Times New Roman" w:cs="Times New Roman"/>
          <w:iCs/>
        </w:rPr>
        <w:t>.</w:t>
      </w:r>
    </w:p>
    <w:p w14:paraId="29F07678" w14:textId="2FF2D44B" w:rsidR="008C1773" w:rsidRPr="008C1773" w:rsidRDefault="008C1773" w:rsidP="008C1773">
      <w:pPr>
        <w:pStyle w:val="SingleTxtG"/>
      </w:pPr>
      <w:r>
        <w:t>6</w:t>
      </w:r>
      <w:r w:rsidR="00341103">
        <w:t>.</w:t>
      </w:r>
      <w:r>
        <w:tab/>
        <w:t xml:space="preserve">Recent activities </w:t>
      </w:r>
      <w:r w:rsidR="005B4943">
        <w:t>(e.g. the presentations during the webinar 3</w:t>
      </w:r>
      <w:r w:rsidR="002926CC">
        <w:t xml:space="preserve"> </w:t>
      </w:r>
      <w:r w:rsidR="00EF3590">
        <w:rPr>
          <w:rStyle w:val="FootnoteReference"/>
        </w:rPr>
        <w:footnoteReference w:id="4"/>
      </w:r>
      <w:r w:rsidR="005B4943">
        <w:t xml:space="preserve"> on </w:t>
      </w:r>
      <w:r w:rsidR="001C5893">
        <w:t xml:space="preserve">28 February 2022) </w:t>
      </w:r>
      <w:r>
        <w:t>presented to the IWG on ITS highlight the potential of th</w:t>
      </w:r>
      <w:r w:rsidR="00574349">
        <w:t>is</w:t>
      </w:r>
      <w:r>
        <w:t xml:space="preserve"> technology to support automated driving systems in certain scenarios.</w:t>
      </w:r>
    </w:p>
    <w:p w14:paraId="501F3A05" w14:textId="68EF01DC" w:rsidR="006A5BAA" w:rsidRDefault="006A5BAA" w:rsidP="006A5BAA">
      <w:pPr>
        <w:pStyle w:val="HChG"/>
        <w:pBdr>
          <w:top w:val="none" w:sz="0" w:space="0" w:color="auto"/>
          <w:left w:val="none" w:sz="0" w:space="0" w:color="auto"/>
          <w:bottom w:val="none" w:sz="0" w:space="0" w:color="auto"/>
          <w:right w:val="none" w:sz="0" w:space="0" w:color="auto"/>
          <w:between w:val="none" w:sz="0" w:space="0" w:color="auto"/>
          <w:bar w:val="none" w:sz="0" w:color="auto"/>
        </w:pBdr>
      </w:pPr>
      <w:r>
        <w:tab/>
      </w:r>
      <w:r w:rsidR="00F53ECE">
        <w:t>III</w:t>
      </w:r>
      <w:r w:rsidRPr="00A13680">
        <w:t>.</w:t>
      </w:r>
      <w:r w:rsidRPr="00A13680">
        <w:tab/>
      </w:r>
      <w:r w:rsidR="008C1773">
        <w:t>Vehicle-to-Vehicle communications and WP.29</w:t>
      </w:r>
    </w:p>
    <w:p w14:paraId="5901B445" w14:textId="1CA3A0F8" w:rsidR="00D76B62" w:rsidRDefault="00DF069E" w:rsidP="00DF069E">
      <w:pPr>
        <w:pStyle w:val="HMGFG"/>
      </w:pPr>
      <w:r>
        <w:tab/>
      </w:r>
      <w:r w:rsidR="00F53ECE">
        <w:t>A.</w:t>
      </w:r>
      <w:r w:rsidR="00D76B62">
        <w:tab/>
      </w:r>
      <w:r w:rsidR="008C56A4">
        <w:t xml:space="preserve">Relevant activities outside of WP.29 on </w:t>
      </w:r>
      <w:r w:rsidR="005B021E">
        <w:t>V</w:t>
      </w:r>
      <w:r w:rsidR="008C56A4">
        <w:t>ehicle-to-</w:t>
      </w:r>
      <w:r w:rsidR="005B021E">
        <w:t>V</w:t>
      </w:r>
      <w:r w:rsidR="008C56A4">
        <w:t>ehicle communications</w:t>
      </w:r>
    </w:p>
    <w:p w14:paraId="316DAED5" w14:textId="091A03A1" w:rsidR="00DF069E" w:rsidRDefault="004D1797" w:rsidP="00311466">
      <w:pPr>
        <w:pStyle w:val="SingleTxtG"/>
        <w:rPr>
          <w:lang w:val="en-US"/>
        </w:rPr>
      </w:pPr>
      <w:r>
        <w:rPr>
          <w:lang w:val="en-US"/>
        </w:rPr>
        <w:t>7</w:t>
      </w:r>
      <w:r w:rsidR="00DF069E">
        <w:rPr>
          <w:lang w:val="en-US"/>
        </w:rPr>
        <w:t>.</w:t>
      </w:r>
      <w:r w:rsidR="00DF069E">
        <w:rPr>
          <w:lang w:val="en-US"/>
        </w:rPr>
        <w:tab/>
      </w:r>
      <w:r>
        <w:rPr>
          <w:lang w:val="en-US"/>
        </w:rPr>
        <w:t>Developments in the field of vehicular communications are supported by activities performed by standardization bodies and partnership</w:t>
      </w:r>
      <w:r w:rsidR="00790266">
        <w:rPr>
          <w:lang w:val="en-US"/>
        </w:rPr>
        <w:t>s</w:t>
      </w:r>
      <w:r>
        <w:rPr>
          <w:lang w:val="en-US"/>
        </w:rPr>
        <w:t xml:space="preserve"> such as IEEE</w:t>
      </w:r>
      <w:r w:rsidR="001A2867">
        <w:rPr>
          <w:lang w:val="en-US"/>
        </w:rPr>
        <w:t xml:space="preserve">, </w:t>
      </w:r>
      <w:r w:rsidR="001A2867" w:rsidRPr="001A2867">
        <w:rPr>
          <w:lang w:val="en-US"/>
        </w:rPr>
        <w:t>Institute of Electrical and Electronics Engineers</w:t>
      </w:r>
      <w:r w:rsidR="001A2867">
        <w:rPr>
          <w:lang w:val="en-US"/>
        </w:rPr>
        <w:t xml:space="preserve"> </w:t>
      </w:r>
      <w:r>
        <w:rPr>
          <w:lang w:val="en-US"/>
        </w:rPr>
        <w:t>(</w:t>
      </w:r>
      <w:r w:rsidR="001A2867" w:rsidRPr="001A2867">
        <w:rPr>
          <w:lang w:val="en-US"/>
        </w:rPr>
        <w:t>wireless access in vehicular environments (WAVE)</w:t>
      </w:r>
      <w:r w:rsidR="00E5774C">
        <w:rPr>
          <w:lang w:val="en-US"/>
        </w:rPr>
        <w:t xml:space="preserve"> - </w:t>
      </w:r>
      <w:r w:rsidRPr="00E5774C">
        <w:rPr>
          <w:i/>
          <w:iCs/>
          <w:lang w:val="en-US"/>
        </w:rPr>
        <w:t>IEEE 802.11p</w:t>
      </w:r>
      <w:r>
        <w:rPr>
          <w:lang w:val="en-US"/>
        </w:rPr>
        <w:t>), ETSI (ITS G5</w:t>
      </w:r>
      <w:r w:rsidR="00E5774C">
        <w:rPr>
          <w:lang w:val="en-US"/>
        </w:rPr>
        <w:t xml:space="preserve"> - </w:t>
      </w:r>
      <w:r w:rsidR="00E5774C" w:rsidRPr="00E5774C">
        <w:rPr>
          <w:i/>
          <w:iCs/>
        </w:rPr>
        <w:t>ETSI EN 302 571</w:t>
      </w:r>
      <w:r>
        <w:rPr>
          <w:lang w:val="en-US"/>
        </w:rPr>
        <w:t xml:space="preserve">), 3GPP (the international cooperation that </w:t>
      </w:r>
      <w:r w:rsidRPr="004D1797">
        <w:rPr>
          <w:lang w:val="en-US"/>
        </w:rPr>
        <w:t>develop</w:t>
      </w:r>
      <w:r>
        <w:rPr>
          <w:lang w:val="en-US"/>
        </w:rPr>
        <w:t>ed</w:t>
      </w:r>
      <w:r w:rsidRPr="004D1797">
        <w:rPr>
          <w:lang w:val="en-US"/>
        </w:rPr>
        <w:t xml:space="preserve"> protocols for</w:t>
      </w:r>
      <w:r>
        <w:rPr>
          <w:lang w:val="en-US"/>
        </w:rPr>
        <w:t xml:space="preserve"> 2G/3G/4G/5G), 5GAA (</w:t>
      </w:r>
      <w:r w:rsidRPr="004D1797">
        <w:rPr>
          <w:lang w:val="en-US"/>
        </w:rPr>
        <w:t>connect</w:t>
      </w:r>
      <w:r>
        <w:rPr>
          <w:lang w:val="en-US"/>
        </w:rPr>
        <w:t>ing</w:t>
      </w:r>
      <w:r w:rsidRPr="004D1797">
        <w:rPr>
          <w:lang w:val="en-US"/>
        </w:rPr>
        <w:t xml:space="preserve"> the telecom industry and vehicle manufacturer</w:t>
      </w:r>
      <w:r>
        <w:rPr>
          <w:lang w:val="en-US"/>
        </w:rPr>
        <w:t>)</w:t>
      </w:r>
      <w:r w:rsidR="00E5774C">
        <w:rPr>
          <w:lang w:val="en-US"/>
        </w:rPr>
        <w:t xml:space="preserve">, ISO and </w:t>
      </w:r>
      <w:r w:rsidR="002C590F">
        <w:rPr>
          <w:lang w:val="en-US"/>
        </w:rPr>
        <w:t xml:space="preserve">the International </w:t>
      </w:r>
      <w:r w:rsidR="00C75DF0">
        <w:rPr>
          <w:lang w:val="en-US"/>
        </w:rPr>
        <w:t>Telecommunication</w:t>
      </w:r>
      <w:r w:rsidR="002C590F">
        <w:rPr>
          <w:lang w:val="en-US"/>
        </w:rPr>
        <w:t xml:space="preserve"> </w:t>
      </w:r>
      <w:r w:rsidR="0028388A">
        <w:rPr>
          <w:lang w:val="en-US"/>
        </w:rPr>
        <w:t xml:space="preserve">Standardization </w:t>
      </w:r>
      <w:r w:rsidR="00C75DF0">
        <w:rPr>
          <w:lang w:val="en-US"/>
        </w:rPr>
        <w:t xml:space="preserve">Sector </w:t>
      </w:r>
      <w:r w:rsidR="002C590F">
        <w:rPr>
          <w:lang w:val="en-US"/>
        </w:rPr>
        <w:t>(</w:t>
      </w:r>
      <w:r w:rsidR="00E5774C">
        <w:rPr>
          <w:lang w:val="en-US"/>
        </w:rPr>
        <w:t>ITU-T</w:t>
      </w:r>
      <w:r w:rsidR="00B21CC2">
        <w:rPr>
          <w:lang w:val="en-US"/>
        </w:rPr>
        <w:t>)</w:t>
      </w:r>
      <w:r w:rsidR="00E5774C">
        <w:rPr>
          <w:lang w:val="en-US"/>
        </w:rPr>
        <w:t>.</w:t>
      </w:r>
    </w:p>
    <w:p w14:paraId="39C22E6F" w14:textId="146C761D" w:rsidR="00DF4209" w:rsidRDefault="00E5774C" w:rsidP="00311466">
      <w:pPr>
        <w:pStyle w:val="SingleTxtG"/>
        <w:rPr>
          <w:lang w:val="en-US"/>
        </w:rPr>
      </w:pPr>
      <w:r>
        <w:rPr>
          <w:lang w:val="en-US"/>
        </w:rPr>
        <w:t>8</w:t>
      </w:r>
      <w:r w:rsidR="00DF4209">
        <w:rPr>
          <w:lang w:val="en-US"/>
        </w:rPr>
        <w:t>.</w:t>
      </w:r>
      <w:r w:rsidR="00DF4209">
        <w:rPr>
          <w:lang w:val="en-US"/>
        </w:rPr>
        <w:tab/>
      </w:r>
      <w:r w:rsidR="00C75DF0">
        <w:rPr>
          <w:lang w:val="en-US"/>
        </w:rPr>
        <w:t>The International Telecommunication Union (</w:t>
      </w:r>
      <w:r>
        <w:rPr>
          <w:lang w:val="en-US"/>
        </w:rPr>
        <w:t>I</w:t>
      </w:r>
      <w:r w:rsidRPr="00E5774C">
        <w:rPr>
          <w:lang w:val="en-US"/>
        </w:rPr>
        <w:t>TU</w:t>
      </w:r>
      <w:r w:rsidR="00C75DF0">
        <w:rPr>
          <w:lang w:val="en-US"/>
        </w:rPr>
        <w:t>)</w:t>
      </w:r>
      <w:r w:rsidRPr="00E5774C">
        <w:rPr>
          <w:lang w:val="en-US"/>
        </w:rPr>
        <w:t>, through its Radiocommunication Sector (ITU-R), and its executive arm, the Radiocommunication Bureau (BR), is the global agency responsible for management of the radio-frequency spectrum</w:t>
      </w:r>
      <w:r>
        <w:rPr>
          <w:lang w:val="en-US"/>
        </w:rPr>
        <w:t>.</w:t>
      </w:r>
    </w:p>
    <w:p w14:paraId="1143C05C" w14:textId="048B5320" w:rsidR="00E5774C" w:rsidRPr="00E5774C" w:rsidRDefault="00E5774C" w:rsidP="00E5774C">
      <w:pPr>
        <w:pStyle w:val="SingleTxtG"/>
        <w:rPr>
          <w:lang w:val="en-US"/>
        </w:rPr>
      </w:pPr>
      <w:r>
        <w:rPr>
          <w:lang w:val="en-US"/>
        </w:rPr>
        <w:lastRenderedPageBreak/>
        <w:t>9.</w:t>
      </w:r>
      <w:r>
        <w:rPr>
          <w:lang w:val="en-US"/>
        </w:rPr>
        <w:tab/>
        <w:t>Regulatory activities such as those performed by WP.29 often overlap with voluntary standards activities. Such overlaps do not necessarily represent duplicate efforts</w:t>
      </w:r>
      <w:r w:rsidR="00C24DDD">
        <w:rPr>
          <w:lang w:val="en-US"/>
        </w:rPr>
        <w:t>, as</w:t>
      </w:r>
      <w:r>
        <w:rPr>
          <w:lang w:val="en-US"/>
        </w:rPr>
        <w:t xml:space="preserve"> regulations and voluntary standards are </w:t>
      </w:r>
      <w:r w:rsidR="00C24DDD">
        <w:rPr>
          <w:lang w:val="en-US"/>
        </w:rPr>
        <w:t>in many cases</w:t>
      </w:r>
      <w:r>
        <w:rPr>
          <w:lang w:val="en-US"/>
        </w:rPr>
        <w:t xml:space="preserve"> complementary. This is </w:t>
      </w:r>
      <w:r w:rsidR="007D3F7D">
        <w:rPr>
          <w:lang w:val="en-US"/>
        </w:rPr>
        <w:t>for example</w:t>
      </w:r>
      <w:r>
        <w:rPr>
          <w:lang w:val="en-US"/>
        </w:rPr>
        <w:t xml:space="preserve"> the case for UN Regulation No. 51 (noise) and ISO 362 as well as UN Regulation No. 155</w:t>
      </w:r>
      <w:r w:rsidR="00A95093">
        <w:rPr>
          <w:lang w:val="en-US"/>
        </w:rPr>
        <w:t xml:space="preserve"> (</w:t>
      </w:r>
      <w:r w:rsidR="009B0E9F">
        <w:rPr>
          <w:lang w:val="en-US"/>
        </w:rPr>
        <w:t>c</w:t>
      </w:r>
      <w:r w:rsidR="00A95093">
        <w:rPr>
          <w:lang w:val="en-US"/>
        </w:rPr>
        <w:t xml:space="preserve">yber </w:t>
      </w:r>
      <w:r w:rsidR="0054530C">
        <w:rPr>
          <w:lang w:val="en-US"/>
        </w:rPr>
        <w:t>s</w:t>
      </w:r>
      <w:r w:rsidR="00A95093">
        <w:rPr>
          <w:lang w:val="en-US"/>
        </w:rPr>
        <w:t>ecurity</w:t>
      </w:r>
      <w:r w:rsidR="0054530C">
        <w:rPr>
          <w:lang w:val="en-US"/>
        </w:rPr>
        <w:t xml:space="preserve"> and cyber security management system</w:t>
      </w:r>
      <w:r w:rsidR="00A95093">
        <w:rPr>
          <w:lang w:val="en-US"/>
        </w:rPr>
        <w:t>)</w:t>
      </w:r>
      <w:r>
        <w:rPr>
          <w:lang w:val="en-US"/>
        </w:rPr>
        <w:t xml:space="preserve"> and ISO/</w:t>
      </w:r>
      <w:r w:rsidR="009B0E9F">
        <w:rPr>
          <w:lang w:val="en-US"/>
        </w:rPr>
        <w:t>SAE</w:t>
      </w:r>
      <w:r w:rsidR="009B0E9F">
        <w:rPr>
          <w:lang w:val="en-US"/>
        </w:rPr>
        <w:t> </w:t>
      </w:r>
      <w:r>
        <w:rPr>
          <w:lang w:val="en-US"/>
        </w:rPr>
        <w:t>21343.</w:t>
      </w:r>
    </w:p>
    <w:p w14:paraId="57D8ED35" w14:textId="795475CF" w:rsidR="00DF069E" w:rsidRDefault="00DF069E" w:rsidP="00DF069E">
      <w:pPr>
        <w:pStyle w:val="HMGFG"/>
      </w:pPr>
      <w:r>
        <w:tab/>
      </w:r>
      <w:r w:rsidR="00F53ECE">
        <w:t>B.</w:t>
      </w:r>
      <w:r>
        <w:tab/>
      </w:r>
      <w:r w:rsidR="004D1797">
        <w:t xml:space="preserve">Challenges for regulators related to </w:t>
      </w:r>
      <w:r w:rsidR="005B021E">
        <w:t>V</w:t>
      </w:r>
      <w:r w:rsidR="004D1797">
        <w:t>ehicle-to-</w:t>
      </w:r>
      <w:r w:rsidR="005B021E">
        <w:t>V</w:t>
      </w:r>
      <w:r w:rsidR="004D1797">
        <w:t>ehicle communications</w:t>
      </w:r>
    </w:p>
    <w:p w14:paraId="3E918C66" w14:textId="2280F09F" w:rsidR="00A70442" w:rsidRDefault="00957BB6" w:rsidP="00BA77F6">
      <w:pPr>
        <w:pStyle w:val="H23G"/>
      </w:pPr>
      <w:r w:rsidRPr="00957BB6">
        <w:tab/>
      </w:r>
      <w:r w:rsidR="00EB5E98">
        <w:t>1.</w:t>
      </w:r>
      <w:r w:rsidRPr="00957BB6">
        <w:tab/>
      </w:r>
      <w:r w:rsidR="00A70442">
        <w:t>Voluntary standards and penetration rates</w:t>
      </w:r>
    </w:p>
    <w:p w14:paraId="5DA9F096" w14:textId="40AB38F7" w:rsidR="00A70442" w:rsidRDefault="00944FD2" w:rsidP="00997F1D">
      <w:pPr>
        <w:pStyle w:val="SingleTxtG"/>
      </w:pPr>
      <w:r>
        <w:t>10</w:t>
      </w:r>
      <w:r w:rsidR="00997F1D">
        <w:t>.</w:t>
      </w:r>
      <w:r w:rsidR="00997F1D">
        <w:tab/>
        <w:t>The technological development in the field of vehicular communication and the voluntary standardization efforts led to numerous trials and pre</w:t>
      </w:r>
      <w:r w:rsidR="00F0293E">
        <w:t>-</w:t>
      </w:r>
      <w:r w:rsidR="00997F1D">
        <w:t>deployment projects.</w:t>
      </w:r>
    </w:p>
    <w:p w14:paraId="247A4A84" w14:textId="02BD1A7B" w:rsidR="00997F1D" w:rsidRDefault="00944FD2" w:rsidP="00997F1D">
      <w:pPr>
        <w:pStyle w:val="SingleTxtG"/>
      </w:pPr>
      <w:r>
        <w:t>11</w:t>
      </w:r>
      <w:r w:rsidR="00997F1D">
        <w:t>.</w:t>
      </w:r>
      <w:r w:rsidR="00997F1D">
        <w:tab/>
        <w:t xml:space="preserve">Some series vehicles are equipped with </w:t>
      </w:r>
      <w:r w:rsidR="00C62125">
        <w:t>V</w:t>
      </w:r>
      <w:r w:rsidR="00997F1D">
        <w:t>2</w:t>
      </w:r>
      <w:r w:rsidR="00C62125">
        <w:t>V</w:t>
      </w:r>
      <w:r w:rsidR="00997F1D">
        <w:t xml:space="preserve"> technologies such as the Cadillac CTS (2017) and the </w:t>
      </w:r>
      <w:r w:rsidR="004A374E">
        <w:t>V</w:t>
      </w:r>
      <w:r w:rsidR="008C7BDF">
        <w:t xml:space="preserve">olkswagen </w:t>
      </w:r>
      <w:r w:rsidR="00997F1D">
        <w:t>Golf 8 (2020). The penetration rate of the vehicular communication remains very low.</w:t>
      </w:r>
    </w:p>
    <w:p w14:paraId="7DBCA8E3" w14:textId="273BBEA5" w:rsidR="00010854" w:rsidRDefault="00944FD2" w:rsidP="00010854">
      <w:pPr>
        <w:pStyle w:val="SingleTxtG"/>
      </w:pPr>
      <w:r>
        <w:t>12.</w:t>
      </w:r>
      <w:r>
        <w:tab/>
      </w:r>
      <w:r w:rsidR="00997F1D">
        <w:t xml:space="preserve">Technical regulation could potentially </w:t>
      </w:r>
      <w:r w:rsidR="00997F1D" w:rsidRPr="00295D81">
        <w:rPr>
          <w:b/>
          <w:bCs/>
        </w:rPr>
        <w:t>accelerate the deployment of the technology</w:t>
      </w:r>
      <w:r w:rsidR="00997F1D">
        <w:t>.</w:t>
      </w:r>
    </w:p>
    <w:p w14:paraId="733740F0" w14:textId="03B5258A" w:rsidR="00010854" w:rsidRDefault="00A70442" w:rsidP="00BA77F6">
      <w:pPr>
        <w:pStyle w:val="H23G"/>
      </w:pPr>
      <w:r>
        <w:tab/>
      </w:r>
      <w:r w:rsidR="00EB5E98">
        <w:t>2.</w:t>
      </w:r>
      <w:r>
        <w:tab/>
      </w:r>
      <w:r w:rsidR="00010854">
        <w:t>Various standards for different and adjacent use cases</w:t>
      </w:r>
    </w:p>
    <w:p w14:paraId="58B10F41" w14:textId="1E90D97D" w:rsidR="00010854" w:rsidRDefault="00944FD2" w:rsidP="00010854">
      <w:pPr>
        <w:pStyle w:val="SingleTxtG"/>
      </w:pPr>
      <w:r>
        <w:t>13</w:t>
      </w:r>
      <w:r w:rsidR="00010854">
        <w:t>.</w:t>
      </w:r>
      <w:r w:rsidR="00010854">
        <w:tab/>
        <w:t xml:space="preserve">Several standardization activities led to the development </w:t>
      </w:r>
      <w:r w:rsidR="0077461B">
        <w:t xml:space="preserve">of </w:t>
      </w:r>
      <w:r w:rsidR="00010854">
        <w:t>communication protocol</w:t>
      </w:r>
      <w:r w:rsidR="00B040B9">
        <w:t>s</w:t>
      </w:r>
      <w:r w:rsidR="00010854">
        <w:t xml:space="preserve"> for dedicated </w:t>
      </w:r>
      <w:r w:rsidR="00A472FD">
        <w:t>short-range</w:t>
      </w:r>
      <w:r w:rsidR="00010854">
        <w:t xml:space="preserve"> communication e.g. based on </w:t>
      </w:r>
      <w:r w:rsidR="003616BC">
        <w:t>Wi-Fi</w:t>
      </w:r>
      <w:r w:rsidR="00010854">
        <w:t xml:space="preserve"> technology as well as the </w:t>
      </w:r>
      <w:r w:rsidR="00A472FD">
        <w:t>cellular based communication.</w:t>
      </w:r>
    </w:p>
    <w:p w14:paraId="298C1B8C" w14:textId="415ECD8B" w:rsidR="00A472FD" w:rsidRDefault="00944FD2" w:rsidP="00010854">
      <w:pPr>
        <w:pStyle w:val="SingleTxtG"/>
      </w:pPr>
      <w:r>
        <w:t>14</w:t>
      </w:r>
      <w:r w:rsidR="00A472FD">
        <w:t>.</w:t>
      </w:r>
      <w:r w:rsidR="00A472FD">
        <w:tab/>
        <w:t>GRVA-14-20 provides an overview of standards in the field of V2V</w:t>
      </w:r>
      <w:r w:rsidR="003E0D2C">
        <w:t>, as</w:t>
      </w:r>
      <w:r w:rsidR="00A472FD">
        <w:t xml:space="preserve"> reproduced below:</w:t>
      </w:r>
    </w:p>
    <w:p w14:paraId="3D135995" w14:textId="7BAFF6AA" w:rsidR="00A472FD" w:rsidRDefault="00A472FD" w:rsidP="00A472FD">
      <w:pPr>
        <w:pStyle w:val="SingleTxtG"/>
        <w:jc w:val="center"/>
      </w:pPr>
      <w:r>
        <w:rPr>
          <w:noProof/>
        </w:rPr>
        <w:drawing>
          <wp:inline distT="0" distB="0" distL="0" distR="0" wp14:anchorId="272EAE0B" wp14:editId="5B6CE592">
            <wp:extent cx="3864100" cy="18496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299" cy="1851179"/>
                    </a:xfrm>
                    <a:prstGeom prst="rect">
                      <a:avLst/>
                    </a:prstGeom>
                  </pic:spPr>
                </pic:pic>
              </a:graphicData>
            </a:graphic>
          </wp:inline>
        </w:drawing>
      </w:r>
    </w:p>
    <w:p w14:paraId="74C616FE" w14:textId="7825EE8F" w:rsidR="00944FD2" w:rsidRDefault="00944FD2" w:rsidP="00EB746D">
      <w:pPr>
        <w:pStyle w:val="SingleTxtG"/>
      </w:pPr>
      <w:r>
        <w:t>15.</w:t>
      </w:r>
      <w:r>
        <w:tab/>
      </w:r>
      <w:r w:rsidR="00295D81">
        <w:sym w:font="Wingdings" w:char="F0E8"/>
      </w:r>
      <w:r w:rsidR="00295D81">
        <w:t xml:space="preserve">Harmonization of technical requirements by the Contracting Parties at WP.29 could </w:t>
      </w:r>
      <w:r w:rsidR="00295D81" w:rsidRPr="00295D81">
        <w:rPr>
          <w:b/>
          <w:bCs/>
        </w:rPr>
        <w:t>potentially help solving the issue of coexistence</w:t>
      </w:r>
      <w:r w:rsidR="00295D81">
        <w:t xml:space="preserve">. Technical discussions could lead to the identification of </w:t>
      </w:r>
      <w:r w:rsidR="00584DF3">
        <w:t>problems and find</w:t>
      </w:r>
      <w:r w:rsidR="00970E23">
        <w:t>ing</w:t>
      </w:r>
      <w:r w:rsidR="00584DF3">
        <w:t xml:space="preserve"> </w:t>
      </w:r>
      <w:r w:rsidR="00295D81">
        <w:t>solutions in order to either</w:t>
      </w:r>
      <w:r>
        <w:t>:</w:t>
      </w:r>
    </w:p>
    <w:p w14:paraId="6CF41B49" w14:textId="12354CE7" w:rsidR="00944FD2" w:rsidRDefault="003E0D2C" w:rsidP="00EB746D">
      <w:pPr>
        <w:pStyle w:val="SingleTxtG"/>
      </w:pPr>
      <w:r>
        <w:tab/>
      </w:r>
      <w:r w:rsidR="00295D81">
        <w:t>(a)</w:t>
      </w:r>
      <w:r w:rsidR="00944FD2">
        <w:tab/>
      </w:r>
      <w:r w:rsidR="00D77116">
        <w:t xml:space="preserve">Define </w:t>
      </w:r>
      <w:r w:rsidR="00295D81">
        <w:t>technology neutral requirements that would solve the issue of coexistence</w:t>
      </w:r>
      <w:r w:rsidR="00D77116">
        <w:t xml:space="preserve">; </w:t>
      </w:r>
      <w:r w:rsidR="00295D81">
        <w:t>or</w:t>
      </w:r>
    </w:p>
    <w:p w14:paraId="45978E68" w14:textId="12E8F8E2" w:rsidR="00C03E98" w:rsidRPr="00010854" w:rsidRDefault="003E0D2C" w:rsidP="00C03E98">
      <w:pPr>
        <w:pStyle w:val="SingleTxtG"/>
      </w:pPr>
      <w:r>
        <w:tab/>
      </w:r>
      <w:r w:rsidR="00295D81">
        <w:t>(b)</w:t>
      </w:r>
      <w:r w:rsidR="00944FD2">
        <w:tab/>
      </w:r>
      <w:r w:rsidR="00D77116">
        <w:t xml:space="preserve">Rely </w:t>
      </w:r>
      <w:r w:rsidR="00295D81">
        <w:t xml:space="preserve">on a specific standard </w:t>
      </w:r>
      <w:proofErr w:type="gramStart"/>
      <w:r w:rsidR="00295D81">
        <w:t>in order to</w:t>
      </w:r>
      <w:proofErr w:type="gramEnd"/>
      <w:r w:rsidR="00295D81">
        <w:t xml:space="preserve"> </w:t>
      </w:r>
      <w:r w:rsidR="00EB746D">
        <w:t>ensure</w:t>
      </w:r>
      <w:r w:rsidR="00295D81">
        <w:t xml:space="preserve"> interoperability like </w:t>
      </w:r>
      <w:r w:rsidR="00D77116">
        <w:t xml:space="preserve">the Working Party on </w:t>
      </w:r>
      <w:r w:rsidR="00DF7D66">
        <w:t xml:space="preserve">Braking and </w:t>
      </w:r>
      <w:r w:rsidR="00FA7EF1">
        <w:t xml:space="preserve">Running Gear </w:t>
      </w:r>
      <w:r w:rsidR="00D77116">
        <w:t>(</w:t>
      </w:r>
      <w:r w:rsidR="00295D81">
        <w:t>GRRF</w:t>
      </w:r>
      <w:r w:rsidR="00D77116">
        <w:t>)</w:t>
      </w:r>
      <w:r w:rsidR="00295D81">
        <w:t xml:space="preserve"> did for the connectivity between trucks/tractors and trailer, relying on ISO 11992</w:t>
      </w:r>
      <w:r w:rsidR="007235BD">
        <w:t>.</w:t>
      </w:r>
    </w:p>
    <w:p w14:paraId="628ABAB2" w14:textId="77777777" w:rsidR="00C03E98" w:rsidRPr="00C03E98" w:rsidRDefault="00010854" w:rsidP="00492448">
      <w:pPr>
        <w:pStyle w:val="H23G"/>
        <w:keepNext w:val="0"/>
        <w:keepLines w:val="0"/>
      </w:pPr>
      <w:r>
        <w:tab/>
      </w:r>
      <w:r w:rsidR="00EB5E98" w:rsidRPr="00C03E98">
        <w:t>3.</w:t>
      </w:r>
      <w:r w:rsidRPr="00C03E98">
        <w:tab/>
      </w:r>
      <w:r w:rsidR="00C03E98" w:rsidRPr="00C03E98">
        <w:t>Technology neutrality</w:t>
      </w:r>
    </w:p>
    <w:p w14:paraId="7F291D4C" w14:textId="72B8A6BC" w:rsidR="00C03E98" w:rsidRPr="00C03E98" w:rsidRDefault="00C03E98" w:rsidP="00492448">
      <w:pPr>
        <w:pStyle w:val="H23G"/>
        <w:keepNext w:val="0"/>
        <w:keepLines w:val="0"/>
        <w:jc w:val="both"/>
        <w:rPr>
          <w:b w:val="0"/>
          <w:bCs/>
        </w:rPr>
      </w:pPr>
      <w:r w:rsidRPr="00C03E98">
        <w:tab/>
      </w:r>
      <w:r w:rsidRPr="00C03E98">
        <w:tab/>
      </w:r>
      <w:r w:rsidRPr="00C03E98">
        <w:rPr>
          <w:b w:val="0"/>
          <w:bCs/>
        </w:rPr>
        <w:t>16.</w:t>
      </w:r>
      <w:r w:rsidRPr="00C03E98">
        <w:rPr>
          <w:b w:val="0"/>
          <w:bCs/>
        </w:rPr>
        <w:tab/>
        <w:t xml:space="preserve">The existence of various standards in the field of vehicular communication </w:t>
      </w:r>
      <w:r w:rsidR="00492448">
        <w:rPr>
          <w:b w:val="0"/>
          <w:bCs/>
        </w:rPr>
        <w:t>suggests</w:t>
      </w:r>
      <w:r w:rsidRPr="00C03E98">
        <w:rPr>
          <w:b w:val="0"/>
          <w:bCs/>
        </w:rPr>
        <w:t xml:space="preserve"> that vehicle communication technology is still under development.</w:t>
      </w:r>
    </w:p>
    <w:p w14:paraId="6755D642" w14:textId="0A8B4F74" w:rsidR="00C03E98" w:rsidRPr="00C03E98" w:rsidRDefault="00C03E98" w:rsidP="00492448">
      <w:pPr>
        <w:pStyle w:val="H23G"/>
        <w:keepNext w:val="0"/>
        <w:keepLines w:val="0"/>
        <w:jc w:val="both"/>
        <w:rPr>
          <w:b w:val="0"/>
          <w:bCs/>
        </w:rPr>
      </w:pPr>
      <w:r w:rsidRPr="00C03E98">
        <w:tab/>
      </w:r>
      <w:r w:rsidRPr="00C03E98">
        <w:tab/>
      </w:r>
      <w:r w:rsidRPr="00C03E98">
        <w:rPr>
          <w:b w:val="0"/>
          <w:bCs/>
        </w:rPr>
        <w:t>17.</w:t>
      </w:r>
      <w:r w:rsidRPr="00C03E98">
        <w:rPr>
          <w:b w:val="0"/>
          <w:bCs/>
        </w:rPr>
        <w:tab/>
        <w:t>If regulations mandate</w:t>
      </w:r>
      <w:r>
        <w:rPr>
          <w:b w:val="0"/>
          <w:bCs/>
        </w:rPr>
        <w:t>, at an early stage,</w:t>
      </w:r>
      <w:r w:rsidRPr="00C03E98">
        <w:rPr>
          <w:b w:val="0"/>
          <w:bCs/>
        </w:rPr>
        <w:t xml:space="preserve"> certain technologies, it could impede the future development potential of vehicular communication technology</w:t>
      </w:r>
      <w:r>
        <w:rPr>
          <w:b w:val="0"/>
          <w:bCs/>
        </w:rPr>
        <w:t xml:space="preserve">. One important consideration for the regulator would be to keep in mind the importance of </w:t>
      </w:r>
      <w:r w:rsidRPr="00C03E98">
        <w:rPr>
          <w:b w:val="0"/>
          <w:bCs/>
        </w:rPr>
        <w:t>technology neutrality</w:t>
      </w:r>
      <w:r w:rsidR="00492448">
        <w:rPr>
          <w:b w:val="0"/>
          <w:bCs/>
        </w:rPr>
        <w:t>, which is a key principle for the work of WP.29 (a distinguishing factor to the work done by standard developing organisations)</w:t>
      </w:r>
      <w:r w:rsidRPr="00C03E98">
        <w:rPr>
          <w:b w:val="0"/>
          <w:bCs/>
        </w:rPr>
        <w:t>.</w:t>
      </w:r>
    </w:p>
    <w:p w14:paraId="01ED2030" w14:textId="54A3B115" w:rsidR="00C03E98" w:rsidRPr="00492448" w:rsidRDefault="00C03E98" w:rsidP="00492448">
      <w:pPr>
        <w:pStyle w:val="H23G"/>
        <w:keepNext w:val="0"/>
        <w:keepLines w:val="0"/>
        <w:jc w:val="both"/>
        <w:rPr>
          <w:b w:val="0"/>
          <w:bCs/>
        </w:rPr>
      </w:pPr>
      <w:r w:rsidRPr="00C03E98">
        <w:tab/>
      </w:r>
      <w:r w:rsidRPr="00C03E98">
        <w:tab/>
      </w:r>
      <w:r w:rsidRPr="00492448">
        <w:rPr>
          <w:b w:val="0"/>
          <w:bCs/>
        </w:rPr>
        <w:t>18.</w:t>
      </w:r>
      <w:r w:rsidRPr="00492448">
        <w:rPr>
          <w:b w:val="0"/>
          <w:bCs/>
        </w:rPr>
        <w:tab/>
      </w:r>
      <w:r w:rsidR="00492448">
        <w:rPr>
          <w:b w:val="0"/>
          <w:bCs/>
        </w:rPr>
        <w:t xml:space="preserve">In case WP.29 would support the development of regulation in the field of vehicular communications, WP.29 might wish to advise the IWG or the GR in charge to develop a </w:t>
      </w:r>
      <w:r w:rsidRPr="00492448">
        <w:rPr>
          <w:b w:val="0"/>
          <w:bCs/>
        </w:rPr>
        <w:t xml:space="preserve">set </w:t>
      </w:r>
      <w:r w:rsidR="00492448">
        <w:rPr>
          <w:b w:val="0"/>
          <w:bCs/>
        </w:rPr>
        <w:lastRenderedPageBreak/>
        <w:t xml:space="preserve">of minimum safety </w:t>
      </w:r>
      <w:r w:rsidRPr="00492448">
        <w:rPr>
          <w:b w:val="0"/>
          <w:bCs/>
        </w:rPr>
        <w:t>requir</w:t>
      </w:r>
      <w:r w:rsidR="00492448">
        <w:rPr>
          <w:b w:val="0"/>
          <w:bCs/>
        </w:rPr>
        <w:t>e</w:t>
      </w:r>
      <w:r w:rsidRPr="00492448">
        <w:rPr>
          <w:b w:val="0"/>
          <w:bCs/>
        </w:rPr>
        <w:t>ments to ensure safety, rather than mandat</w:t>
      </w:r>
      <w:r w:rsidR="00492448">
        <w:rPr>
          <w:b w:val="0"/>
          <w:bCs/>
        </w:rPr>
        <w:t>e</w:t>
      </w:r>
      <w:r w:rsidRPr="00492448">
        <w:rPr>
          <w:b w:val="0"/>
          <w:bCs/>
        </w:rPr>
        <w:t xml:space="preserve"> </w:t>
      </w:r>
      <w:r w:rsidR="00492448">
        <w:rPr>
          <w:b w:val="0"/>
          <w:bCs/>
        </w:rPr>
        <w:t xml:space="preserve">a </w:t>
      </w:r>
      <w:r w:rsidRPr="00492448">
        <w:rPr>
          <w:b w:val="0"/>
          <w:bCs/>
        </w:rPr>
        <w:t>specific technolog</w:t>
      </w:r>
      <w:r w:rsidR="00492448">
        <w:rPr>
          <w:b w:val="0"/>
          <w:bCs/>
        </w:rPr>
        <w:t>y</w:t>
      </w:r>
      <w:r w:rsidRPr="00492448">
        <w:rPr>
          <w:b w:val="0"/>
          <w:bCs/>
        </w:rPr>
        <w:t>.</w:t>
      </w:r>
    </w:p>
    <w:p w14:paraId="3810DD33" w14:textId="0D9B7423" w:rsidR="00957BB6" w:rsidRPr="00C03E98" w:rsidRDefault="00C03E98" w:rsidP="001B48C7">
      <w:pPr>
        <w:pStyle w:val="H23G"/>
      </w:pPr>
      <w:r w:rsidRPr="00C03E98">
        <w:tab/>
        <w:t>4.</w:t>
      </w:r>
      <w:r w:rsidRPr="00C03E98">
        <w:tab/>
      </w:r>
      <w:r w:rsidR="004D1797" w:rsidRPr="00C03E98">
        <w:t>Telecommunication technologies cycles vs. vehicle lifecycles</w:t>
      </w:r>
    </w:p>
    <w:p w14:paraId="471C1095" w14:textId="7C96B612" w:rsidR="00DF069E" w:rsidRDefault="00944FD2" w:rsidP="004D1797">
      <w:pPr>
        <w:pStyle w:val="SingleTxtG"/>
      </w:pPr>
      <w:r>
        <w:t>1</w:t>
      </w:r>
      <w:r w:rsidR="00492448">
        <w:t>9</w:t>
      </w:r>
      <w:r w:rsidR="00EE0152">
        <w:t>.</w:t>
      </w:r>
      <w:r w:rsidR="00EE0152">
        <w:tab/>
      </w:r>
      <w:r w:rsidR="0052243A">
        <w:t>Telecommunication standards used in mobile networks broadly have a lifecycle of a</w:t>
      </w:r>
      <w:r w:rsidR="00427F1B">
        <w:t>t least</w:t>
      </w:r>
      <w:r w:rsidR="0052243A">
        <w:t xml:space="preserve"> </w:t>
      </w:r>
      <w:r w:rsidR="002D3299">
        <w:t xml:space="preserve">one </w:t>
      </w:r>
      <w:r w:rsidR="0052243A">
        <w:t xml:space="preserve">decade. The first generation of mobile networks (1G, </w:t>
      </w:r>
      <w:r w:rsidR="001B48C7">
        <w:t>analogue</w:t>
      </w:r>
      <w:r w:rsidR="0052243A">
        <w:t>) was deployed in the 1980s. It was decommissioned</w:t>
      </w:r>
      <w:r w:rsidR="003A718A">
        <w:t xml:space="preserve"> and</w:t>
      </w:r>
      <w:r w:rsidR="0052243A">
        <w:t xml:space="preserve"> replaced by the second generation (2G, digital) in the 1990s. The third generation </w:t>
      </w:r>
      <w:r w:rsidR="00D62883">
        <w:t>entered the market</w:t>
      </w:r>
      <w:r w:rsidR="0052243A">
        <w:t xml:space="preserve"> </w:t>
      </w:r>
      <w:r w:rsidR="00E638EC">
        <w:t xml:space="preserve">in </w:t>
      </w:r>
      <w:r w:rsidR="0052243A">
        <w:t>the 2000s</w:t>
      </w:r>
      <w:r w:rsidR="00E638EC">
        <w:t>, t</w:t>
      </w:r>
      <w:r w:rsidR="0052243A">
        <w:t>he fourth generation in the 2010s</w:t>
      </w:r>
      <w:r w:rsidR="00E638EC">
        <w:t xml:space="preserve"> and </w:t>
      </w:r>
      <w:r w:rsidR="0052243A">
        <w:t xml:space="preserve">the fifth </w:t>
      </w:r>
      <w:r w:rsidR="00E638EC">
        <w:t xml:space="preserve">generation </w:t>
      </w:r>
      <w:r w:rsidR="0052243A">
        <w:t xml:space="preserve">in the 2020s. Former generations are </w:t>
      </w:r>
      <w:r w:rsidR="007F2348">
        <w:t xml:space="preserve">potentially </w:t>
      </w:r>
      <w:r w:rsidR="0052243A">
        <w:t xml:space="preserve">decommissioned when the new generation is deployed. </w:t>
      </w:r>
    </w:p>
    <w:p w14:paraId="303EE5E1" w14:textId="4234D006" w:rsidR="0052243A" w:rsidRDefault="00492448" w:rsidP="004D1797">
      <w:pPr>
        <w:pStyle w:val="SingleTxtG"/>
      </w:pPr>
      <w:r>
        <w:t>20</w:t>
      </w:r>
      <w:r w:rsidR="0052243A">
        <w:t>.</w:t>
      </w:r>
      <w:r w:rsidR="0052243A">
        <w:tab/>
      </w:r>
      <w:r w:rsidR="008578E9">
        <w:t>The average age of p</w:t>
      </w:r>
      <w:r w:rsidR="00427F1B">
        <w:t xml:space="preserve">assenger cars varies widely </w:t>
      </w:r>
      <w:r w:rsidR="007A0A64">
        <w:t xml:space="preserve">between </w:t>
      </w:r>
      <w:r w:rsidR="00427F1B">
        <w:t xml:space="preserve">different countries, </w:t>
      </w:r>
      <w:r w:rsidR="009A6B81">
        <w:t>ranging</w:t>
      </w:r>
      <w:r w:rsidR="00F31572">
        <w:t xml:space="preserve"> </w:t>
      </w:r>
      <w:r w:rsidR="00427F1B">
        <w:t>between 5 (Singapore) to 17 years (South America). Many cars are not decommissioned before age 30.</w:t>
      </w:r>
      <w:r w:rsidR="00A70442">
        <w:t xml:space="preserve"> T</w:t>
      </w:r>
      <w:r w:rsidR="00533862">
        <w:t>r</w:t>
      </w:r>
      <w:r w:rsidR="00A70442">
        <w:t xml:space="preserve">ucks and buses usually have a longer lifetime than passenger cars. WP.29 activities performed under the </w:t>
      </w:r>
      <w:r w:rsidR="001A2867" w:rsidRPr="001A2867">
        <w:t xml:space="preserve">Informal Working Group </w:t>
      </w:r>
      <w:r w:rsidR="001A2867">
        <w:t xml:space="preserve">(IWG) </w:t>
      </w:r>
      <w:r w:rsidR="001A2867" w:rsidRPr="001A2867">
        <w:t xml:space="preserve">on Safer and Cleaner Used and New Vehicles </w:t>
      </w:r>
      <w:r w:rsidR="001A2867">
        <w:t>(</w:t>
      </w:r>
      <w:r w:rsidR="00A70442">
        <w:t>SCU</w:t>
      </w:r>
      <w:r w:rsidR="001A2867">
        <w:t>NV)</w:t>
      </w:r>
      <w:r w:rsidR="00A70442">
        <w:t xml:space="preserve"> showed that vehicles imported in</w:t>
      </w:r>
      <w:r w:rsidR="00E62A46">
        <w:t>to</w:t>
      </w:r>
      <w:r w:rsidR="00A70442">
        <w:t xml:space="preserve"> some </w:t>
      </w:r>
      <w:r w:rsidR="001A2867">
        <w:t>A</w:t>
      </w:r>
      <w:r w:rsidR="00A70442">
        <w:t>frican regions have a</w:t>
      </w:r>
      <w:r w:rsidR="00E27691">
        <w:t>n average</w:t>
      </w:r>
      <w:r w:rsidR="00A70442">
        <w:t xml:space="preserve"> age exceeding 18 years, demonstrating the longer lifecycle for road vehicles than for telecommunication products.</w:t>
      </w:r>
    </w:p>
    <w:p w14:paraId="3D88A6FF" w14:textId="1020CFE2" w:rsidR="00A70442" w:rsidRDefault="00492448" w:rsidP="004D1797">
      <w:pPr>
        <w:pStyle w:val="SingleTxtG"/>
      </w:pPr>
      <w:r>
        <w:t>21</w:t>
      </w:r>
      <w:r w:rsidR="00A70442">
        <w:t>.</w:t>
      </w:r>
      <w:r w:rsidR="00A70442">
        <w:tab/>
        <w:t xml:space="preserve">The implications of these different life cycles </w:t>
      </w:r>
      <w:r w:rsidR="004A2FD5">
        <w:t>cannot</w:t>
      </w:r>
      <w:r w:rsidR="00A70442">
        <w:t xml:space="preserve"> be neglected in the field of vehicular communications. ERA </w:t>
      </w:r>
      <w:r w:rsidR="00E77D1A">
        <w:t>GLONASS</w:t>
      </w:r>
      <w:r w:rsidR="00A70442">
        <w:t xml:space="preserve"> and eCall</w:t>
      </w:r>
      <w:r w:rsidR="001D5570">
        <w:t>, the Russian and European automated emergency response</w:t>
      </w:r>
      <w:r w:rsidR="00417424">
        <w:t xml:space="preserve"> system</w:t>
      </w:r>
      <w:r w:rsidR="00D0530E">
        <w:t>s</w:t>
      </w:r>
      <w:r w:rsidR="001D5570">
        <w:t>,</w:t>
      </w:r>
      <w:r w:rsidR="00A70442">
        <w:t xml:space="preserve"> became mandatory in some jurisdictions </w:t>
      </w:r>
      <w:r w:rsidR="00980804">
        <w:t xml:space="preserve">a few </w:t>
      </w:r>
      <w:r w:rsidR="00A70442">
        <w:t xml:space="preserve">years before the underlying telecommunication system was announced to be decommissioned. In fact, many countries are currently considering decommissioning 2G and 3G within the next years. </w:t>
      </w:r>
    </w:p>
    <w:p w14:paraId="7922A6F7" w14:textId="34449DA2" w:rsidR="00A70442" w:rsidRDefault="00492448" w:rsidP="004D1797">
      <w:pPr>
        <w:pStyle w:val="SingleTxtG"/>
      </w:pPr>
      <w:r>
        <w:t>22</w:t>
      </w:r>
      <w:r w:rsidR="00944FD2">
        <w:t>.</w:t>
      </w:r>
      <w:r w:rsidR="00944FD2">
        <w:tab/>
      </w:r>
      <w:r w:rsidR="00A70442">
        <w:t xml:space="preserve">Such considerations could lead standardization and regulatory bodies to discuss </w:t>
      </w:r>
      <w:r w:rsidR="00997F1D" w:rsidRPr="00295D81">
        <w:rPr>
          <w:b/>
          <w:bCs/>
        </w:rPr>
        <w:t>legacy risks</w:t>
      </w:r>
      <w:r w:rsidR="00997F1D" w:rsidRPr="00A70442">
        <w:t xml:space="preserve"> </w:t>
      </w:r>
      <w:r w:rsidR="00997F1D">
        <w:t xml:space="preserve">and envisage </w:t>
      </w:r>
      <w:r w:rsidR="00A70442">
        <w:t xml:space="preserve">provisions related </w:t>
      </w:r>
      <w:r w:rsidR="00997F1D">
        <w:t>to</w:t>
      </w:r>
      <w:r w:rsidR="00A70442" w:rsidRPr="00A70442">
        <w:t xml:space="preserve"> </w:t>
      </w:r>
      <w:r w:rsidR="00A70442" w:rsidRPr="00295D81">
        <w:rPr>
          <w:b/>
          <w:bCs/>
        </w:rPr>
        <w:t>backward compatibility</w:t>
      </w:r>
      <w:r w:rsidR="00997F1D">
        <w:t xml:space="preserve">, </w:t>
      </w:r>
      <w:r w:rsidR="00997F1D" w:rsidRPr="00295D81">
        <w:rPr>
          <w:b/>
          <w:bCs/>
        </w:rPr>
        <w:t>retrofit</w:t>
      </w:r>
      <w:r w:rsidR="00997F1D">
        <w:t xml:space="preserve"> and </w:t>
      </w:r>
      <w:r w:rsidR="00997F1D" w:rsidRPr="00295D81">
        <w:rPr>
          <w:b/>
          <w:bCs/>
        </w:rPr>
        <w:t>decommissioning</w:t>
      </w:r>
      <w:r w:rsidR="00997F1D">
        <w:t xml:space="preserve"> of safety functions in vehicles</w:t>
      </w:r>
      <w:r w:rsidR="00295D81">
        <w:t>, in certain circumstances when the telecommunication is no longer possible</w:t>
      </w:r>
      <w:r w:rsidR="00997F1D">
        <w:t>.</w:t>
      </w:r>
    </w:p>
    <w:p w14:paraId="1AB4FDD2" w14:textId="1D7DF491" w:rsidR="00957BB6" w:rsidRPr="00957BB6" w:rsidRDefault="00957BB6" w:rsidP="00BA77F6">
      <w:pPr>
        <w:pStyle w:val="H23G"/>
      </w:pPr>
      <w:r w:rsidRPr="00957BB6">
        <w:tab/>
      </w:r>
      <w:r w:rsidR="00EB5E98">
        <w:t>4.</w:t>
      </w:r>
      <w:r w:rsidRPr="00957BB6">
        <w:tab/>
      </w:r>
      <w:r w:rsidR="00EB746D">
        <w:t>Safety requirements</w:t>
      </w:r>
    </w:p>
    <w:p w14:paraId="2C7A2507" w14:textId="53029EBD" w:rsidR="004D1797" w:rsidRDefault="00944FD2" w:rsidP="004D1797">
      <w:pPr>
        <w:pStyle w:val="SingleTxtG"/>
      </w:pPr>
      <w:r>
        <w:t>2</w:t>
      </w:r>
      <w:r w:rsidR="00492448">
        <w:t>3</w:t>
      </w:r>
      <w:r w:rsidR="00DF069E">
        <w:t>.</w:t>
      </w:r>
      <w:r w:rsidR="00DF069E">
        <w:tab/>
      </w:r>
      <w:r w:rsidR="00EB746D">
        <w:t>Harmonization activities could review existing provisions addressing safety and develop additional one</w:t>
      </w:r>
      <w:r w:rsidR="005B021E">
        <w:t>s</w:t>
      </w:r>
      <w:r w:rsidR="00EB746D">
        <w:t>, if necessary, related to data transmission. It might include considerations related to coverage, interference, latency</w:t>
      </w:r>
      <w:r w:rsidR="00C03E98">
        <w:t>, interoperability</w:t>
      </w:r>
      <w:r w:rsidR="00EB746D">
        <w:t xml:space="preserve"> and translate into provisions related to vehicle requirements, in terms of </w:t>
      </w:r>
      <w:proofErr w:type="gramStart"/>
      <w:r w:rsidR="00EB746D">
        <w:t>e.g.</w:t>
      </w:r>
      <w:proofErr w:type="gramEnd"/>
      <w:r w:rsidR="00EB746D">
        <w:t xml:space="preserve"> signal power / distance requirements</w:t>
      </w:r>
      <w:r w:rsidR="0072038E">
        <w:t xml:space="preserve"> etc</w:t>
      </w:r>
      <w:r w:rsidR="00EB746D">
        <w:t>.</w:t>
      </w:r>
    </w:p>
    <w:p w14:paraId="64EB38CF" w14:textId="6A8E8B8B" w:rsidR="003F07EF" w:rsidRDefault="00944FD2" w:rsidP="003F07EF">
      <w:pPr>
        <w:pStyle w:val="SingleTxtG"/>
      </w:pPr>
      <w:r>
        <w:t>2</w:t>
      </w:r>
      <w:r w:rsidR="00492448">
        <w:t>4</w:t>
      </w:r>
      <w:r w:rsidR="00EB746D">
        <w:t>.</w:t>
      </w:r>
      <w:r w:rsidR="00EB746D">
        <w:tab/>
        <w:t xml:space="preserve">Requirements that would not be relevant to the vehicle itself would not be addressed by the WP.29 frameworks. Activities with ITU would support consistency </w:t>
      </w:r>
      <w:r w:rsidR="00105DD0">
        <w:t>between</w:t>
      </w:r>
      <w:r w:rsidR="00EB746D">
        <w:t xml:space="preserve"> vehicle requirements </w:t>
      </w:r>
      <w:r w:rsidR="00AA7998">
        <w:t xml:space="preserve">and </w:t>
      </w:r>
      <w:r w:rsidR="00EB746D">
        <w:t>infrastructure requirements.</w:t>
      </w:r>
    </w:p>
    <w:p w14:paraId="5AB1C457" w14:textId="0739A3BA" w:rsidR="00EB746D" w:rsidRDefault="00944FD2" w:rsidP="003F07EF">
      <w:pPr>
        <w:pStyle w:val="SingleTxtG"/>
      </w:pPr>
      <w:r>
        <w:t>2</w:t>
      </w:r>
      <w:r w:rsidR="00492448">
        <w:t>5</w:t>
      </w:r>
      <w:r w:rsidR="00EB746D">
        <w:t>.</w:t>
      </w:r>
      <w:r w:rsidR="00EB746D">
        <w:tab/>
        <w:t>Considerations related to frequency bands allocations might be necessary</w:t>
      </w:r>
      <w:r w:rsidR="00EE7CDA">
        <w:t>, b</w:t>
      </w:r>
      <w:r w:rsidR="00EB746D">
        <w:t>ut any regulatory activities would remain in the remit of ITU-R.</w:t>
      </w:r>
    </w:p>
    <w:p w14:paraId="2EEF510A" w14:textId="5EB47897" w:rsidR="0098132D" w:rsidRPr="0098132D" w:rsidRDefault="0098132D" w:rsidP="0098132D">
      <w:pPr>
        <w:pStyle w:val="HMGFG"/>
      </w:pPr>
      <w:r w:rsidRPr="0098132D">
        <w:tab/>
      </w:r>
      <w:r w:rsidR="006F5E37">
        <w:t>IV.</w:t>
      </w:r>
      <w:r w:rsidRPr="0098132D">
        <w:tab/>
      </w:r>
      <w:r w:rsidR="00295D81">
        <w:t>How to introduce V</w:t>
      </w:r>
      <w:r w:rsidR="005B021E">
        <w:t>ehicle-to-</w:t>
      </w:r>
      <w:r w:rsidR="004472BE">
        <w:t>Vehicle</w:t>
      </w:r>
      <w:r w:rsidR="00295D81">
        <w:t xml:space="preserve"> in the regulatory framework</w:t>
      </w:r>
      <w:r w:rsidR="00EB746D">
        <w:t>?</w:t>
      </w:r>
    </w:p>
    <w:p w14:paraId="2E04BF6E" w14:textId="6DD95E53" w:rsidR="00EE0152" w:rsidRDefault="00944FD2" w:rsidP="00311466">
      <w:pPr>
        <w:pStyle w:val="SingleTxtG"/>
        <w:rPr>
          <w:lang w:val="en-US"/>
        </w:rPr>
      </w:pPr>
      <w:r>
        <w:rPr>
          <w:lang w:val="en-US"/>
        </w:rPr>
        <w:t>2</w:t>
      </w:r>
      <w:r w:rsidR="00492448">
        <w:rPr>
          <w:lang w:val="en-US"/>
        </w:rPr>
        <w:t>6</w:t>
      </w:r>
      <w:r w:rsidR="00870694">
        <w:rPr>
          <w:lang w:val="en-US"/>
        </w:rPr>
        <w:t>.</w:t>
      </w:r>
      <w:r w:rsidR="00870694">
        <w:rPr>
          <w:lang w:val="en-US"/>
        </w:rPr>
        <w:tab/>
      </w:r>
      <w:r w:rsidR="00EB746D">
        <w:rPr>
          <w:lang w:val="en-US"/>
        </w:rPr>
        <w:t xml:space="preserve">Performance requirements could be developed by WP.29 and its subsidiary bodies </w:t>
      </w:r>
      <w:proofErr w:type="gramStart"/>
      <w:r w:rsidR="00EB746D">
        <w:rPr>
          <w:lang w:val="en-US"/>
        </w:rPr>
        <w:t>in order to</w:t>
      </w:r>
      <w:proofErr w:type="gramEnd"/>
      <w:r w:rsidR="00EB746D">
        <w:rPr>
          <w:lang w:val="en-US"/>
        </w:rPr>
        <w:t xml:space="preserve"> clarify on one </w:t>
      </w:r>
      <w:r w:rsidR="00552627">
        <w:rPr>
          <w:lang w:val="en-US"/>
        </w:rPr>
        <w:t xml:space="preserve">hand </w:t>
      </w:r>
      <w:r w:rsidR="00EB746D">
        <w:rPr>
          <w:lang w:val="en-US"/>
        </w:rPr>
        <w:t>technical requirements related to data transmission and on the other hand data requirements.</w:t>
      </w:r>
    </w:p>
    <w:p w14:paraId="5DB21867" w14:textId="11A5054D" w:rsidR="00EB746D" w:rsidRDefault="00944FD2" w:rsidP="00311466">
      <w:pPr>
        <w:pStyle w:val="SingleTxtG"/>
        <w:rPr>
          <w:lang w:val="en-US"/>
        </w:rPr>
      </w:pPr>
      <w:r>
        <w:rPr>
          <w:lang w:val="en-US"/>
        </w:rPr>
        <w:t>2</w:t>
      </w:r>
      <w:r w:rsidR="00492448">
        <w:rPr>
          <w:lang w:val="en-US"/>
        </w:rPr>
        <w:t>7</w:t>
      </w:r>
      <w:r w:rsidR="00EB746D">
        <w:rPr>
          <w:lang w:val="en-US"/>
        </w:rPr>
        <w:t>.</w:t>
      </w:r>
      <w:r w:rsidR="00EB746D">
        <w:rPr>
          <w:lang w:val="en-US"/>
        </w:rPr>
        <w:tab/>
      </w:r>
      <w:r w:rsidR="006614C6">
        <w:rPr>
          <w:lang w:val="en-US"/>
        </w:rPr>
        <w:t>Harmonization</w:t>
      </w:r>
      <w:r w:rsidR="00EB746D">
        <w:rPr>
          <w:lang w:val="en-US"/>
        </w:rPr>
        <w:t xml:space="preserve"> of technical requirements could be performed under the framework of the 1958/1998 Agreements depending on the willingness of a contracting party to sponsor these activities.</w:t>
      </w:r>
    </w:p>
    <w:p w14:paraId="37CD1A95" w14:textId="762DC418" w:rsidR="006614C6" w:rsidRDefault="00944FD2" w:rsidP="00311466">
      <w:pPr>
        <w:pStyle w:val="SingleTxtG"/>
        <w:rPr>
          <w:lang w:val="en-US"/>
        </w:rPr>
      </w:pPr>
      <w:r>
        <w:rPr>
          <w:lang w:val="en-US"/>
        </w:rPr>
        <w:t>2</w:t>
      </w:r>
      <w:r w:rsidR="00492448">
        <w:rPr>
          <w:lang w:val="en-US"/>
        </w:rPr>
        <w:t>8</w:t>
      </w:r>
      <w:r w:rsidR="006614C6">
        <w:rPr>
          <w:lang w:val="en-US"/>
        </w:rPr>
        <w:t>.</w:t>
      </w:r>
      <w:r w:rsidR="006614C6">
        <w:rPr>
          <w:lang w:val="en-US"/>
        </w:rPr>
        <w:tab/>
        <w:t xml:space="preserve">Careful consideration should be given to regulatory </w:t>
      </w:r>
      <w:r w:rsidR="00A52DAD">
        <w:rPr>
          <w:lang w:val="en-US"/>
        </w:rPr>
        <w:t xml:space="preserve">subjects </w:t>
      </w:r>
      <w:r w:rsidR="006614C6">
        <w:rPr>
          <w:lang w:val="en-US"/>
        </w:rPr>
        <w:t>that are not traditionally under the remit of WP.29, such as privacy. Nevertheless, the WP.29 framework could include requirements related to these matters in order to implement principles</w:t>
      </w:r>
      <w:r w:rsidR="00311CBA">
        <w:rPr>
          <w:lang w:val="en-US"/>
        </w:rPr>
        <w:t>,</w:t>
      </w:r>
      <w:r w:rsidR="006614C6">
        <w:rPr>
          <w:lang w:val="en-US"/>
        </w:rPr>
        <w:t xml:space="preserve"> developed in the relevant bodies and jurisdictions</w:t>
      </w:r>
      <w:r w:rsidR="00311CBA">
        <w:rPr>
          <w:lang w:val="en-US"/>
        </w:rPr>
        <w:t>,</w:t>
      </w:r>
      <w:r w:rsidR="006614C6">
        <w:rPr>
          <w:lang w:val="en-US"/>
        </w:rPr>
        <w:t xml:space="preserve"> in a harmonized manner and translate them for the purpose of wheeled vehicles, their subsystems and parts. Such elements could either be included in UN GTRs and UN Regulations or in guidelines and resolutions depending on the choices made by the </w:t>
      </w:r>
      <w:r w:rsidR="009E0256">
        <w:rPr>
          <w:lang w:val="en-US"/>
        </w:rPr>
        <w:t>c</w:t>
      </w:r>
      <w:r w:rsidR="006614C6">
        <w:rPr>
          <w:lang w:val="en-US"/>
        </w:rPr>
        <w:t xml:space="preserve">ontracting </w:t>
      </w:r>
      <w:r w:rsidR="009E0256">
        <w:rPr>
          <w:lang w:val="en-US"/>
        </w:rPr>
        <w:t>p</w:t>
      </w:r>
      <w:r w:rsidR="006614C6">
        <w:rPr>
          <w:lang w:val="en-US"/>
        </w:rPr>
        <w:t>arties.</w:t>
      </w:r>
    </w:p>
    <w:p w14:paraId="0730ADCA" w14:textId="6369A110" w:rsidR="00870694" w:rsidRPr="0098132D" w:rsidRDefault="00870694" w:rsidP="00870694">
      <w:pPr>
        <w:pStyle w:val="HMGFG"/>
      </w:pPr>
      <w:r w:rsidRPr="0098132D">
        <w:lastRenderedPageBreak/>
        <w:tab/>
      </w:r>
      <w:r w:rsidR="006F5E37">
        <w:t>V.</w:t>
      </w:r>
      <w:r w:rsidRPr="0098132D">
        <w:tab/>
      </w:r>
      <w:r w:rsidR="00295D81">
        <w:t>How to organize the work within the subsidiary bodies of WP.29</w:t>
      </w:r>
    </w:p>
    <w:p w14:paraId="0F4DD5C3" w14:textId="33AFE1E9" w:rsidR="00084AC2" w:rsidRDefault="00944FD2" w:rsidP="006614C6">
      <w:pPr>
        <w:pStyle w:val="SingleTxtG"/>
        <w:rPr>
          <w:lang w:val="en-US"/>
        </w:rPr>
      </w:pPr>
      <w:r>
        <w:rPr>
          <w:lang w:val="en-US"/>
        </w:rPr>
        <w:t>2</w:t>
      </w:r>
      <w:r w:rsidR="00492448">
        <w:rPr>
          <w:lang w:val="en-US"/>
        </w:rPr>
        <w:t>9</w:t>
      </w:r>
      <w:r w:rsidR="00870694">
        <w:rPr>
          <w:lang w:val="en-US"/>
        </w:rPr>
        <w:t>.</w:t>
      </w:r>
      <w:r w:rsidR="00870694">
        <w:rPr>
          <w:lang w:val="en-US"/>
        </w:rPr>
        <w:tab/>
      </w:r>
      <w:r w:rsidR="006614C6">
        <w:rPr>
          <w:lang w:val="en-US"/>
        </w:rPr>
        <w:t>This paper suggests, as a prerequisite to GRVA activities, that the IWG on ITS</w:t>
      </w:r>
      <w:r w:rsidR="00084AC2">
        <w:rPr>
          <w:lang w:val="en-US"/>
        </w:rPr>
        <w:t>:</w:t>
      </w:r>
    </w:p>
    <w:p w14:paraId="67290FB3" w14:textId="195BF226" w:rsidR="00B954B6" w:rsidRDefault="00483B2E" w:rsidP="006614C6">
      <w:pPr>
        <w:pStyle w:val="SingleTxtG"/>
        <w:rPr>
          <w:lang w:val="en-US"/>
        </w:rPr>
      </w:pPr>
      <w:r>
        <w:rPr>
          <w:lang w:val="en-US"/>
        </w:rPr>
        <w:tab/>
      </w:r>
      <w:r w:rsidR="00084AC2">
        <w:rPr>
          <w:lang w:val="en-US"/>
        </w:rPr>
        <w:t>(a)</w:t>
      </w:r>
      <w:r w:rsidR="00084AC2">
        <w:rPr>
          <w:lang w:val="en-US"/>
        </w:rPr>
        <w:tab/>
      </w:r>
      <w:r>
        <w:rPr>
          <w:lang w:val="en-US"/>
        </w:rPr>
        <w:t>P</w:t>
      </w:r>
      <w:r w:rsidR="006614C6">
        <w:rPr>
          <w:lang w:val="en-US"/>
        </w:rPr>
        <w:t xml:space="preserve">erforms an evaluation of the work done by </w:t>
      </w:r>
      <w:r w:rsidR="002D4F1E" w:rsidRPr="002D4F1E">
        <w:rPr>
          <w:lang w:val="en-US"/>
        </w:rPr>
        <w:t xml:space="preserve">Standard Development Organisations </w:t>
      </w:r>
      <w:r w:rsidR="002D4F1E">
        <w:rPr>
          <w:lang w:val="en-US"/>
        </w:rPr>
        <w:t>(</w:t>
      </w:r>
      <w:r w:rsidR="006614C6">
        <w:rPr>
          <w:lang w:val="en-US"/>
        </w:rPr>
        <w:t>SDOs</w:t>
      </w:r>
      <w:r w:rsidR="002D4F1E">
        <w:rPr>
          <w:lang w:val="en-US"/>
        </w:rPr>
        <w:t>)</w:t>
      </w:r>
      <w:r w:rsidR="006614C6">
        <w:rPr>
          <w:lang w:val="en-US"/>
        </w:rPr>
        <w:t xml:space="preserve"> and partnerships dealing with vehicular communications.</w:t>
      </w:r>
    </w:p>
    <w:p w14:paraId="17B0BD3F" w14:textId="7352BB80" w:rsidR="006614C6" w:rsidRDefault="00483B2E" w:rsidP="006614C6">
      <w:pPr>
        <w:pStyle w:val="SingleTxtG"/>
        <w:rPr>
          <w:lang w:val="en-US"/>
        </w:rPr>
      </w:pPr>
      <w:r>
        <w:rPr>
          <w:lang w:val="en-US"/>
        </w:rPr>
        <w:tab/>
      </w:r>
      <w:r w:rsidR="00084AC2">
        <w:rPr>
          <w:lang w:val="en-US"/>
        </w:rPr>
        <w:t>(b)</w:t>
      </w:r>
      <w:r w:rsidR="00084AC2">
        <w:rPr>
          <w:lang w:val="en-US"/>
        </w:rPr>
        <w:tab/>
      </w:r>
      <w:r w:rsidR="002F4268">
        <w:rPr>
          <w:lang w:val="en-US"/>
        </w:rPr>
        <w:t xml:space="preserve">Explores </w:t>
      </w:r>
      <w:r w:rsidR="006614C6">
        <w:rPr>
          <w:lang w:val="en-US"/>
        </w:rPr>
        <w:t>telecommunication, I</w:t>
      </w:r>
      <w:r w:rsidR="00DA740E">
        <w:rPr>
          <w:lang w:val="en-US"/>
        </w:rPr>
        <w:t xml:space="preserve">nformation and </w:t>
      </w:r>
      <w:r w:rsidR="006614C6">
        <w:rPr>
          <w:lang w:val="en-US"/>
        </w:rPr>
        <w:t>C</w:t>
      </w:r>
      <w:r w:rsidR="00DA740E">
        <w:rPr>
          <w:lang w:val="en-US"/>
        </w:rPr>
        <w:t xml:space="preserve">ommunication </w:t>
      </w:r>
      <w:r w:rsidR="006614C6">
        <w:rPr>
          <w:lang w:val="en-US"/>
        </w:rPr>
        <w:t>T</w:t>
      </w:r>
      <w:r w:rsidR="00DA740E">
        <w:rPr>
          <w:lang w:val="en-US"/>
        </w:rPr>
        <w:t>echnologies</w:t>
      </w:r>
      <w:r w:rsidR="006614C6">
        <w:rPr>
          <w:lang w:val="en-US"/>
        </w:rPr>
        <w:t xml:space="preserve"> and vehicle lifecycles in order to avoid situations where safety </w:t>
      </w:r>
      <w:r w:rsidR="00CD6CCD">
        <w:rPr>
          <w:lang w:val="en-US"/>
        </w:rPr>
        <w:t>system</w:t>
      </w:r>
      <w:r w:rsidR="00A030D8">
        <w:rPr>
          <w:lang w:val="en-US"/>
        </w:rPr>
        <w:t>s</w:t>
      </w:r>
      <w:r w:rsidR="00CD6CCD">
        <w:rPr>
          <w:lang w:val="en-US"/>
        </w:rPr>
        <w:t xml:space="preserve"> </w:t>
      </w:r>
      <w:r w:rsidR="006614C6">
        <w:rPr>
          <w:lang w:val="en-US"/>
        </w:rPr>
        <w:t>would rapidly become ineffective</w:t>
      </w:r>
      <w:r w:rsidR="00084AC2">
        <w:rPr>
          <w:lang w:val="en-US"/>
        </w:rPr>
        <w:t xml:space="preserve"> as the technology would become obsolete.</w:t>
      </w:r>
    </w:p>
    <w:p w14:paraId="467D8C4D" w14:textId="6075EC48" w:rsidR="00084AC2" w:rsidRDefault="00483B2E" w:rsidP="006614C6">
      <w:pPr>
        <w:pStyle w:val="SingleTxtG"/>
        <w:rPr>
          <w:lang w:val="en-US"/>
        </w:rPr>
      </w:pPr>
      <w:r>
        <w:rPr>
          <w:lang w:val="en-US"/>
        </w:rPr>
        <w:tab/>
      </w:r>
      <w:r w:rsidR="00084AC2">
        <w:rPr>
          <w:lang w:val="en-US"/>
        </w:rPr>
        <w:t>(c)</w:t>
      </w:r>
      <w:r w:rsidR="00084AC2">
        <w:rPr>
          <w:lang w:val="en-US"/>
        </w:rPr>
        <w:tab/>
      </w:r>
      <w:r w:rsidR="00897400">
        <w:rPr>
          <w:lang w:val="en-US"/>
        </w:rPr>
        <w:t>D</w:t>
      </w:r>
      <w:r w:rsidR="00084AC2">
        <w:rPr>
          <w:lang w:val="en-US"/>
        </w:rPr>
        <w:t>efines potential strategies on how to address cross-cutting issues such as privacy and data-protection.</w:t>
      </w:r>
    </w:p>
    <w:p w14:paraId="664B132F" w14:textId="26F6810A" w:rsidR="00084AC2" w:rsidRDefault="00483B2E" w:rsidP="006614C6">
      <w:pPr>
        <w:pStyle w:val="SingleTxtG"/>
        <w:rPr>
          <w:lang w:val="en-US"/>
        </w:rPr>
      </w:pPr>
      <w:r>
        <w:rPr>
          <w:lang w:val="en-US"/>
        </w:rPr>
        <w:tab/>
      </w:r>
      <w:r w:rsidR="00084AC2">
        <w:rPr>
          <w:lang w:val="en-US"/>
        </w:rPr>
        <w:t>(d)</w:t>
      </w:r>
      <w:r w:rsidR="00084AC2">
        <w:rPr>
          <w:lang w:val="en-US"/>
        </w:rPr>
        <w:tab/>
      </w:r>
      <w:r w:rsidR="00897400">
        <w:rPr>
          <w:lang w:val="en-US"/>
        </w:rPr>
        <w:t>I</w:t>
      </w:r>
      <w:r w:rsidR="00084AC2">
        <w:rPr>
          <w:lang w:val="en-US"/>
        </w:rPr>
        <w:t>dentify roles and responsibilities for stakeholders (WP.29, ITU-R</w:t>
      </w:r>
      <w:r w:rsidR="00897400">
        <w:rPr>
          <w:lang w:val="en-US"/>
        </w:rPr>
        <w:t>,</w:t>
      </w:r>
      <w:r w:rsidR="00084AC2">
        <w:rPr>
          <w:lang w:val="en-US"/>
        </w:rPr>
        <w:t xml:space="preserve"> etc.) dealing with infrastructure (roads, telecommunication providers), vehicles, suppliers etc.</w:t>
      </w:r>
    </w:p>
    <w:p w14:paraId="2D4C2D6E" w14:textId="77777777" w:rsidR="00252A60" w:rsidRPr="00252A60" w:rsidRDefault="00647F14" w:rsidP="00252A60">
      <w:pPr>
        <w:pStyle w:val="SingleTxtG"/>
        <w:spacing w:before="240" w:after="0"/>
        <w:jc w:val="center"/>
        <w:rPr>
          <w:rFonts w:hAnsi="Times New Roman" w:cs="Times New Roman"/>
          <w:u w:val="single"/>
        </w:rPr>
      </w:pPr>
      <w:r>
        <w:rPr>
          <w:u w:val="single"/>
        </w:rPr>
        <w:t xml:space="preserve">  </w:t>
      </w:r>
      <w:r w:rsidR="00252A60">
        <w:rPr>
          <w:u w:val="single"/>
        </w:rPr>
        <w:tab/>
      </w:r>
      <w:r w:rsidR="00252A60">
        <w:rPr>
          <w:u w:val="single"/>
        </w:rPr>
        <w:tab/>
      </w:r>
      <w:r w:rsidR="00252A60">
        <w:rPr>
          <w:u w:val="single"/>
        </w:rPr>
        <w:tab/>
      </w:r>
    </w:p>
    <w:sectPr w:rsidR="00252A60" w:rsidRPr="00252A60" w:rsidSect="00637C00">
      <w:footerReference w:type="even" r:id="rId13"/>
      <w:footerReference w:type="default" r:id="rId14"/>
      <w:headerReference w:type="first" r:id="rId15"/>
      <w:footerReference w:type="first" r:id="rId16"/>
      <w:pgSz w:w="11900" w:h="16840"/>
      <w:pgMar w:top="851" w:right="1106" w:bottom="567" w:left="1134" w:header="567" w:footer="6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AA3A" w14:textId="77777777" w:rsidR="00A84EFF" w:rsidRDefault="00A84EFF">
      <w:r>
        <w:separator/>
      </w:r>
    </w:p>
  </w:endnote>
  <w:endnote w:type="continuationSeparator" w:id="0">
    <w:p w14:paraId="7B472ED1" w14:textId="77777777" w:rsidR="00A84EFF" w:rsidRDefault="00A84EFF">
      <w:r>
        <w:continuationSeparator/>
      </w:r>
    </w:p>
  </w:endnote>
  <w:endnote w:type="continuationNotice" w:id="1">
    <w:p w14:paraId="365940F2" w14:textId="77777777" w:rsidR="00A84EFF" w:rsidRDefault="00A84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9C6" w14:textId="77777777"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90573">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C5CE" w14:textId="77777777"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90573">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88D6" w14:textId="77777777"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90573">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F958" w14:textId="77777777" w:rsidR="00A84EFF" w:rsidRDefault="00A84EFF">
      <w:r>
        <w:separator/>
      </w:r>
    </w:p>
  </w:footnote>
  <w:footnote w:type="continuationSeparator" w:id="0">
    <w:p w14:paraId="40A7409F" w14:textId="77777777" w:rsidR="00A84EFF" w:rsidRDefault="00A84EFF">
      <w:r>
        <w:continuationSeparator/>
      </w:r>
    </w:p>
  </w:footnote>
  <w:footnote w:type="continuationNotice" w:id="1">
    <w:p w14:paraId="674E57C3" w14:textId="77777777" w:rsidR="00A84EFF" w:rsidRDefault="00A84EFF"/>
  </w:footnote>
  <w:footnote w:id="2">
    <w:p w14:paraId="15FE38A1" w14:textId="532A889A" w:rsidR="00907538" w:rsidRPr="00E93F3C" w:rsidRDefault="00907538" w:rsidP="00E93F3C">
      <w:pPr>
        <w:pStyle w:val="FootnoteText"/>
        <w:ind w:left="1134"/>
        <w:rPr>
          <w:sz w:val="18"/>
          <w:szCs w:val="18"/>
          <w:lang w:val="en-GB"/>
        </w:rPr>
      </w:pPr>
      <w:r w:rsidRPr="00E93F3C">
        <w:rPr>
          <w:rStyle w:val="FootnoteReference"/>
          <w:sz w:val="18"/>
          <w:szCs w:val="18"/>
        </w:rPr>
        <w:footnoteRef/>
      </w:r>
      <w:r w:rsidRPr="00E93F3C">
        <w:rPr>
          <w:sz w:val="18"/>
          <w:szCs w:val="18"/>
          <w:lang w:val="en-GB"/>
        </w:rPr>
        <w:t xml:space="preserve"> </w:t>
      </w:r>
      <w:r w:rsidR="00E07ADF" w:rsidRPr="00E93F3C">
        <w:rPr>
          <w:sz w:val="18"/>
          <w:szCs w:val="18"/>
          <w:lang w:val="en-GB"/>
        </w:rPr>
        <w:t xml:space="preserve">NHTSA, </w:t>
      </w:r>
      <w:hyperlink r:id="rId1" w:history="1">
        <w:r w:rsidR="00E07ADF" w:rsidRPr="00E93F3C">
          <w:rPr>
            <w:rStyle w:val="Hyperlink"/>
            <w:sz w:val="18"/>
            <w:szCs w:val="18"/>
            <w:lang w:val="en-GB"/>
          </w:rPr>
          <w:t>https://www.nhtsa.gov/sites/nhtsa.gov/files/documents/v2v_pria_12-12-16_clean.pdf</w:t>
        </w:r>
      </w:hyperlink>
      <w:r w:rsidR="00E07ADF" w:rsidRPr="00E93F3C">
        <w:rPr>
          <w:sz w:val="18"/>
          <w:szCs w:val="18"/>
          <w:lang w:val="en-GB"/>
        </w:rPr>
        <w:t>, accessed 14 December 2022</w:t>
      </w:r>
    </w:p>
  </w:footnote>
  <w:footnote w:id="3">
    <w:p w14:paraId="59D40B3D" w14:textId="21C74B26" w:rsidR="00AC3282" w:rsidRPr="00E93F3C" w:rsidRDefault="00AC3282" w:rsidP="00E93F3C">
      <w:pPr>
        <w:pStyle w:val="FootnoteText"/>
        <w:ind w:left="1134"/>
        <w:rPr>
          <w:sz w:val="18"/>
          <w:szCs w:val="18"/>
          <w:lang w:val="en-GB"/>
        </w:rPr>
      </w:pPr>
      <w:r w:rsidRPr="00E93F3C">
        <w:rPr>
          <w:rStyle w:val="FootnoteReference"/>
          <w:sz w:val="18"/>
          <w:szCs w:val="18"/>
        </w:rPr>
        <w:footnoteRef/>
      </w:r>
      <w:r w:rsidRPr="00E93F3C">
        <w:rPr>
          <w:sz w:val="18"/>
          <w:szCs w:val="18"/>
          <w:lang w:val="en-GB"/>
        </w:rPr>
        <w:t xml:space="preserve"> </w:t>
      </w:r>
      <w:r w:rsidR="00DE3E53" w:rsidRPr="00E93F3C">
        <w:rPr>
          <w:sz w:val="18"/>
          <w:szCs w:val="18"/>
          <w:lang w:val="en-GB"/>
        </w:rPr>
        <w:t>NHTSA,</w:t>
      </w:r>
      <w:r w:rsidRPr="00E93F3C">
        <w:rPr>
          <w:sz w:val="18"/>
          <w:szCs w:val="18"/>
          <w:lang w:val="en-GB"/>
        </w:rPr>
        <w:t xml:space="preserve"> </w:t>
      </w:r>
      <w:hyperlink r:id="rId2" w:history="1">
        <w:r w:rsidRPr="00E93F3C">
          <w:rPr>
            <w:rStyle w:val="Hyperlink"/>
            <w:sz w:val="18"/>
            <w:szCs w:val="18"/>
            <w:lang w:val="en-GB"/>
          </w:rPr>
          <w:t>https://www.nhtsa.gov/staticfiles/rulemaking/pdf/V2V/Readiness-of-V2V-Technology-for-Application-812014.pdf</w:t>
        </w:r>
      </w:hyperlink>
      <w:r w:rsidRPr="00E93F3C">
        <w:rPr>
          <w:sz w:val="18"/>
          <w:szCs w:val="18"/>
          <w:lang w:val="en-GB"/>
        </w:rPr>
        <w:t>, accessed 14</w:t>
      </w:r>
      <w:r w:rsidR="00C80A7D" w:rsidRPr="00E93F3C">
        <w:rPr>
          <w:sz w:val="18"/>
          <w:szCs w:val="18"/>
          <w:lang w:val="en-GB"/>
        </w:rPr>
        <w:t xml:space="preserve"> December </w:t>
      </w:r>
      <w:r w:rsidRPr="00E93F3C">
        <w:rPr>
          <w:sz w:val="18"/>
          <w:szCs w:val="18"/>
          <w:lang w:val="en-GB"/>
        </w:rPr>
        <w:t>2022</w:t>
      </w:r>
    </w:p>
  </w:footnote>
  <w:footnote w:id="4">
    <w:p w14:paraId="5A4037FD" w14:textId="4F165EFD" w:rsidR="00EF3590" w:rsidRPr="00E93F3C" w:rsidRDefault="00EF3590" w:rsidP="00E93F3C">
      <w:pPr>
        <w:pStyle w:val="FootnoteText"/>
        <w:ind w:left="1134"/>
        <w:rPr>
          <w:sz w:val="18"/>
          <w:szCs w:val="18"/>
          <w:lang w:val="fr-CH"/>
        </w:rPr>
      </w:pPr>
      <w:r w:rsidRPr="00E93F3C">
        <w:rPr>
          <w:rStyle w:val="FootnoteReference"/>
          <w:sz w:val="18"/>
          <w:szCs w:val="18"/>
        </w:rPr>
        <w:footnoteRef/>
      </w:r>
      <w:r w:rsidRPr="00E93F3C">
        <w:rPr>
          <w:sz w:val="18"/>
          <w:szCs w:val="18"/>
        </w:rPr>
        <w:t xml:space="preserve"> https://wiki.unece.org/pages/viewpage.action?pageId=154665003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108" w:type="dxa"/>
      <w:tblLook w:val="0000" w:firstRow="0" w:lastRow="0" w:firstColumn="0" w:lastColumn="0" w:noHBand="0" w:noVBand="0"/>
    </w:tblPr>
    <w:tblGrid>
      <w:gridCol w:w="4536"/>
      <w:gridCol w:w="3969"/>
    </w:tblGrid>
    <w:tr w:rsidR="00517952" w:rsidRPr="00A030D8" w14:paraId="0C1F1397" w14:textId="77777777" w:rsidTr="0054109A">
      <w:tc>
        <w:tcPr>
          <w:tcW w:w="4536" w:type="dxa"/>
          <w:vAlign w:val="center"/>
        </w:tcPr>
        <w:p w14:paraId="3FA0E102" w14:textId="77777777" w:rsidR="00517952" w:rsidRPr="002F1983" w:rsidRDefault="00253743" w:rsidP="002F1983">
          <w:pPr>
            <w:tabs>
              <w:tab w:val="center" w:pos="4677"/>
              <w:tab w:val="right" w:pos="9355"/>
            </w:tabs>
            <w:ind w:left="601" w:hanging="108"/>
            <w:rPr>
              <w:sz w:val="20"/>
              <w:szCs w:val="20"/>
              <w:lang w:val="en-TT" w:eastAsia="ar-SA"/>
            </w:rPr>
          </w:pPr>
          <w:r w:rsidRPr="002F1983">
            <w:rPr>
              <w:sz w:val="20"/>
              <w:szCs w:val="20"/>
              <w:lang w:val="en-TT" w:eastAsia="ar-SA"/>
            </w:rPr>
            <w:t>Note by the secretariat</w:t>
          </w:r>
        </w:p>
      </w:tc>
      <w:tc>
        <w:tcPr>
          <w:tcW w:w="3969" w:type="dxa"/>
        </w:tcPr>
        <w:p w14:paraId="19E4CFCA" w14:textId="1FBA359E" w:rsidR="00517952" w:rsidRPr="003E17D9" w:rsidRDefault="00477254" w:rsidP="0054109A">
          <w:pPr>
            <w:ind w:left="885" w:right="-108"/>
            <w:rPr>
              <w:b/>
              <w:bCs/>
              <w:sz w:val="20"/>
              <w:szCs w:val="20"/>
              <w:lang w:val="en-GB" w:eastAsia="ar-SA"/>
            </w:rPr>
          </w:pPr>
          <w:r w:rsidRPr="003E17D9">
            <w:rPr>
              <w:sz w:val="20"/>
              <w:szCs w:val="20"/>
              <w:u w:val="single"/>
              <w:lang w:val="en-GB" w:eastAsia="ar-SA"/>
            </w:rPr>
            <w:t>Working paper</w:t>
          </w:r>
          <w:r w:rsidR="00253743" w:rsidRPr="003E17D9">
            <w:rPr>
              <w:sz w:val="20"/>
              <w:szCs w:val="20"/>
              <w:lang w:val="en-GB" w:eastAsia="ar-SA"/>
            </w:rPr>
            <w:t xml:space="preserve"> </w:t>
          </w:r>
          <w:r w:rsidRPr="003E17D9">
            <w:rPr>
              <w:b/>
              <w:bCs/>
              <w:sz w:val="20"/>
              <w:szCs w:val="20"/>
              <w:lang w:val="en-GB" w:eastAsia="ar-SA"/>
            </w:rPr>
            <w:t>ITS-05-02</w:t>
          </w:r>
        </w:p>
        <w:p w14:paraId="7A04257D" w14:textId="5AC05FDA" w:rsidR="00517952" w:rsidRPr="003E17D9" w:rsidRDefault="005C2979" w:rsidP="0054109A">
          <w:pPr>
            <w:tabs>
              <w:tab w:val="center" w:pos="4677"/>
              <w:tab w:val="right" w:pos="9355"/>
            </w:tabs>
            <w:ind w:left="885"/>
            <w:rPr>
              <w:lang w:val="en-GB" w:eastAsia="ar-SA"/>
            </w:rPr>
          </w:pPr>
          <w:r w:rsidRPr="003E17D9">
            <w:rPr>
              <w:sz w:val="20"/>
              <w:szCs w:val="20"/>
              <w:lang w:val="en-GB" w:eastAsia="ar-SA"/>
            </w:rPr>
            <w:t>(</w:t>
          </w:r>
          <w:r w:rsidR="00477254" w:rsidRPr="003E17D9">
            <w:rPr>
              <w:sz w:val="20"/>
              <w:szCs w:val="20"/>
              <w:lang w:val="en-GB" w:eastAsia="ar-SA"/>
            </w:rPr>
            <w:t>5th IWG on ITS,</w:t>
          </w:r>
          <w:r w:rsidRPr="003E17D9">
            <w:rPr>
              <w:sz w:val="20"/>
              <w:szCs w:val="20"/>
              <w:lang w:val="en-GB" w:eastAsia="ar-SA"/>
            </w:rPr>
            <w:t xml:space="preserve"> </w:t>
          </w:r>
          <w:r w:rsidR="00D56576" w:rsidRPr="003E17D9">
            <w:rPr>
              <w:sz w:val="20"/>
              <w:szCs w:val="20"/>
              <w:lang w:val="en-GB" w:eastAsia="ar-SA"/>
            </w:rPr>
            <w:t>1</w:t>
          </w:r>
          <w:r w:rsidR="00477254" w:rsidRPr="003E17D9">
            <w:rPr>
              <w:sz w:val="20"/>
              <w:szCs w:val="20"/>
              <w:lang w:val="en-GB" w:eastAsia="ar-SA"/>
            </w:rPr>
            <w:t>7</w:t>
          </w:r>
          <w:r w:rsidRPr="003E17D9">
            <w:rPr>
              <w:sz w:val="20"/>
              <w:szCs w:val="20"/>
              <w:lang w:val="en-GB" w:eastAsia="ar-SA"/>
            </w:rPr>
            <w:t xml:space="preserve"> </w:t>
          </w:r>
          <w:r w:rsidR="00477254" w:rsidRPr="003E17D9">
            <w:rPr>
              <w:sz w:val="20"/>
              <w:szCs w:val="20"/>
              <w:lang w:val="en-GB" w:eastAsia="ar-SA"/>
            </w:rPr>
            <w:t>January</w:t>
          </w:r>
          <w:r w:rsidR="00D56576" w:rsidRPr="003E17D9">
            <w:rPr>
              <w:sz w:val="20"/>
              <w:szCs w:val="20"/>
              <w:lang w:val="en-GB" w:eastAsia="ar-SA"/>
            </w:rPr>
            <w:t xml:space="preserve"> </w:t>
          </w:r>
          <w:r w:rsidRPr="003E17D9">
            <w:rPr>
              <w:sz w:val="20"/>
              <w:szCs w:val="20"/>
              <w:lang w:val="en-GB" w:eastAsia="ar-SA"/>
            </w:rPr>
            <w:t>20</w:t>
          </w:r>
          <w:r w:rsidR="00477254" w:rsidRPr="003E17D9">
            <w:rPr>
              <w:sz w:val="20"/>
              <w:szCs w:val="20"/>
              <w:lang w:val="en-GB" w:eastAsia="ar-SA"/>
            </w:rPr>
            <w:t>23</w:t>
          </w:r>
          <w:r w:rsidRPr="003E17D9">
            <w:rPr>
              <w:sz w:val="20"/>
              <w:szCs w:val="20"/>
              <w:lang w:val="en-GB" w:eastAsia="ar-SA"/>
            </w:rPr>
            <w:t>)</w:t>
          </w:r>
        </w:p>
      </w:tc>
    </w:tr>
  </w:tbl>
  <w:p w14:paraId="1F3F3FFB" w14:textId="77777777" w:rsidR="00517952" w:rsidRPr="003E17D9" w:rsidRDefault="00517952" w:rsidP="00E739E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15:restartNumberingAfterBreak="0">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2" w15:restartNumberingAfterBreak="0">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F31C2"/>
    <w:rsid w:val="00006929"/>
    <w:rsid w:val="00010854"/>
    <w:rsid w:val="00020E28"/>
    <w:rsid w:val="00023BCE"/>
    <w:rsid w:val="00027D8D"/>
    <w:rsid w:val="0003093D"/>
    <w:rsid w:val="0003358C"/>
    <w:rsid w:val="000610B4"/>
    <w:rsid w:val="0006681E"/>
    <w:rsid w:val="0007188A"/>
    <w:rsid w:val="0008245F"/>
    <w:rsid w:val="00082AD8"/>
    <w:rsid w:val="00082FE0"/>
    <w:rsid w:val="00083AA4"/>
    <w:rsid w:val="00084AC2"/>
    <w:rsid w:val="0009360F"/>
    <w:rsid w:val="000A7513"/>
    <w:rsid w:val="000B3AF6"/>
    <w:rsid w:val="000C20B0"/>
    <w:rsid w:val="000C52A5"/>
    <w:rsid w:val="000C708F"/>
    <w:rsid w:val="000C71E9"/>
    <w:rsid w:val="000C75C5"/>
    <w:rsid w:val="000D64C5"/>
    <w:rsid w:val="000D7EE4"/>
    <w:rsid w:val="000F1D20"/>
    <w:rsid w:val="00101BDE"/>
    <w:rsid w:val="00105DD0"/>
    <w:rsid w:val="00107422"/>
    <w:rsid w:val="00110738"/>
    <w:rsid w:val="0011145C"/>
    <w:rsid w:val="00115110"/>
    <w:rsid w:val="001244DF"/>
    <w:rsid w:val="00126D29"/>
    <w:rsid w:val="0012757A"/>
    <w:rsid w:val="00131533"/>
    <w:rsid w:val="00133137"/>
    <w:rsid w:val="00136D62"/>
    <w:rsid w:val="00145F35"/>
    <w:rsid w:val="0016141C"/>
    <w:rsid w:val="0016474B"/>
    <w:rsid w:val="00170AA2"/>
    <w:rsid w:val="001723BF"/>
    <w:rsid w:val="001737B5"/>
    <w:rsid w:val="0018243B"/>
    <w:rsid w:val="00190417"/>
    <w:rsid w:val="00191CAE"/>
    <w:rsid w:val="00195BDA"/>
    <w:rsid w:val="00196ED0"/>
    <w:rsid w:val="001A2867"/>
    <w:rsid w:val="001A3F9E"/>
    <w:rsid w:val="001A496C"/>
    <w:rsid w:val="001B48C7"/>
    <w:rsid w:val="001C0A68"/>
    <w:rsid w:val="001C5684"/>
    <w:rsid w:val="001C5893"/>
    <w:rsid w:val="001D1388"/>
    <w:rsid w:val="001D2409"/>
    <w:rsid w:val="001D5570"/>
    <w:rsid w:val="001D5DCF"/>
    <w:rsid w:val="001D7DCE"/>
    <w:rsid w:val="001E2427"/>
    <w:rsid w:val="001E27AF"/>
    <w:rsid w:val="001E5C9C"/>
    <w:rsid w:val="001F0B91"/>
    <w:rsid w:val="001F31C2"/>
    <w:rsid w:val="001F5F07"/>
    <w:rsid w:val="00206634"/>
    <w:rsid w:val="00216C68"/>
    <w:rsid w:val="002260E1"/>
    <w:rsid w:val="002349AA"/>
    <w:rsid w:val="00237F5F"/>
    <w:rsid w:val="00240690"/>
    <w:rsid w:val="00252A60"/>
    <w:rsid w:val="0025310D"/>
    <w:rsid w:val="00253743"/>
    <w:rsid w:val="002551B9"/>
    <w:rsid w:val="00255505"/>
    <w:rsid w:val="002575E2"/>
    <w:rsid w:val="00257A64"/>
    <w:rsid w:val="00261BE4"/>
    <w:rsid w:val="002624D4"/>
    <w:rsid w:val="00262D92"/>
    <w:rsid w:val="00265E33"/>
    <w:rsid w:val="0026689C"/>
    <w:rsid w:val="002673C9"/>
    <w:rsid w:val="0027237B"/>
    <w:rsid w:val="0027558F"/>
    <w:rsid w:val="00275D91"/>
    <w:rsid w:val="00277ACD"/>
    <w:rsid w:val="002811C2"/>
    <w:rsid w:val="002823FD"/>
    <w:rsid w:val="00282AC4"/>
    <w:rsid w:val="0028388A"/>
    <w:rsid w:val="002926CC"/>
    <w:rsid w:val="00295475"/>
    <w:rsid w:val="00295D81"/>
    <w:rsid w:val="002B0BE1"/>
    <w:rsid w:val="002B3905"/>
    <w:rsid w:val="002B4AE2"/>
    <w:rsid w:val="002B4F25"/>
    <w:rsid w:val="002C590F"/>
    <w:rsid w:val="002C77B7"/>
    <w:rsid w:val="002C7B67"/>
    <w:rsid w:val="002D09F6"/>
    <w:rsid w:val="002D2495"/>
    <w:rsid w:val="002D3299"/>
    <w:rsid w:val="002D4F1E"/>
    <w:rsid w:val="002E014E"/>
    <w:rsid w:val="002E4531"/>
    <w:rsid w:val="002F0338"/>
    <w:rsid w:val="002F1983"/>
    <w:rsid w:val="002F27D5"/>
    <w:rsid w:val="002F4268"/>
    <w:rsid w:val="002F509B"/>
    <w:rsid w:val="00301432"/>
    <w:rsid w:val="00303744"/>
    <w:rsid w:val="0031128B"/>
    <w:rsid w:val="00311466"/>
    <w:rsid w:val="00311CBA"/>
    <w:rsid w:val="00317383"/>
    <w:rsid w:val="00320D3A"/>
    <w:rsid w:val="003343B2"/>
    <w:rsid w:val="00334DA5"/>
    <w:rsid w:val="00336BFA"/>
    <w:rsid w:val="00341103"/>
    <w:rsid w:val="003451B2"/>
    <w:rsid w:val="0035316F"/>
    <w:rsid w:val="00356317"/>
    <w:rsid w:val="003605B4"/>
    <w:rsid w:val="003616BC"/>
    <w:rsid w:val="00361C66"/>
    <w:rsid w:val="00362C74"/>
    <w:rsid w:val="00370B7C"/>
    <w:rsid w:val="0037158A"/>
    <w:rsid w:val="00381FB6"/>
    <w:rsid w:val="003867E1"/>
    <w:rsid w:val="00386902"/>
    <w:rsid w:val="00391FB1"/>
    <w:rsid w:val="00392FA2"/>
    <w:rsid w:val="003A1A51"/>
    <w:rsid w:val="003A718A"/>
    <w:rsid w:val="003B23B5"/>
    <w:rsid w:val="003B4C3D"/>
    <w:rsid w:val="003B67CD"/>
    <w:rsid w:val="003C04FF"/>
    <w:rsid w:val="003C191F"/>
    <w:rsid w:val="003C35E7"/>
    <w:rsid w:val="003D0252"/>
    <w:rsid w:val="003D317E"/>
    <w:rsid w:val="003E0D2C"/>
    <w:rsid w:val="003E17D9"/>
    <w:rsid w:val="003E2CE7"/>
    <w:rsid w:val="003E3BF7"/>
    <w:rsid w:val="003E4BC6"/>
    <w:rsid w:val="003F07EF"/>
    <w:rsid w:val="003F4B4C"/>
    <w:rsid w:val="004062E9"/>
    <w:rsid w:val="00417424"/>
    <w:rsid w:val="00420105"/>
    <w:rsid w:val="0042037A"/>
    <w:rsid w:val="0042250C"/>
    <w:rsid w:val="00424CD7"/>
    <w:rsid w:val="0042746B"/>
    <w:rsid w:val="00427F1B"/>
    <w:rsid w:val="00431165"/>
    <w:rsid w:val="004472BE"/>
    <w:rsid w:val="00451931"/>
    <w:rsid w:val="004576B5"/>
    <w:rsid w:val="004704C4"/>
    <w:rsid w:val="004742A2"/>
    <w:rsid w:val="00477254"/>
    <w:rsid w:val="00483B2E"/>
    <w:rsid w:val="00492448"/>
    <w:rsid w:val="004933FC"/>
    <w:rsid w:val="00495828"/>
    <w:rsid w:val="00495FD8"/>
    <w:rsid w:val="004A2FD5"/>
    <w:rsid w:val="004A374E"/>
    <w:rsid w:val="004A61F6"/>
    <w:rsid w:val="004C6B45"/>
    <w:rsid w:val="004C6D40"/>
    <w:rsid w:val="004C7B41"/>
    <w:rsid w:val="004D1797"/>
    <w:rsid w:val="004D3B2F"/>
    <w:rsid w:val="004D4762"/>
    <w:rsid w:val="004D7D4A"/>
    <w:rsid w:val="004E3B0F"/>
    <w:rsid w:val="004E6CB1"/>
    <w:rsid w:val="004F2ABC"/>
    <w:rsid w:val="004F6064"/>
    <w:rsid w:val="00500524"/>
    <w:rsid w:val="005041BC"/>
    <w:rsid w:val="00506254"/>
    <w:rsid w:val="0051225E"/>
    <w:rsid w:val="00515625"/>
    <w:rsid w:val="00516518"/>
    <w:rsid w:val="00517952"/>
    <w:rsid w:val="0052243A"/>
    <w:rsid w:val="0053383C"/>
    <w:rsid w:val="00533862"/>
    <w:rsid w:val="00540F82"/>
    <w:rsid w:val="0054109A"/>
    <w:rsid w:val="00544FED"/>
    <w:rsid w:val="0054530C"/>
    <w:rsid w:val="00552627"/>
    <w:rsid w:val="00553619"/>
    <w:rsid w:val="00560F31"/>
    <w:rsid w:val="00565CC7"/>
    <w:rsid w:val="005721E9"/>
    <w:rsid w:val="00574349"/>
    <w:rsid w:val="00577751"/>
    <w:rsid w:val="00582697"/>
    <w:rsid w:val="00582CFF"/>
    <w:rsid w:val="005831C6"/>
    <w:rsid w:val="00583BC3"/>
    <w:rsid w:val="00584DF3"/>
    <w:rsid w:val="0059060C"/>
    <w:rsid w:val="0059256A"/>
    <w:rsid w:val="00595835"/>
    <w:rsid w:val="005A03AF"/>
    <w:rsid w:val="005A6940"/>
    <w:rsid w:val="005B021E"/>
    <w:rsid w:val="005B14C0"/>
    <w:rsid w:val="005B32AC"/>
    <w:rsid w:val="005B4943"/>
    <w:rsid w:val="005B5858"/>
    <w:rsid w:val="005C290C"/>
    <w:rsid w:val="005C2979"/>
    <w:rsid w:val="005C2A1B"/>
    <w:rsid w:val="005C4A93"/>
    <w:rsid w:val="005E08A6"/>
    <w:rsid w:val="005E1536"/>
    <w:rsid w:val="005E1831"/>
    <w:rsid w:val="005E1BF6"/>
    <w:rsid w:val="005E2211"/>
    <w:rsid w:val="005F4F93"/>
    <w:rsid w:val="005F6733"/>
    <w:rsid w:val="0061053C"/>
    <w:rsid w:val="00611C76"/>
    <w:rsid w:val="00615ABD"/>
    <w:rsid w:val="0062111C"/>
    <w:rsid w:val="0062264C"/>
    <w:rsid w:val="00637C00"/>
    <w:rsid w:val="00644947"/>
    <w:rsid w:val="00647F14"/>
    <w:rsid w:val="006505AF"/>
    <w:rsid w:val="00660917"/>
    <w:rsid w:val="006614C6"/>
    <w:rsid w:val="00672228"/>
    <w:rsid w:val="00673EB7"/>
    <w:rsid w:val="00676C58"/>
    <w:rsid w:val="00685F1C"/>
    <w:rsid w:val="006961D5"/>
    <w:rsid w:val="006A3496"/>
    <w:rsid w:val="006A4A30"/>
    <w:rsid w:val="006A5BAA"/>
    <w:rsid w:val="006B1DE1"/>
    <w:rsid w:val="006B44CD"/>
    <w:rsid w:val="006C1B93"/>
    <w:rsid w:val="006C4204"/>
    <w:rsid w:val="006C559F"/>
    <w:rsid w:val="006D00AC"/>
    <w:rsid w:val="006D5366"/>
    <w:rsid w:val="006D6C52"/>
    <w:rsid w:val="006D73C5"/>
    <w:rsid w:val="006F5E37"/>
    <w:rsid w:val="007020C9"/>
    <w:rsid w:val="00702316"/>
    <w:rsid w:val="007061C5"/>
    <w:rsid w:val="0071151C"/>
    <w:rsid w:val="00716ECC"/>
    <w:rsid w:val="0072038E"/>
    <w:rsid w:val="00721F59"/>
    <w:rsid w:val="007235BD"/>
    <w:rsid w:val="00730BA4"/>
    <w:rsid w:val="00731D71"/>
    <w:rsid w:val="0073382C"/>
    <w:rsid w:val="00733FF8"/>
    <w:rsid w:val="007410DF"/>
    <w:rsid w:val="00752005"/>
    <w:rsid w:val="00757895"/>
    <w:rsid w:val="00763078"/>
    <w:rsid w:val="00766452"/>
    <w:rsid w:val="00766863"/>
    <w:rsid w:val="0077066C"/>
    <w:rsid w:val="0077461B"/>
    <w:rsid w:val="0078114C"/>
    <w:rsid w:val="007846AE"/>
    <w:rsid w:val="00786EC7"/>
    <w:rsid w:val="007870B2"/>
    <w:rsid w:val="00790266"/>
    <w:rsid w:val="00790573"/>
    <w:rsid w:val="00791AB8"/>
    <w:rsid w:val="0079578C"/>
    <w:rsid w:val="00795B63"/>
    <w:rsid w:val="007A0A64"/>
    <w:rsid w:val="007A7ECB"/>
    <w:rsid w:val="007B025E"/>
    <w:rsid w:val="007B143B"/>
    <w:rsid w:val="007C3111"/>
    <w:rsid w:val="007D3F7D"/>
    <w:rsid w:val="007D4915"/>
    <w:rsid w:val="007E75BA"/>
    <w:rsid w:val="007F2348"/>
    <w:rsid w:val="007F4ACA"/>
    <w:rsid w:val="00803189"/>
    <w:rsid w:val="00806631"/>
    <w:rsid w:val="00820618"/>
    <w:rsid w:val="00827FBE"/>
    <w:rsid w:val="00833AAE"/>
    <w:rsid w:val="00841AA4"/>
    <w:rsid w:val="00846F55"/>
    <w:rsid w:val="00852BDD"/>
    <w:rsid w:val="008578E9"/>
    <w:rsid w:val="00870694"/>
    <w:rsid w:val="00872F30"/>
    <w:rsid w:val="00874CFA"/>
    <w:rsid w:val="00897400"/>
    <w:rsid w:val="008A3C86"/>
    <w:rsid w:val="008A421D"/>
    <w:rsid w:val="008B150C"/>
    <w:rsid w:val="008B3505"/>
    <w:rsid w:val="008B64C5"/>
    <w:rsid w:val="008C1773"/>
    <w:rsid w:val="008C306C"/>
    <w:rsid w:val="008C38CF"/>
    <w:rsid w:val="008C56A4"/>
    <w:rsid w:val="008C631A"/>
    <w:rsid w:val="008C7BDF"/>
    <w:rsid w:val="008D1175"/>
    <w:rsid w:val="008D23D9"/>
    <w:rsid w:val="008D480F"/>
    <w:rsid w:val="008E718A"/>
    <w:rsid w:val="008E7918"/>
    <w:rsid w:val="008F11BF"/>
    <w:rsid w:val="008F18D4"/>
    <w:rsid w:val="008F34D0"/>
    <w:rsid w:val="008F3602"/>
    <w:rsid w:val="009025D8"/>
    <w:rsid w:val="00907538"/>
    <w:rsid w:val="00907D66"/>
    <w:rsid w:val="00911AE2"/>
    <w:rsid w:val="0091475E"/>
    <w:rsid w:val="00915B3F"/>
    <w:rsid w:val="0091722D"/>
    <w:rsid w:val="0091798A"/>
    <w:rsid w:val="00921B7D"/>
    <w:rsid w:val="00923ADA"/>
    <w:rsid w:val="00924D89"/>
    <w:rsid w:val="00924FFC"/>
    <w:rsid w:val="00935305"/>
    <w:rsid w:val="009360DE"/>
    <w:rsid w:val="00936A1C"/>
    <w:rsid w:val="00941F4B"/>
    <w:rsid w:val="00944FD2"/>
    <w:rsid w:val="00947BB1"/>
    <w:rsid w:val="00950638"/>
    <w:rsid w:val="00950EE5"/>
    <w:rsid w:val="00957257"/>
    <w:rsid w:val="0095776B"/>
    <w:rsid w:val="00957BB6"/>
    <w:rsid w:val="009619EA"/>
    <w:rsid w:val="00961A60"/>
    <w:rsid w:val="0096282E"/>
    <w:rsid w:val="00964033"/>
    <w:rsid w:val="00965E80"/>
    <w:rsid w:val="00970B7B"/>
    <w:rsid w:val="00970E23"/>
    <w:rsid w:val="0097365C"/>
    <w:rsid w:val="00980804"/>
    <w:rsid w:val="009810DA"/>
    <w:rsid w:val="0098132D"/>
    <w:rsid w:val="00985C12"/>
    <w:rsid w:val="00986DE9"/>
    <w:rsid w:val="00990389"/>
    <w:rsid w:val="00997B83"/>
    <w:rsid w:val="00997F1D"/>
    <w:rsid w:val="009A6B81"/>
    <w:rsid w:val="009B0E9F"/>
    <w:rsid w:val="009B1820"/>
    <w:rsid w:val="009B2034"/>
    <w:rsid w:val="009C2BA8"/>
    <w:rsid w:val="009C4D24"/>
    <w:rsid w:val="009D0F05"/>
    <w:rsid w:val="009D6BA3"/>
    <w:rsid w:val="009E0256"/>
    <w:rsid w:val="009E2420"/>
    <w:rsid w:val="009E60EE"/>
    <w:rsid w:val="009F63B8"/>
    <w:rsid w:val="00A030D8"/>
    <w:rsid w:val="00A0609E"/>
    <w:rsid w:val="00A07A36"/>
    <w:rsid w:val="00A13680"/>
    <w:rsid w:val="00A13B0D"/>
    <w:rsid w:val="00A16BB0"/>
    <w:rsid w:val="00A231A0"/>
    <w:rsid w:val="00A235F0"/>
    <w:rsid w:val="00A24350"/>
    <w:rsid w:val="00A24E5F"/>
    <w:rsid w:val="00A3012D"/>
    <w:rsid w:val="00A33BBC"/>
    <w:rsid w:val="00A37944"/>
    <w:rsid w:val="00A4189D"/>
    <w:rsid w:val="00A44EF0"/>
    <w:rsid w:val="00A472FD"/>
    <w:rsid w:val="00A50D03"/>
    <w:rsid w:val="00A519D9"/>
    <w:rsid w:val="00A52DAD"/>
    <w:rsid w:val="00A52FF4"/>
    <w:rsid w:val="00A54714"/>
    <w:rsid w:val="00A60642"/>
    <w:rsid w:val="00A6405C"/>
    <w:rsid w:val="00A64DD8"/>
    <w:rsid w:val="00A6607A"/>
    <w:rsid w:val="00A70442"/>
    <w:rsid w:val="00A726BB"/>
    <w:rsid w:val="00A76BB7"/>
    <w:rsid w:val="00A84EFF"/>
    <w:rsid w:val="00A90DB0"/>
    <w:rsid w:val="00A95093"/>
    <w:rsid w:val="00A95562"/>
    <w:rsid w:val="00AA36B5"/>
    <w:rsid w:val="00AA44B4"/>
    <w:rsid w:val="00AA7998"/>
    <w:rsid w:val="00AB01A9"/>
    <w:rsid w:val="00AB3949"/>
    <w:rsid w:val="00AB6D38"/>
    <w:rsid w:val="00AC3282"/>
    <w:rsid w:val="00AC376C"/>
    <w:rsid w:val="00AD03B5"/>
    <w:rsid w:val="00AD48F2"/>
    <w:rsid w:val="00AE3566"/>
    <w:rsid w:val="00AE7BAC"/>
    <w:rsid w:val="00AF15D4"/>
    <w:rsid w:val="00AF469B"/>
    <w:rsid w:val="00AF6899"/>
    <w:rsid w:val="00B00FB8"/>
    <w:rsid w:val="00B040B9"/>
    <w:rsid w:val="00B07A26"/>
    <w:rsid w:val="00B13C34"/>
    <w:rsid w:val="00B16AB2"/>
    <w:rsid w:val="00B21CC2"/>
    <w:rsid w:val="00B32921"/>
    <w:rsid w:val="00B47687"/>
    <w:rsid w:val="00B530E4"/>
    <w:rsid w:val="00B5438F"/>
    <w:rsid w:val="00B55392"/>
    <w:rsid w:val="00B55998"/>
    <w:rsid w:val="00B62FFA"/>
    <w:rsid w:val="00B86598"/>
    <w:rsid w:val="00B8760B"/>
    <w:rsid w:val="00B952E4"/>
    <w:rsid w:val="00B954B6"/>
    <w:rsid w:val="00B97E3A"/>
    <w:rsid w:val="00BA77F6"/>
    <w:rsid w:val="00BB4392"/>
    <w:rsid w:val="00BB4465"/>
    <w:rsid w:val="00BC0EE8"/>
    <w:rsid w:val="00BC2E43"/>
    <w:rsid w:val="00BC5035"/>
    <w:rsid w:val="00BD280A"/>
    <w:rsid w:val="00BD7D15"/>
    <w:rsid w:val="00BE1747"/>
    <w:rsid w:val="00BE44A8"/>
    <w:rsid w:val="00BE5D8A"/>
    <w:rsid w:val="00BE6003"/>
    <w:rsid w:val="00BF2BAA"/>
    <w:rsid w:val="00C03D76"/>
    <w:rsid w:val="00C03E98"/>
    <w:rsid w:val="00C149DB"/>
    <w:rsid w:val="00C16F8E"/>
    <w:rsid w:val="00C17ED2"/>
    <w:rsid w:val="00C20618"/>
    <w:rsid w:val="00C21722"/>
    <w:rsid w:val="00C24DDD"/>
    <w:rsid w:val="00C37696"/>
    <w:rsid w:val="00C401C7"/>
    <w:rsid w:val="00C410DB"/>
    <w:rsid w:val="00C443EB"/>
    <w:rsid w:val="00C54050"/>
    <w:rsid w:val="00C62125"/>
    <w:rsid w:val="00C663D4"/>
    <w:rsid w:val="00C67A58"/>
    <w:rsid w:val="00C71E58"/>
    <w:rsid w:val="00C75DF0"/>
    <w:rsid w:val="00C80A7D"/>
    <w:rsid w:val="00C83292"/>
    <w:rsid w:val="00C84F02"/>
    <w:rsid w:val="00C95486"/>
    <w:rsid w:val="00CA665B"/>
    <w:rsid w:val="00CA7BF5"/>
    <w:rsid w:val="00CB1E6C"/>
    <w:rsid w:val="00CC17A1"/>
    <w:rsid w:val="00CC54A9"/>
    <w:rsid w:val="00CD0033"/>
    <w:rsid w:val="00CD6CCD"/>
    <w:rsid w:val="00CE0738"/>
    <w:rsid w:val="00CE1D7A"/>
    <w:rsid w:val="00CF0FEF"/>
    <w:rsid w:val="00CF5DFA"/>
    <w:rsid w:val="00D022FF"/>
    <w:rsid w:val="00D0530E"/>
    <w:rsid w:val="00D12250"/>
    <w:rsid w:val="00D146BC"/>
    <w:rsid w:val="00D148B0"/>
    <w:rsid w:val="00D16CB5"/>
    <w:rsid w:val="00D263C3"/>
    <w:rsid w:val="00D31719"/>
    <w:rsid w:val="00D3515B"/>
    <w:rsid w:val="00D409DA"/>
    <w:rsid w:val="00D426D5"/>
    <w:rsid w:val="00D45F17"/>
    <w:rsid w:val="00D46545"/>
    <w:rsid w:val="00D47CB7"/>
    <w:rsid w:val="00D549F2"/>
    <w:rsid w:val="00D55B1C"/>
    <w:rsid w:val="00D56576"/>
    <w:rsid w:val="00D57CB5"/>
    <w:rsid w:val="00D62883"/>
    <w:rsid w:val="00D66252"/>
    <w:rsid w:val="00D71F77"/>
    <w:rsid w:val="00D76B62"/>
    <w:rsid w:val="00D77116"/>
    <w:rsid w:val="00D81036"/>
    <w:rsid w:val="00D856DD"/>
    <w:rsid w:val="00D86B4F"/>
    <w:rsid w:val="00D90A3E"/>
    <w:rsid w:val="00DA740E"/>
    <w:rsid w:val="00DB06DB"/>
    <w:rsid w:val="00DB3224"/>
    <w:rsid w:val="00DB51B3"/>
    <w:rsid w:val="00DB56E0"/>
    <w:rsid w:val="00DD06DB"/>
    <w:rsid w:val="00DD1B29"/>
    <w:rsid w:val="00DD566E"/>
    <w:rsid w:val="00DE2858"/>
    <w:rsid w:val="00DE3E53"/>
    <w:rsid w:val="00DE3F8A"/>
    <w:rsid w:val="00DE4444"/>
    <w:rsid w:val="00DE6DE9"/>
    <w:rsid w:val="00DF069E"/>
    <w:rsid w:val="00DF4209"/>
    <w:rsid w:val="00DF7461"/>
    <w:rsid w:val="00DF7D66"/>
    <w:rsid w:val="00E04E34"/>
    <w:rsid w:val="00E06E58"/>
    <w:rsid w:val="00E078FF"/>
    <w:rsid w:val="00E07ADF"/>
    <w:rsid w:val="00E12E3C"/>
    <w:rsid w:val="00E130FA"/>
    <w:rsid w:val="00E135F9"/>
    <w:rsid w:val="00E22697"/>
    <w:rsid w:val="00E22E17"/>
    <w:rsid w:val="00E231B8"/>
    <w:rsid w:val="00E26D2F"/>
    <w:rsid w:val="00E27691"/>
    <w:rsid w:val="00E27C23"/>
    <w:rsid w:val="00E430C3"/>
    <w:rsid w:val="00E457D4"/>
    <w:rsid w:val="00E52A90"/>
    <w:rsid w:val="00E5774C"/>
    <w:rsid w:val="00E62A46"/>
    <w:rsid w:val="00E638EC"/>
    <w:rsid w:val="00E64C08"/>
    <w:rsid w:val="00E65F2C"/>
    <w:rsid w:val="00E7349E"/>
    <w:rsid w:val="00E739E6"/>
    <w:rsid w:val="00E775BE"/>
    <w:rsid w:val="00E77D1A"/>
    <w:rsid w:val="00E93F3C"/>
    <w:rsid w:val="00E9444B"/>
    <w:rsid w:val="00EA184C"/>
    <w:rsid w:val="00EA2572"/>
    <w:rsid w:val="00EA5B90"/>
    <w:rsid w:val="00EB52D7"/>
    <w:rsid w:val="00EB5E98"/>
    <w:rsid w:val="00EB746D"/>
    <w:rsid w:val="00EC24A3"/>
    <w:rsid w:val="00EC3DAA"/>
    <w:rsid w:val="00EC4E21"/>
    <w:rsid w:val="00ED200F"/>
    <w:rsid w:val="00ED6B12"/>
    <w:rsid w:val="00EE0152"/>
    <w:rsid w:val="00EE1A31"/>
    <w:rsid w:val="00EE7CDA"/>
    <w:rsid w:val="00EF3590"/>
    <w:rsid w:val="00EF7B2D"/>
    <w:rsid w:val="00F00FD4"/>
    <w:rsid w:val="00F0293E"/>
    <w:rsid w:val="00F0638A"/>
    <w:rsid w:val="00F07E8C"/>
    <w:rsid w:val="00F1270C"/>
    <w:rsid w:val="00F1325D"/>
    <w:rsid w:val="00F26AB0"/>
    <w:rsid w:val="00F30473"/>
    <w:rsid w:val="00F31572"/>
    <w:rsid w:val="00F36AD4"/>
    <w:rsid w:val="00F45B1D"/>
    <w:rsid w:val="00F53ECE"/>
    <w:rsid w:val="00F5506C"/>
    <w:rsid w:val="00F577EE"/>
    <w:rsid w:val="00F61FA5"/>
    <w:rsid w:val="00F71B5C"/>
    <w:rsid w:val="00F7769E"/>
    <w:rsid w:val="00F83C40"/>
    <w:rsid w:val="00F85180"/>
    <w:rsid w:val="00F86EF1"/>
    <w:rsid w:val="00F91174"/>
    <w:rsid w:val="00FA004E"/>
    <w:rsid w:val="00FA34A9"/>
    <w:rsid w:val="00FA62DE"/>
    <w:rsid w:val="00FA7EF1"/>
    <w:rsid w:val="00FB298B"/>
    <w:rsid w:val="00FC25B1"/>
    <w:rsid w:val="00FD7C2E"/>
    <w:rsid w:val="00FE63DE"/>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6D1F"/>
  <w15:docId w15:val="{70AD2E2A-C226-4349-A961-7738B7B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paragraph" w:customStyle="1" w:styleId="HMG">
    <w:name w:val="_ H __M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240" w:line="360" w:lineRule="exact"/>
      <w:ind w:left="1134" w:right="1134" w:hanging="1134"/>
    </w:pPr>
    <w:rPr>
      <w:rFonts w:eastAsia="MS Mincho" w:hAnsi="Times New Roman" w:cs="Times New Roman"/>
      <w:b/>
      <w:color w:val="auto"/>
      <w:sz w:val="34"/>
      <w:szCs w:val="20"/>
      <w:bdr w:val="none" w:sz="0" w:space="0" w:color="auto"/>
      <w:lang w:val="en-GB" w:eastAsia="fr-FR"/>
    </w:rPr>
  </w:style>
  <w:style w:type="paragraph" w:customStyle="1" w:styleId="H23G">
    <w:name w:val="_ H_2/3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b/>
      <w:color w:val="auto"/>
      <w:sz w:val="20"/>
      <w:szCs w:val="20"/>
      <w:bdr w:val="none" w:sz="0" w:space="0" w:color="auto"/>
      <w:lang w:val="en-GB" w:eastAsia="fr-FR"/>
    </w:rPr>
  </w:style>
  <w:style w:type="paragraph" w:customStyle="1" w:styleId="H4G">
    <w:name w:val="_ H_4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i/>
      <w:color w:val="auto"/>
      <w:sz w:val="20"/>
      <w:szCs w:val="20"/>
      <w:bdr w:val="none" w:sz="0" w:space="0" w:color="auto"/>
      <w:lang w:val="en-GB" w:eastAsia="fr-FR"/>
    </w:rPr>
  </w:style>
  <w:style w:type="paragraph" w:customStyle="1" w:styleId="H56G">
    <w:name w:val="_ H_5/6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color w:val="auto"/>
      <w:sz w:val="20"/>
      <w:szCs w:val="20"/>
      <w:bdr w:val="none" w:sz="0" w:space="0" w:color="auto"/>
      <w:lang w:val="en-GB" w:eastAsia="fr-FR"/>
    </w:rPr>
  </w:style>
  <w:style w:type="paragraph" w:styleId="FootnoteText">
    <w:name w:val="footnote text"/>
    <w:basedOn w:val="Normal"/>
    <w:link w:val="FootnoteTextChar"/>
    <w:uiPriority w:val="99"/>
    <w:semiHidden/>
    <w:unhideWhenUsed/>
    <w:rsid w:val="003E3BF7"/>
    <w:rPr>
      <w:sz w:val="20"/>
      <w:szCs w:val="20"/>
    </w:rPr>
  </w:style>
  <w:style w:type="character" w:customStyle="1" w:styleId="FootnoteTextChar">
    <w:name w:val="Footnote Text Char"/>
    <w:basedOn w:val="DefaultParagraphFont"/>
    <w:link w:val="FootnoteText"/>
    <w:uiPriority w:val="99"/>
    <w:semiHidden/>
    <w:rsid w:val="003E3BF7"/>
    <w:rPr>
      <w:rFonts w:hAnsi="Arial Unicode MS" w:cs="Arial Unicode MS"/>
      <w:color w:val="000000"/>
      <w:u w:color="000000"/>
      <w:lang w:val="ru-RU"/>
    </w:rPr>
  </w:style>
  <w:style w:type="character" w:styleId="FootnoteReference">
    <w:name w:val="footnote reference"/>
    <w:basedOn w:val="DefaultParagraphFont"/>
    <w:uiPriority w:val="99"/>
    <w:semiHidden/>
    <w:unhideWhenUsed/>
    <w:rsid w:val="003E3BF7"/>
    <w:rPr>
      <w:vertAlign w:val="superscript"/>
    </w:rPr>
  </w:style>
  <w:style w:type="character" w:styleId="UnresolvedMention">
    <w:name w:val="Unresolved Mention"/>
    <w:basedOn w:val="DefaultParagraphFont"/>
    <w:uiPriority w:val="99"/>
    <w:semiHidden/>
    <w:unhideWhenUsed/>
    <w:rsid w:val="003E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0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unece.org%2Ftransport%2Fdocuments%2F2022%2F12%2Freports%2Freports-world-forum-harmonization-vehicle-regulations-its-188th&amp;data=05%7C01%7Cfrancois.guichard%40un.org%7C8dd2ebe9a880438e410208dad9565b73%7C0f9e35db544f4f60bdcc5ea416e6dc70%7C0%7C0%7C638061262165861181%7CUnknown%7CTWFpbGZsb3d8eyJWIjoiMC4wLjAwMDAiLCJQIjoiV2luMzIiLCJBTiI6Ik1haWwiLCJXVCI6Mn0%3D%7C3000%7C%7C%7C&amp;sdata=zPYXZuudx4udVsDeNY%2Fgp9skSU53r8GfhTKOMHznk20%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htsa.gov/staticfiles/rulemaking/pdf/V2V/Readiness-of-V2V-Technology-for-Application-812014.pdf" TargetMode="External"/><Relationship Id="rId1" Type="http://schemas.openxmlformats.org/officeDocument/2006/relationships/hyperlink" Target="https://www.nhtsa.gov/sites/nhtsa.gov/files/documents/v2v_pria_12-12-16_clea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22A1CBB-CBA4-492B-A4AB-318E37786A9F}">
  <ds:schemaRefs>
    <ds:schemaRef ds:uri="http://schemas.microsoft.com/sharepoint/v3/contenttype/forms"/>
  </ds:schemaRefs>
</ds:datastoreItem>
</file>

<file path=customXml/itemProps2.xml><?xml version="1.0" encoding="utf-8"?>
<ds:datastoreItem xmlns:ds="http://schemas.openxmlformats.org/officeDocument/2006/customXml" ds:itemID="{9F8D94BE-2CCD-4B44-8F0A-1E9F957B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30FD3-0FDF-4D95-9C29-27EC187AFDF6}">
  <ds:schemaRefs>
    <ds:schemaRef ds:uri="http://schemas.openxmlformats.org/officeDocument/2006/bibliography"/>
  </ds:schemaRefs>
</ds:datastoreItem>
</file>

<file path=customXml/itemProps4.xml><?xml version="1.0" encoding="utf-8"?>
<ds:datastoreItem xmlns:ds="http://schemas.openxmlformats.org/officeDocument/2006/customXml" ds:itemID="{4C2583FF-DACF-49CD-BD1E-83902BD3BF3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1542</Words>
  <Characters>8796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10318</CharactersWithSpaces>
  <SharedDoc>false</SharedDoc>
  <HLinks>
    <vt:vector size="18" baseType="variant">
      <vt:variant>
        <vt:i4>2752626</vt:i4>
      </vt:variant>
      <vt:variant>
        <vt:i4>0</vt:i4>
      </vt:variant>
      <vt:variant>
        <vt:i4>0</vt:i4>
      </vt:variant>
      <vt:variant>
        <vt:i4>5</vt:i4>
      </vt:variant>
      <vt:variant>
        <vt:lpwstr>https://eur02.safelinks.protection.outlook.com/?url=https%3A%2F%2Funece.org%2Ftransport%2Fdocuments%2F2022%2F12%2Freports%2Freports-world-forum-harmonization-vehicle-regulations-its-188th&amp;data=05%7C01%7Cfrancois.guichard%40un.org%7C8dd2ebe9a880438e410208dad9565b73%7C0f9e35db544f4f60bdcc5ea416e6dc70%7C0%7C0%7C638061262165861181%7CUnknown%7CTWFpbGZsb3d8eyJWIjoiMC4wLjAwMDAiLCJQIjoiV2luMzIiLCJBTiI6Ik1haWwiLCJXVCI6Mn0%3D%7C3000%7C%7C%7C&amp;sdata=zPYXZuudx4udVsDeNY%2Fgp9skSU53r8GfhTKOMHznk20%3D&amp;reserved=0</vt:lpwstr>
      </vt:variant>
      <vt:variant>
        <vt:lpwstr/>
      </vt:variant>
      <vt:variant>
        <vt:i4>2752609</vt:i4>
      </vt:variant>
      <vt:variant>
        <vt:i4>3</vt:i4>
      </vt:variant>
      <vt:variant>
        <vt:i4>0</vt:i4>
      </vt:variant>
      <vt:variant>
        <vt:i4>5</vt:i4>
      </vt:variant>
      <vt:variant>
        <vt:lpwstr>https://www.nhtsa.gov/staticfiles/rulemaking/pdf/V2V/Readiness-of-V2V-Technology-for-Application-812014.pdf</vt:lpwstr>
      </vt:variant>
      <vt:variant>
        <vt:lpwstr/>
      </vt:variant>
      <vt:variant>
        <vt:i4>1376380</vt:i4>
      </vt:variant>
      <vt:variant>
        <vt:i4>0</vt:i4>
      </vt:variant>
      <vt:variant>
        <vt:i4>0</vt:i4>
      </vt:variant>
      <vt:variant>
        <vt:i4>5</vt:i4>
      </vt:variant>
      <vt:variant>
        <vt:lpwstr>https://www.nhtsa.gov/sites/nhtsa.gov/files/documents/v2v_pria_12-12-16_clean.pdf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Guichard</dc:creator>
  <cp:keywords/>
  <cp:lastModifiedBy>Francois</cp:lastModifiedBy>
  <cp:revision>5</cp:revision>
  <cp:lastPrinted>2016-10-20T22:33:00Z</cp:lastPrinted>
  <dcterms:created xsi:type="dcterms:W3CDTF">2022-12-23T10:31:00Z</dcterms:created>
  <dcterms:modified xsi:type="dcterms:W3CDTF">2022-12-23T10:56:00Z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