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D9EA" w14:textId="20462959" w:rsidR="00200F6E" w:rsidRDefault="00200F6E" w:rsidP="00200F6E">
      <w:r>
        <w:rPr>
          <w:b/>
          <w:bCs/>
        </w:rPr>
        <w:t>Proposal to amend the draft FRAV interim submission to GRVA/WP.29</w:t>
      </w:r>
    </w:p>
    <w:p w14:paraId="1B4C05B6" w14:textId="41147B7C" w:rsidR="00200F6E" w:rsidRDefault="00200F6E" w:rsidP="00200F6E">
      <w:r>
        <w:t xml:space="preserve">Modifications to the existing text are marked in </w:t>
      </w:r>
      <w:r w:rsidRPr="00200F6E">
        <w:rPr>
          <w:b/>
          <w:bCs/>
        </w:rPr>
        <w:t>bold</w:t>
      </w:r>
      <w:r>
        <w:t xml:space="preserve"> for new or </w:t>
      </w:r>
      <w:r w:rsidRPr="00200F6E">
        <w:rPr>
          <w:strike/>
        </w:rPr>
        <w:t>strikethrough</w:t>
      </w:r>
      <w:r>
        <w:t xml:space="preserve"> for deleted characters.</w:t>
      </w:r>
    </w:p>
    <w:p w14:paraId="7797E493" w14:textId="4CBDA2B7" w:rsidR="00202312" w:rsidRDefault="00202312" w:rsidP="00202312">
      <w:pPr>
        <w:pStyle w:val="SingleTxtG"/>
        <w:ind w:left="1988" w:right="1138" w:hanging="850"/>
        <w:rPr>
          <w:sz w:val="22"/>
          <w:szCs w:val="22"/>
        </w:rPr>
      </w:pPr>
    </w:p>
    <w:p w14:paraId="4E077431" w14:textId="7A4F96BB" w:rsidR="008C3A73" w:rsidRPr="00FB15DF" w:rsidRDefault="00766C35" w:rsidP="00FB15DF">
      <w:pPr>
        <w:rPr>
          <w:b/>
          <w:bCs/>
          <w:u w:val="single"/>
        </w:rPr>
      </w:pPr>
      <w:r>
        <w:rPr>
          <w:b/>
          <w:bCs/>
          <w:u w:val="single"/>
        </w:rPr>
        <w:t>Proposal</w:t>
      </w:r>
      <w:r w:rsidR="004F5F37">
        <w:rPr>
          <w:b/>
          <w:bCs/>
          <w:u w:val="single"/>
        </w:rPr>
        <w:t xml:space="preserve"> </w:t>
      </w:r>
      <w:r w:rsidR="004F5F37">
        <w:rPr>
          <w:rFonts w:ascii="DengXian" w:eastAsia="DengXian" w:hAnsi="DengXian" w:hint="eastAsia"/>
          <w:b/>
          <w:bCs/>
          <w:u w:val="single"/>
          <w:lang w:eastAsia="zh-CN"/>
        </w:rPr>
        <w:t>#</w:t>
      </w:r>
      <w:r w:rsidR="004F5F37">
        <w:rPr>
          <w:b/>
          <w:bCs/>
          <w:u w:val="single"/>
        </w:rPr>
        <w:t>1</w:t>
      </w:r>
    </w:p>
    <w:p w14:paraId="469AF25E" w14:textId="01E30968" w:rsidR="00AF4451" w:rsidRDefault="00C81791" w:rsidP="006C2527">
      <w:pPr>
        <w:pStyle w:val="SingleTxtG"/>
        <w:ind w:left="1985" w:hanging="851"/>
        <w:rPr>
          <w:sz w:val="21"/>
          <w:lang w:eastAsia="ja-JP"/>
        </w:rPr>
      </w:pPr>
      <w:r>
        <w:rPr>
          <w:sz w:val="21"/>
          <w:lang w:eastAsia="ja-JP"/>
        </w:rPr>
        <w:t>3.11.</w:t>
      </w:r>
      <w:r w:rsidR="00761D44" w:rsidRPr="00B14DAC">
        <w:rPr>
          <w:b/>
          <w:sz w:val="21"/>
          <w:lang w:eastAsia="ja-JP"/>
        </w:rPr>
        <w:tab/>
      </w:r>
      <w:r w:rsidRPr="00C81791">
        <w:rPr>
          <w:rFonts w:hint="eastAsia"/>
          <w:sz w:val="21"/>
          <w:lang w:eastAsia="ja-JP"/>
        </w:rPr>
        <w:t>“</w:t>
      </w:r>
      <w:r w:rsidRPr="00C81791">
        <w:rPr>
          <w:sz w:val="21"/>
          <w:lang w:eastAsia="ja-JP"/>
        </w:rPr>
        <w:t>Operational Design Domain (ODD)” means the operating conditions under which an ADS feature is specifically designed to function.</w:t>
      </w:r>
      <w:r w:rsidRPr="00C81791">
        <w:rPr>
          <w:b/>
          <w:sz w:val="21"/>
          <w:vertAlign w:val="superscript"/>
          <w:lang w:eastAsia="ja-JP"/>
        </w:rPr>
        <w:t>5</w:t>
      </w:r>
    </w:p>
    <w:p w14:paraId="3D588237" w14:textId="43F05799" w:rsidR="00761D44" w:rsidRPr="00B14DAC" w:rsidRDefault="00C81791" w:rsidP="00C81791">
      <w:pPr>
        <w:pStyle w:val="SingleTxtG"/>
        <w:ind w:left="1985"/>
        <w:rPr>
          <w:b/>
          <w:sz w:val="21"/>
          <w:lang w:eastAsia="ja-JP"/>
        </w:rPr>
      </w:pPr>
      <w:r w:rsidRPr="00C81791">
        <w:rPr>
          <w:b/>
          <w:sz w:val="21"/>
          <w:vertAlign w:val="superscript"/>
          <w:lang w:eastAsia="ja-JP"/>
        </w:rPr>
        <w:t>5</w:t>
      </w:r>
      <w:r>
        <w:rPr>
          <w:b/>
          <w:sz w:val="21"/>
          <w:lang w:eastAsia="ja-JP"/>
        </w:rPr>
        <w:t xml:space="preserve"> In this document, the</w:t>
      </w:r>
      <w:r w:rsidRPr="00C81791">
        <w:rPr>
          <w:b/>
          <w:sz w:val="21"/>
          <w:lang w:eastAsia="ja-JP"/>
        </w:rPr>
        <w:t xml:space="preserve"> ODD only refers to the vehicle’s external environment condition. If all conditions are referred to, a different term can be defined</w:t>
      </w:r>
      <w:r>
        <w:rPr>
          <w:b/>
          <w:sz w:val="21"/>
          <w:lang w:eastAsia="ja-JP"/>
        </w:rPr>
        <w:t>.</w:t>
      </w:r>
    </w:p>
    <w:p w14:paraId="72810A28" w14:textId="004ABBA2" w:rsidR="00A9285D" w:rsidRPr="00A9285D" w:rsidRDefault="00A9285D" w:rsidP="006C2527">
      <w:pPr>
        <w:pStyle w:val="SingleTxtG"/>
        <w:ind w:left="1985" w:hanging="851"/>
        <w:rPr>
          <w:b/>
          <w:lang w:eastAsia="ja-JP"/>
        </w:rPr>
      </w:pPr>
    </w:p>
    <w:p w14:paraId="3D07C705" w14:textId="77777777" w:rsidR="00ED0CE9" w:rsidRDefault="00ED0CE9" w:rsidP="00ED0CE9">
      <w:pPr>
        <w:rPr>
          <w:lang w:val="en-GB"/>
        </w:rPr>
      </w:pPr>
      <w:r>
        <w:rPr>
          <w:u w:val="single"/>
          <w:lang w:val="en-GB"/>
        </w:rPr>
        <w:t>Justification</w:t>
      </w:r>
    </w:p>
    <w:p w14:paraId="6E6AD9CA" w14:textId="1607F255" w:rsidR="00ED0CE9" w:rsidRDefault="00005F02" w:rsidP="00ED0CE9">
      <w:pPr>
        <w:ind w:left="1138"/>
        <w:rPr>
          <w:sz w:val="20"/>
          <w:lang w:val="en-GB"/>
        </w:rPr>
      </w:pPr>
      <w:r>
        <w:rPr>
          <w:sz w:val="20"/>
          <w:lang w:val="en-GB"/>
        </w:rPr>
        <w:t>I</w:t>
      </w:r>
      <w:r w:rsidR="000E32E3">
        <w:rPr>
          <w:sz w:val="20"/>
          <w:lang w:val="en-GB"/>
        </w:rPr>
        <w:t>t’</w:t>
      </w:r>
      <w:r w:rsidR="00A16E23">
        <w:rPr>
          <w:sz w:val="20"/>
          <w:lang w:val="en-GB"/>
        </w:rPr>
        <w:t>s suggested to give some flexibility in terms of ODD</w:t>
      </w:r>
      <w:r w:rsidR="00B85D67">
        <w:rPr>
          <w:sz w:val="20"/>
          <w:lang w:val="en-GB"/>
        </w:rPr>
        <w:t xml:space="preserve"> </w:t>
      </w:r>
      <w:r w:rsidR="00A16E23">
        <w:rPr>
          <w:sz w:val="20"/>
          <w:lang w:val="en-GB"/>
        </w:rPr>
        <w:t xml:space="preserve">definition. For example, in the relevant Chinese national standards, ODD (external environment condition) is part of Operational Design Condition (ODC) alongside with vehicle status, driver/passenger conditions and other necessary conditions. </w:t>
      </w:r>
      <w:r>
        <w:rPr>
          <w:sz w:val="20"/>
          <w:lang w:val="en-GB"/>
        </w:rPr>
        <w:t>This proposal is also aligned with ISO 34501:2022, in which:</w:t>
      </w:r>
    </w:p>
    <w:p w14:paraId="05DFBBC4" w14:textId="347B0A74" w:rsidR="00005F02" w:rsidRPr="00005F02" w:rsidRDefault="00005F02" w:rsidP="00ED0CE9">
      <w:pPr>
        <w:ind w:left="1138"/>
        <w:rPr>
          <w:i/>
          <w:sz w:val="20"/>
          <w:lang w:val="en-GB" w:eastAsia="ja-JP"/>
        </w:rPr>
      </w:pPr>
      <w:r w:rsidRPr="00005F02">
        <w:rPr>
          <w:i/>
          <w:sz w:val="20"/>
          <w:lang w:val="en-GB" w:eastAsia="ja-JP"/>
        </w:rPr>
        <w:t>Note 1 to entry: In this document, the ODD only refers to the vehicle’s external environment condition. If all conditions are referred to, a different term can be defined. For example, the operational design condition then can be used to describe the overall design constraints of ADS and can be divided into ODD (external environment condition), vehicle status, driver/passenger conditions and other necessary conditions.</w:t>
      </w:r>
      <w:r>
        <w:rPr>
          <w:i/>
          <w:sz w:val="20"/>
          <w:lang w:val="en-GB" w:eastAsia="ja-JP"/>
        </w:rPr>
        <w:t xml:space="preserve"> [source: ISO 34501:2022]</w:t>
      </w:r>
    </w:p>
    <w:p w14:paraId="18EFA2D4" w14:textId="77777777" w:rsidR="004F5F37" w:rsidRPr="00ED0CE9" w:rsidRDefault="004F5F37" w:rsidP="004F5F37">
      <w:pPr>
        <w:rPr>
          <w:sz w:val="20"/>
          <w:lang w:val="en-GB"/>
        </w:rPr>
      </w:pPr>
    </w:p>
    <w:p w14:paraId="720B0F9B" w14:textId="5237E311" w:rsidR="004F5F37" w:rsidRPr="00FB15DF" w:rsidRDefault="004F5F37" w:rsidP="004F5F37">
      <w:pPr>
        <w:rPr>
          <w:b/>
          <w:bCs/>
          <w:u w:val="single"/>
        </w:rPr>
      </w:pPr>
      <w:r>
        <w:rPr>
          <w:b/>
          <w:bCs/>
          <w:u w:val="single"/>
        </w:rPr>
        <w:t xml:space="preserve">Proposal </w:t>
      </w:r>
      <w:r>
        <w:rPr>
          <w:rFonts w:ascii="DengXian" w:eastAsia="DengXian" w:hAnsi="DengXian" w:hint="eastAsia"/>
          <w:b/>
          <w:bCs/>
          <w:u w:val="single"/>
          <w:lang w:eastAsia="zh-CN"/>
        </w:rPr>
        <w:t>#</w:t>
      </w:r>
      <w:r>
        <w:rPr>
          <w:b/>
          <w:bCs/>
          <w:u w:val="single"/>
        </w:rPr>
        <w:t>2</w:t>
      </w:r>
    </w:p>
    <w:p w14:paraId="06CD7574" w14:textId="7F253CEB" w:rsidR="006079BA" w:rsidRPr="006079BA" w:rsidRDefault="006079BA" w:rsidP="006079BA">
      <w:pPr>
        <w:pStyle w:val="SingleTxtG"/>
        <w:ind w:left="1985" w:hanging="851"/>
        <w:rPr>
          <w:sz w:val="21"/>
          <w:lang w:eastAsia="ja-JP"/>
        </w:rPr>
      </w:pPr>
      <w:r w:rsidRPr="006079BA">
        <w:rPr>
          <w:strike/>
          <w:sz w:val="21"/>
          <w:lang w:eastAsia="ja-JP"/>
        </w:rPr>
        <w:t>4.8.</w:t>
      </w:r>
      <w:r w:rsidR="005E6AB2" w:rsidRPr="005E6AB2">
        <w:rPr>
          <w:sz w:val="21"/>
          <w:lang w:eastAsia="ja-JP"/>
        </w:rPr>
        <w:t xml:space="preserve"> </w:t>
      </w:r>
      <w:r w:rsidRPr="006079BA">
        <w:rPr>
          <w:b/>
          <w:sz w:val="21"/>
          <w:lang w:eastAsia="ja-JP"/>
        </w:rPr>
        <w:t>4.9.</w:t>
      </w:r>
      <w:r w:rsidRPr="006079BA">
        <w:rPr>
          <w:sz w:val="21"/>
          <w:lang w:eastAsia="ja-JP"/>
        </w:rPr>
        <w:tab/>
        <w:t>The manufacturer shall establish the ODD conditions and boundaries of each ADS feature in measurable and/or verifiable terms in accordance with Appendix A.</w:t>
      </w:r>
    </w:p>
    <w:p w14:paraId="216CD2A5" w14:textId="529F079E" w:rsidR="004F5F37" w:rsidRPr="00A9285D" w:rsidRDefault="006079BA" w:rsidP="006079BA">
      <w:pPr>
        <w:pStyle w:val="SingleTxtG"/>
        <w:ind w:left="1985" w:hanging="851"/>
        <w:rPr>
          <w:b/>
          <w:lang w:eastAsia="ja-JP"/>
        </w:rPr>
      </w:pPr>
      <w:r w:rsidRPr="006079BA">
        <w:rPr>
          <w:strike/>
          <w:sz w:val="21"/>
          <w:lang w:eastAsia="ja-JP"/>
        </w:rPr>
        <w:t>4.9.</w:t>
      </w:r>
      <w:r w:rsidR="005E6AB2" w:rsidRPr="005E6AB2">
        <w:rPr>
          <w:sz w:val="21"/>
          <w:lang w:eastAsia="ja-JP"/>
        </w:rPr>
        <w:t xml:space="preserve"> </w:t>
      </w:r>
      <w:r w:rsidRPr="006079BA">
        <w:rPr>
          <w:b/>
          <w:sz w:val="21"/>
          <w:lang w:eastAsia="ja-JP"/>
        </w:rPr>
        <w:t>4.8.</w:t>
      </w:r>
      <w:r w:rsidRPr="006079BA">
        <w:rPr>
          <w:sz w:val="21"/>
          <w:lang w:eastAsia="ja-JP"/>
        </w:rPr>
        <w:tab/>
        <w:t>The manufacturer shall list the potential faults identifiable by the diagnostic system(s) of the ADS.</w:t>
      </w:r>
    </w:p>
    <w:p w14:paraId="66D9C713" w14:textId="77777777" w:rsidR="004F5F37" w:rsidRDefault="004F5F37" w:rsidP="004F5F37">
      <w:pPr>
        <w:rPr>
          <w:lang w:val="en-GB"/>
        </w:rPr>
      </w:pPr>
      <w:r>
        <w:rPr>
          <w:u w:val="single"/>
          <w:lang w:val="en-GB"/>
        </w:rPr>
        <w:t>Justification</w:t>
      </w:r>
    </w:p>
    <w:p w14:paraId="17EA4563" w14:textId="77777777" w:rsidR="00CD3B9C" w:rsidRDefault="00D00A5F" w:rsidP="00A53BAB">
      <w:pPr>
        <w:ind w:left="1138"/>
        <w:rPr>
          <w:sz w:val="20"/>
          <w:lang w:val="en-GB"/>
        </w:rPr>
      </w:pPr>
      <w:r>
        <w:rPr>
          <w:sz w:val="20"/>
          <w:lang w:val="en-GB"/>
        </w:rPr>
        <w:t>It’s suggested to renumber these two paragraphs since in the following 5.8.5. and Appendix A</w:t>
      </w:r>
      <w:r w:rsidR="00CD3B9C">
        <w:rPr>
          <w:sz w:val="20"/>
          <w:lang w:val="en-GB"/>
        </w:rPr>
        <w:t xml:space="preserve"> are linked with renumbered 4.9., e.g. in the original text: </w:t>
      </w:r>
      <w:r>
        <w:rPr>
          <w:sz w:val="20"/>
          <w:lang w:val="en-GB"/>
        </w:rPr>
        <w:t xml:space="preserve"> </w:t>
      </w:r>
    </w:p>
    <w:p w14:paraId="3C465A82" w14:textId="72308D57" w:rsidR="004F5F37" w:rsidRDefault="00CD3B9C" w:rsidP="00A53BAB">
      <w:pPr>
        <w:ind w:left="1138"/>
        <w:rPr>
          <w:sz w:val="20"/>
          <w:lang w:val="en-GB" w:eastAsia="ja-JP"/>
        </w:rPr>
      </w:pPr>
      <w:r>
        <w:rPr>
          <w:sz w:val="20"/>
          <w:lang w:val="en-GB"/>
        </w:rPr>
        <w:t xml:space="preserve">5.8.5.        </w:t>
      </w:r>
      <w:r w:rsidRPr="00CD3B9C">
        <w:rPr>
          <w:sz w:val="20"/>
          <w:lang w:val="en-GB"/>
        </w:rPr>
        <w:t>The ADS shall recognise the conditions and boundaries of the ODD of its feature(s) pursuant to the manufacturer’s declaration under paragraph 4.9.</w:t>
      </w:r>
    </w:p>
    <w:p w14:paraId="3F7604FC" w14:textId="77777777" w:rsidR="006079BA" w:rsidRDefault="006079BA" w:rsidP="004F5F37">
      <w:pPr>
        <w:rPr>
          <w:sz w:val="20"/>
          <w:lang w:val="en-GB" w:eastAsia="ja-JP"/>
        </w:rPr>
      </w:pPr>
    </w:p>
    <w:p w14:paraId="71C5A4FC" w14:textId="286B91F6" w:rsidR="006079BA" w:rsidRPr="00FB15DF" w:rsidRDefault="006079BA" w:rsidP="006079BA">
      <w:pPr>
        <w:rPr>
          <w:b/>
          <w:bCs/>
          <w:u w:val="single"/>
        </w:rPr>
      </w:pPr>
      <w:r>
        <w:rPr>
          <w:b/>
          <w:bCs/>
          <w:u w:val="single"/>
        </w:rPr>
        <w:t xml:space="preserve">Proposal </w:t>
      </w:r>
      <w:r>
        <w:rPr>
          <w:rFonts w:ascii="DengXian" w:eastAsia="DengXian" w:hAnsi="DengXian" w:hint="eastAsia"/>
          <w:b/>
          <w:bCs/>
          <w:u w:val="single"/>
          <w:lang w:eastAsia="zh-CN"/>
        </w:rPr>
        <w:t>#</w:t>
      </w:r>
      <w:r>
        <w:rPr>
          <w:b/>
          <w:bCs/>
          <w:u w:val="single"/>
        </w:rPr>
        <w:t>3</w:t>
      </w:r>
    </w:p>
    <w:p w14:paraId="1FBFD338" w14:textId="7B1D8F8D" w:rsidR="006079BA" w:rsidRPr="00A9285D" w:rsidRDefault="006079BA" w:rsidP="006079BA">
      <w:pPr>
        <w:pStyle w:val="SingleTxtG"/>
        <w:ind w:left="1985" w:hanging="851"/>
        <w:rPr>
          <w:b/>
          <w:lang w:eastAsia="ja-JP"/>
        </w:rPr>
      </w:pPr>
      <w:r w:rsidRPr="006079BA">
        <w:rPr>
          <w:strike/>
          <w:sz w:val="21"/>
          <w:lang w:eastAsia="ja-JP"/>
        </w:rPr>
        <w:t>5.8.19.</w:t>
      </w:r>
      <w:r w:rsidRPr="006079BA">
        <w:rPr>
          <w:strike/>
          <w:sz w:val="21"/>
          <w:lang w:eastAsia="ja-JP"/>
        </w:rPr>
        <w:tab/>
        <w:t>The ADS shall signal its intention to place the vehicle in an MRC.</w:t>
      </w:r>
    </w:p>
    <w:p w14:paraId="1D16E0EA" w14:textId="77777777" w:rsidR="006079BA" w:rsidRDefault="006079BA" w:rsidP="006079BA">
      <w:pPr>
        <w:rPr>
          <w:lang w:val="en-GB"/>
        </w:rPr>
      </w:pPr>
      <w:r>
        <w:rPr>
          <w:u w:val="single"/>
          <w:lang w:val="en-GB"/>
        </w:rPr>
        <w:t>Justification</w:t>
      </w:r>
    </w:p>
    <w:p w14:paraId="11BF351F" w14:textId="6CC81598" w:rsidR="006079BA" w:rsidRDefault="00A53BAB" w:rsidP="006079BA">
      <w:pPr>
        <w:ind w:left="1138"/>
        <w:rPr>
          <w:sz w:val="20"/>
          <w:lang w:val="en-GB"/>
        </w:rPr>
      </w:pPr>
      <w:r>
        <w:rPr>
          <w:sz w:val="20"/>
          <w:lang w:val="en-GB"/>
        </w:rPr>
        <w:lastRenderedPageBreak/>
        <w:t>5.8.19. and 5.9.</w:t>
      </w:r>
      <w:r w:rsidR="00ED0CE9">
        <w:rPr>
          <w:sz w:val="20"/>
          <w:lang w:val="en-GB"/>
        </w:rPr>
        <w:t xml:space="preserve">5. both paragraphs are the same requirements which refer to the MRC. It’s suggested to only keep 5.9.5. under critical traffic scenarios. </w:t>
      </w:r>
    </w:p>
    <w:p w14:paraId="69D37E10" w14:textId="77777777" w:rsidR="006079BA" w:rsidRDefault="006079BA" w:rsidP="00A53BAB">
      <w:pPr>
        <w:rPr>
          <w:sz w:val="20"/>
          <w:lang w:val="en-GB"/>
        </w:rPr>
      </w:pPr>
    </w:p>
    <w:p w14:paraId="41983360" w14:textId="34F2A02E" w:rsidR="006079BA" w:rsidRPr="00FB15DF" w:rsidRDefault="006079BA" w:rsidP="006079BA">
      <w:pPr>
        <w:rPr>
          <w:b/>
          <w:bCs/>
          <w:u w:val="single"/>
        </w:rPr>
      </w:pPr>
      <w:r>
        <w:rPr>
          <w:b/>
          <w:bCs/>
          <w:u w:val="single"/>
        </w:rPr>
        <w:t xml:space="preserve">Proposal </w:t>
      </w:r>
      <w:r>
        <w:rPr>
          <w:rFonts w:ascii="DengXian" w:eastAsia="DengXian" w:hAnsi="DengXian" w:hint="eastAsia"/>
          <w:b/>
          <w:bCs/>
          <w:u w:val="single"/>
          <w:lang w:eastAsia="zh-CN"/>
        </w:rPr>
        <w:t>#</w:t>
      </w:r>
      <w:r>
        <w:rPr>
          <w:rFonts w:ascii="DengXian" w:eastAsia="DengXian" w:hAnsi="DengXian"/>
          <w:b/>
          <w:bCs/>
          <w:u w:val="single"/>
          <w:lang w:eastAsia="zh-CN"/>
        </w:rPr>
        <w:t>4</w:t>
      </w:r>
    </w:p>
    <w:p w14:paraId="06F7C0B8" w14:textId="4EE3A2C5" w:rsidR="006079BA" w:rsidRPr="00A9285D" w:rsidRDefault="006079BA" w:rsidP="006079BA">
      <w:pPr>
        <w:pStyle w:val="SingleTxtG"/>
        <w:ind w:left="1985" w:hanging="851"/>
        <w:rPr>
          <w:b/>
          <w:lang w:eastAsia="ja-JP"/>
        </w:rPr>
      </w:pPr>
      <w:r w:rsidRPr="006079BA">
        <w:rPr>
          <w:strike/>
          <w:sz w:val="21"/>
          <w:lang w:eastAsia="ja-JP"/>
        </w:rPr>
        <w:t>5.8.21.</w:t>
      </w:r>
      <w:r w:rsidRPr="006079BA">
        <w:rPr>
          <w:strike/>
          <w:sz w:val="21"/>
          <w:lang w:eastAsia="ja-JP"/>
        </w:rPr>
        <w:tab/>
        <w:t>The ADS shall avoid collisions with safety-relevant objects where possible.</w:t>
      </w:r>
    </w:p>
    <w:p w14:paraId="69A91A53" w14:textId="77777777" w:rsidR="006079BA" w:rsidRDefault="006079BA" w:rsidP="006079BA">
      <w:pPr>
        <w:rPr>
          <w:lang w:val="en-GB"/>
        </w:rPr>
      </w:pPr>
      <w:r>
        <w:rPr>
          <w:u w:val="single"/>
          <w:lang w:val="en-GB"/>
        </w:rPr>
        <w:t>Justification</w:t>
      </w:r>
    </w:p>
    <w:p w14:paraId="1F8C523D" w14:textId="14320575" w:rsidR="005E6AB2" w:rsidRDefault="005B646E" w:rsidP="00ED0CE9">
      <w:pPr>
        <w:ind w:left="1138"/>
        <w:rPr>
          <w:sz w:val="20"/>
          <w:lang w:val="en-GB"/>
        </w:rPr>
      </w:pPr>
      <w:r>
        <w:rPr>
          <w:sz w:val="20"/>
          <w:lang w:val="en-GB"/>
        </w:rPr>
        <w:t xml:space="preserve">Editorial issue, </w:t>
      </w:r>
      <w:r w:rsidR="00CB2D77">
        <w:rPr>
          <w:sz w:val="20"/>
          <w:lang w:val="en-GB"/>
        </w:rPr>
        <w:t xml:space="preserve">it is a repetition of the paragraph </w:t>
      </w:r>
      <w:r>
        <w:rPr>
          <w:sz w:val="20"/>
          <w:lang w:val="en-GB"/>
        </w:rPr>
        <w:t>5.8.17.</w:t>
      </w:r>
      <w:r w:rsidR="006079BA">
        <w:rPr>
          <w:sz w:val="20"/>
          <w:lang w:val="en-GB"/>
        </w:rPr>
        <w:t xml:space="preserve"> </w:t>
      </w:r>
    </w:p>
    <w:p w14:paraId="1C761F61" w14:textId="77777777" w:rsidR="00CE0ED8" w:rsidRDefault="00CE0ED8" w:rsidP="00ED0CE9">
      <w:pPr>
        <w:ind w:left="1138"/>
        <w:rPr>
          <w:sz w:val="20"/>
          <w:lang w:val="en-GB"/>
        </w:rPr>
      </w:pPr>
    </w:p>
    <w:p w14:paraId="5E67EFB7" w14:textId="46CC1D49" w:rsidR="005E6AB2" w:rsidRDefault="005E6AB2" w:rsidP="005E6AB2">
      <w:pPr>
        <w:rPr>
          <w:rFonts w:ascii="DengXian" w:eastAsia="DengXian" w:hAnsi="DengXian"/>
          <w:b/>
          <w:bCs/>
          <w:u w:val="single"/>
          <w:lang w:eastAsia="zh-CN"/>
        </w:rPr>
      </w:pPr>
      <w:r>
        <w:rPr>
          <w:b/>
          <w:bCs/>
          <w:u w:val="single"/>
        </w:rPr>
        <w:t xml:space="preserve">Proposal </w:t>
      </w:r>
      <w:r>
        <w:rPr>
          <w:rFonts w:ascii="DengXian" w:eastAsia="DengXian" w:hAnsi="DengXian" w:hint="eastAsia"/>
          <w:b/>
          <w:bCs/>
          <w:u w:val="single"/>
          <w:lang w:eastAsia="zh-CN"/>
        </w:rPr>
        <w:t>#</w:t>
      </w:r>
      <w:r>
        <w:rPr>
          <w:rFonts w:ascii="DengXian" w:eastAsia="DengXian" w:hAnsi="DengXian"/>
          <w:b/>
          <w:bCs/>
          <w:u w:val="single"/>
          <w:lang w:eastAsia="zh-CN"/>
        </w:rPr>
        <w:t>5</w:t>
      </w:r>
    </w:p>
    <w:p w14:paraId="67AE65B2" w14:textId="5DC1A4CA" w:rsidR="005E6AB2" w:rsidRPr="005E6AB2" w:rsidRDefault="005E6AB2" w:rsidP="005E6AB2">
      <w:pPr>
        <w:rPr>
          <w:rFonts w:eastAsia="DengXian"/>
          <w:bCs/>
          <w:lang w:eastAsia="zh-CN"/>
        </w:rPr>
      </w:pPr>
      <w:r w:rsidRPr="005E6AB2">
        <w:rPr>
          <w:rFonts w:eastAsia="DengXian"/>
          <w:bCs/>
          <w:lang w:eastAsia="zh-CN"/>
        </w:rPr>
        <w:t xml:space="preserve">Move the </w:t>
      </w:r>
      <w:r>
        <w:rPr>
          <w:rFonts w:eastAsia="DengXian"/>
          <w:bCs/>
          <w:lang w:eastAsia="zh-CN"/>
        </w:rPr>
        <w:t>following paragraphs to 5.10 section.</w:t>
      </w:r>
    </w:p>
    <w:p w14:paraId="4F10BA7E" w14:textId="77777777" w:rsidR="005E6AB2" w:rsidRPr="0000416D" w:rsidRDefault="005E6AB2" w:rsidP="005E6AB2">
      <w:pPr>
        <w:spacing w:before="120" w:after="120"/>
        <w:ind w:left="2276" w:right="1138" w:hanging="1138"/>
        <w:rPr>
          <w:bCs/>
          <w:lang w:val="en-GB"/>
        </w:rPr>
      </w:pPr>
      <w:r w:rsidRPr="0000416D">
        <w:rPr>
          <w:bCs/>
          <w:lang w:val="en-GB"/>
        </w:rPr>
        <w:t>5.9.4.</w:t>
      </w:r>
      <w:r w:rsidRPr="0000416D">
        <w:rPr>
          <w:bCs/>
          <w:lang w:val="en-GB"/>
        </w:rPr>
        <w:tab/>
      </w:r>
      <w:bookmarkStart w:id="0" w:name="_Hlk123908413"/>
      <w:r w:rsidRPr="0000416D">
        <w:rPr>
          <w:bCs/>
          <w:lang w:val="en-GB"/>
        </w:rPr>
        <w:t>The ADS shall execute a fallback response in the event of a failure in the ADS and/or other vehicle system that prevents the ADS from performing the DDT.</w:t>
      </w:r>
      <w:bookmarkEnd w:id="0"/>
    </w:p>
    <w:p w14:paraId="4FCF5927" w14:textId="77777777" w:rsidR="005E6AB2" w:rsidRPr="0000416D" w:rsidRDefault="005E6AB2" w:rsidP="005E6AB2">
      <w:pPr>
        <w:spacing w:before="120" w:after="120"/>
        <w:ind w:left="2276" w:right="1138" w:hanging="1138"/>
        <w:rPr>
          <w:bCs/>
          <w:lang w:val="en-GB"/>
        </w:rPr>
      </w:pPr>
      <w:r w:rsidRPr="0000416D">
        <w:rPr>
          <w:bCs/>
          <w:lang w:val="en-GB"/>
        </w:rPr>
        <w:t>5.9.4.1.</w:t>
      </w:r>
      <w:r w:rsidRPr="0000416D">
        <w:rPr>
          <w:bCs/>
          <w:lang w:val="en-GB"/>
        </w:rPr>
        <w:tab/>
      </w:r>
      <w:bookmarkStart w:id="1" w:name="_Hlk123908432"/>
      <w:r w:rsidRPr="0000416D">
        <w:rPr>
          <w:bCs/>
          <w:lang w:val="en-GB"/>
        </w:rPr>
        <w:t>In the absence of a fallback-ready user, the ADS should fall back directly to an MRC.</w:t>
      </w:r>
      <w:bookmarkEnd w:id="1"/>
    </w:p>
    <w:p w14:paraId="609BFDCA" w14:textId="77777777" w:rsidR="005E6AB2" w:rsidRPr="0000416D" w:rsidRDefault="005E6AB2" w:rsidP="005E6AB2">
      <w:pPr>
        <w:spacing w:before="120" w:after="120"/>
        <w:ind w:left="2276" w:right="1138" w:hanging="1138"/>
        <w:rPr>
          <w:bCs/>
          <w:lang w:val="en-GB"/>
        </w:rPr>
      </w:pPr>
      <w:r w:rsidRPr="0000416D">
        <w:rPr>
          <w:bCs/>
          <w:lang w:val="en-GB"/>
        </w:rPr>
        <w:t>5.9.4.2.</w:t>
      </w:r>
      <w:r w:rsidRPr="0000416D">
        <w:rPr>
          <w:bCs/>
          <w:lang w:val="en-GB"/>
        </w:rPr>
        <w:tab/>
      </w:r>
      <w:bookmarkStart w:id="2" w:name="_Hlk123908453"/>
      <w:r w:rsidRPr="0000416D">
        <w:rPr>
          <w:bCs/>
          <w:lang w:val="en-GB"/>
        </w:rPr>
        <w:t>If the ADS is designed to request and enable intervention by a human driver, the ADS should execute [an MRM] in the event of a failure in the transition of control to the user.</w:t>
      </w:r>
      <w:bookmarkEnd w:id="2"/>
    </w:p>
    <w:p w14:paraId="5B64194E" w14:textId="77777777" w:rsidR="005E6AB2" w:rsidRPr="0000416D" w:rsidRDefault="005E6AB2" w:rsidP="005E6AB2">
      <w:pPr>
        <w:spacing w:before="120" w:after="120"/>
        <w:ind w:left="2276" w:right="1138" w:hanging="1138"/>
        <w:rPr>
          <w:bCs/>
          <w:lang w:val="en-GB"/>
        </w:rPr>
      </w:pPr>
      <w:r w:rsidRPr="0000416D">
        <w:rPr>
          <w:lang w:val="en-GB"/>
        </w:rPr>
        <w:t>5.9.4.2.1.</w:t>
      </w:r>
      <w:r w:rsidRPr="0000416D">
        <w:rPr>
          <w:lang w:val="en-GB"/>
        </w:rPr>
        <w:tab/>
      </w:r>
      <w:bookmarkStart w:id="3" w:name="_Hlk123908473"/>
      <w:r w:rsidRPr="0000416D">
        <w:rPr>
          <w:bCs/>
          <w:lang w:val="en-GB"/>
        </w:rPr>
        <w:t>Upon completion of [an MRM], a user may be permitted to assume control of the vehicle.</w:t>
      </w:r>
      <w:bookmarkEnd w:id="3"/>
    </w:p>
    <w:p w14:paraId="2A2BA6E5" w14:textId="77777777" w:rsidR="005E6AB2" w:rsidRPr="0000416D" w:rsidRDefault="005E6AB2" w:rsidP="005E6AB2">
      <w:pPr>
        <w:spacing w:before="120" w:after="120"/>
        <w:ind w:left="2276" w:right="1138" w:hanging="1138"/>
        <w:rPr>
          <w:bCs/>
          <w:lang w:val="en-GB"/>
        </w:rPr>
      </w:pPr>
      <w:r w:rsidRPr="0000416D">
        <w:rPr>
          <w:bCs/>
          <w:lang w:val="en-GB"/>
        </w:rPr>
        <w:t>5.9.4.2.2.</w:t>
      </w:r>
      <w:r w:rsidRPr="0000416D">
        <w:rPr>
          <w:bCs/>
          <w:lang w:val="en-GB"/>
        </w:rPr>
        <w:tab/>
      </w:r>
      <w:bookmarkStart w:id="4" w:name="_Hlk123908494"/>
      <w:r w:rsidRPr="0000416D">
        <w:rPr>
          <w:bCs/>
          <w:lang w:val="en-GB"/>
        </w:rPr>
        <w:t>The user should be permitted to [override] the ADS to assume full control over the vehicle.</w:t>
      </w:r>
      <w:bookmarkEnd w:id="4"/>
    </w:p>
    <w:p w14:paraId="1F5FEE23" w14:textId="77777777" w:rsidR="005E6AB2" w:rsidRDefault="005E6AB2" w:rsidP="005E6AB2">
      <w:pPr>
        <w:rPr>
          <w:lang w:val="en-GB"/>
        </w:rPr>
      </w:pPr>
      <w:r>
        <w:rPr>
          <w:u w:val="single"/>
          <w:lang w:val="en-GB"/>
        </w:rPr>
        <w:t>Justification</w:t>
      </w:r>
    </w:p>
    <w:p w14:paraId="3E3F6A4A" w14:textId="738CE48B" w:rsidR="005E6AB2" w:rsidRPr="008658F1" w:rsidRDefault="005E6AB2" w:rsidP="005E6AB2">
      <w:pPr>
        <w:ind w:left="1138"/>
        <w:rPr>
          <w:sz w:val="20"/>
          <w:lang w:val="en-GB" w:eastAsia="ja-JP"/>
        </w:rPr>
      </w:pPr>
      <w:r>
        <w:rPr>
          <w:sz w:val="20"/>
          <w:lang w:val="en-GB"/>
        </w:rPr>
        <w:t>5.9.4</w:t>
      </w:r>
      <w:r w:rsidR="005B646E">
        <w:rPr>
          <w:sz w:val="20"/>
          <w:lang w:val="en-GB"/>
        </w:rPr>
        <w:t>.</w:t>
      </w:r>
      <w:r>
        <w:rPr>
          <w:sz w:val="20"/>
          <w:lang w:val="en-GB"/>
        </w:rPr>
        <w:t xml:space="preserve"> and its sub-paragraphs are</w:t>
      </w:r>
      <w:r w:rsidR="005B646E">
        <w:rPr>
          <w:sz w:val="20"/>
          <w:lang w:val="en-GB"/>
        </w:rPr>
        <w:t xml:space="preserve"> related to the failure situation which more relevant for 5.10. section, i.e. ADS Performance of the DDT under System Failure Scenarios.</w:t>
      </w:r>
      <w:r>
        <w:rPr>
          <w:sz w:val="20"/>
          <w:lang w:val="en-GB"/>
        </w:rPr>
        <w:t xml:space="preserve"> </w:t>
      </w:r>
    </w:p>
    <w:p w14:paraId="63BCD5EE" w14:textId="77777777" w:rsidR="005E6AB2" w:rsidRPr="005E6AB2" w:rsidRDefault="005E6AB2" w:rsidP="006079BA">
      <w:pPr>
        <w:ind w:left="1138"/>
        <w:rPr>
          <w:sz w:val="20"/>
          <w:lang w:val="en-GB" w:eastAsia="ja-JP"/>
        </w:rPr>
      </w:pPr>
    </w:p>
    <w:p w14:paraId="465EE587" w14:textId="77777777" w:rsidR="006079BA" w:rsidRPr="006079BA" w:rsidRDefault="006079BA" w:rsidP="006079BA">
      <w:pPr>
        <w:ind w:left="1138"/>
        <w:rPr>
          <w:sz w:val="20"/>
          <w:lang w:val="en-GB" w:eastAsia="ja-JP"/>
        </w:rPr>
      </w:pPr>
    </w:p>
    <w:p w14:paraId="2DAA1A74" w14:textId="77777777" w:rsidR="006079BA" w:rsidRPr="006079BA" w:rsidRDefault="006079BA" w:rsidP="004F5F37">
      <w:pPr>
        <w:rPr>
          <w:sz w:val="20"/>
          <w:lang w:val="en-GB" w:eastAsia="ja-JP"/>
        </w:rPr>
      </w:pPr>
    </w:p>
    <w:sectPr w:rsidR="006079BA" w:rsidRPr="00607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0078" w14:textId="77777777" w:rsidR="00873EE6" w:rsidRDefault="00873EE6" w:rsidP="00200F6E">
      <w:pPr>
        <w:spacing w:after="0" w:line="240" w:lineRule="auto"/>
      </w:pPr>
      <w:r>
        <w:separator/>
      </w:r>
    </w:p>
  </w:endnote>
  <w:endnote w:type="continuationSeparator" w:id="0">
    <w:p w14:paraId="2AE66D60" w14:textId="77777777" w:rsidR="00873EE6" w:rsidRDefault="00873EE6" w:rsidP="0020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DEC5" w14:textId="77777777" w:rsidR="00073E28" w:rsidRDefault="00073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0183" w14:textId="77777777" w:rsidR="00073E28" w:rsidRDefault="00073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4706" w14:textId="77777777" w:rsidR="00073E28" w:rsidRDefault="0007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4F04" w14:textId="77777777" w:rsidR="00873EE6" w:rsidRDefault="00873EE6" w:rsidP="00200F6E">
      <w:pPr>
        <w:spacing w:after="0" w:line="240" w:lineRule="auto"/>
      </w:pPr>
      <w:r>
        <w:separator/>
      </w:r>
    </w:p>
  </w:footnote>
  <w:footnote w:type="continuationSeparator" w:id="0">
    <w:p w14:paraId="442CAA2A" w14:textId="77777777" w:rsidR="00873EE6" w:rsidRDefault="00873EE6" w:rsidP="0020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C980" w14:textId="77777777" w:rsidR="00073E28" w:rsidRDefault="00073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7F4" w14:textId="7ABBC6AD" w:rsidR="00200F6E" w:rsidRDefault="00200F6E">
    <w:pPr>
      <w:pStyle w:val="Header"/>
      <w:rPr>
        <w:rFonts w:ascii="Roboto" w:hAnsi="Roboto"/>
        <w:sz w:val="20"/>
        <w:szCs w:val="20"/>
      </w:rPr>
    </w:pPr>
    <w:r w:rsidRPr="00200F6E">
      <w:rPr>
        <w:rFonts w:ascii="Roboto" w:hAnsi="Roboto"/>
        <w:sz w:val="20"/>
        <w:szCs w:val="20"/>
      </w:rPr>
      <w:t>Submitted by the expert</w:t>
    </w:r>
    <w:r w:rsidR="00C345E9">
      <w:rPr>
        <w:rFonts w:ascii="Roboto" w:hAnsi="Roboto"/>
        <w:sz w:val="20"/>
        <w:szCs w:val="20"/>
      </w:rPr>
      <w:t>s</w:t>
    </w:r>
    <w:r w:rsidR="00C17BCC">
      <w:rPr>
        <w:rFonts w:ascii="Roboto" w:hAnsi="Roboto"/>
        <w:sz w:val="20"/>
        <w:szCs w:val="20"/>
      </w:rPr>
      <w:t xml:space="preserve"> from</w:t>
    </w:r>
    <w:r w:rsidR="00A16E23">
      <w:rPr>
        <w:rFonts w:ascii="Roboto" w:hAnsi="Roboto"/>
        <w:sz w:val="20"/>
        <w:szCs w:val="20"/>
      </w:rPr>
      <w:t xml:space="preserve"> </w:t>
    </w:r>
    <w:r w:rsidR="00073E28" w:rsidRPr="00073E28">
      <w:rPr>
        <w:rFonts w:ascii="Roboto" w:hAnsi="Roboto" w:hint="eastAsia"/>
        <w:sz w:val="20"/>
        <w:szCs w:val="20"/>
      </w:rPr>
      <w:t>CHINA</w:t>
    </w:r>
    <w:r w:rsidR="00DA0AC6">
      <w:rPr>
        <w:rFonts w:ascii="Roboto" w:hAnsi="Roboto"/>
        <w:sz w:val="20"/>
        <w:szCs w:val="20"/>
      </w:rPr>
      <w:tab/>
    </w:r>
    <w:r w:rsidR="00DA0AC6">
      <w:rPr>
        <w:rFonts w:ascii="Roboto" w:hAnsi="Roboto"/>
        <w:sz w:val="20"/>
        <w:szCs w:val="20"/>
      </w:rPr>
      <w:tab/>
      <w:t>Document FRAV-</w:t>
    </w:r>
    <w:r w:rsidR="00B14DAC">
      <w:rPr>
        <w:rFonts w:ascii="Roboto" w:hAnsi="Roboto" w:hint="eastAsia"/>
        <w:sz w:val="20"/>
        <w:szCs w:val="20"/>
        <w:lang w:eastAsia="ja-JP"/>
      </w:rPr>
      <w:t>3</w:t>
    </w:r>
    <w:r w:rsidR="00B14DAC">
      <w:rPr>
        <w:rFonts w:ascii="Roboto" w:hAnsi="Roboto"/>
        <w:sz w:val="20"/>
        <w:szCs w:val="20"/>
        <w:lang w:eastAsia="ja-JP"/>
      </w:rPr>
      <w:t>9</w:t>
    </w:r>
    <w:r w:rsidR="007A44DB">
      <w:rPr>
        <w:rFonts w:ascii="Roboto" w:hAnsi="Roboto"/>
        <w:sz w:val="20"/>
        <w:szCs w:val="20"/>
      </w:rPr>
      <w:t>-</w:t>
    </w:r>
    <w:r w:rsidR="00C85363">
      <w:rPr>
        <w:rFonts w:ascii="Roboto" w:hAnsi="Roboto"/>
        <w:sz w:val="20"/>
        <w:szCs w:val="20"/>
        <w:lang w:eastAsia="ja-JP"/>
      </w:rPr>
      <w:t>13</w:t>
    </w:r>
  </w:p>
  <w:p w14:paraId="5C59BB59" w14:textId="6216F287" w:rsidR="00200F6E" w:rsidRDefault="00DA0AC6">
    <w:pPr>
      <w:pStyle w:val="Header"/>
      <w:rPr>
        <w:rFonts w:ascii="Roboto" w:hAnsi="Roboto"/>
        <w:sz w:val="20"/>
        <w:szCs w:val="20"/>
      </w:rPr>
    </w:pPr>
    <w:r>
      <w:rPr>
        <w:rFonts w:ascii="Roboto" w:hAnsi="Roboto"/>
        <w:sz w:val="20"/>
        <w:szCs w:val="20"/>
      </w:rPr>
      <w:tab/>
    </w:r>
    <w:r>
      <w:rPr>
        <w:rFonts w:ascii="Roboto" w:hAnsi="Roboto"/>
        <w:sz w:val="20"/>
        <w:szCs w:val="20"/>
      </w:rPr>
      <w:tab/>
    </w:r>
    <w:r w:rsidR="00B14DAC">
      <w:rPr>
        <w:rFonts w:ascii="Roboto" w:hAnsi="Roboto" w:hint="eastAsia"/>
        <w:sz w:val="20"/>
        <w:szCs w:val="20"/>
        <w:lang w:eastAsia="ja-JP"/>
      </w:rPr>
      <w:t>3</w:t>
    </w:r>
    <w:r w:rsidR="00B14DAC">
      <w:rPr>
        <w:rFonts w:ascii="Roboto" w:hAnsi="Roboto"/>
        <w:sz w:val="20"/>
        <w:szCs w:val="20"/>
        <w:lang w:eastAsia="ja-JP"/>
      </w:rPr>
      <w:t>9</w:t>
    </w:r>
    <w:r>
      <w:rPr>
        <w:rFonts w:ascii="Roboto" w:hAnsi="Roboto"/>
        <w:sz w:val="20"/>
        <w:szCs w:val="20"/>
        <w:vertAlign w:val="superscript"/>
      </w:rPr>
      <w:t>th</w:t>
    </w:r>
    <w:r w:rsidR="00200F6E">
      <w:rPr>
        <w:rFonts w:ascii="Roboto" w:hAnsi="Roboto"/>
        <w:sz w:val="20"/>
        <w:szCs w:val="20"/>
      </w:rPr>
      <w:t xml:space="preserve"> FRAV session</w:t>
    </w:r>
  </w:p>
  <w:p w14:paraId="362D4144" w14:textId="5387A600" w:rsidR="00200F6E" w:rsidRDefault="00DA0AC6">
    <w:pPr>
      <w:pStyle w:val="Header"/>
      <w:rPr>
        <w:rFonts w:ascii="Roboto" w:hAnsi="Roboto"/>
        <w:sz w:val="20"/>
        <w:szCs w:val="20"/>
      </w:rPr>
    </w:pPr>
    <w:r>
      <w:rPr>
        <w:rFonts w:ascii="Roboto" w:hAnsi="Roboto"/>
        <w:sz w:val="20"/>
        <w:szCs w:val="20"/>
      </w:rPr>
      <w:tab/>
    </w:r>
    <w:r>
      <w:rPr>
        <w:rFonts w:ascii="Roboto" w:hAnsi="Roboto"/>
        <w:sz w:val="20"/>
        <w:szCs w:val="20"/>
      </w:rPr>
      <w:tab/>
    </w:r>
    <w:r w:rsidR="00B14DAC">
      <w:rPr>
        <w:rFonts w:ascii="Roboto" w:hAnsi="Roboto" w:hint="eastAsia"/>
        <w:sz w:val="20"/>
        <w:szCs w:val="20"/>
        <w:lang w:eastAsia="ja-JP"/>
      </w:rPr>
      <w:t>2</w:t>
    </w:r>
    <w:r w:rsidR="00B14DAC">
      <w:rPr>
        <w:rFonts w:ascii="Roboto" w:hAnsi="Roboto"/>
        <w:sz w:val="20"/>
        <w:szCs w:val="20"/>
        <w:lang w:eastAsia="ja-JP"/>
      </w:rPr>
      <w:t>6</w:t>
    </w:r>
    <w:r>
      <w:rPr>
        <w:rFonts w:ascii="Roboto" w:hAnsi="Roboto"/>
        <w:sz w:val="20"/>
        <w:szCs w:val="20"/>
      </w:rPr>
      <w:t>-</w:t>
    </w:r>
    <w:r w:rsidR="00B14DAC">
      <w:rPr>
        <w:rFonts w:ascii="Roboto" w:hAnsi="Roboto" w:hint="eastAsia"/>
        <w:sz w:val="20"/>
        <w:szCs w:val="20"/>
        <w:lang w:eastAsia="ja-JP"/>
      </w:rPr>
      <w:t>2</w:t>
    </w:r>
    <w:r w:rsidR="00B14DAC">
      <w:rPr>
        <w:rFonts w:ascii="Roboto" w:hAnsi="Roboto"/>
        <w:sz w:val="20"/>
        <w:szCs w:val="20"/>
        <w:lang w:eastAsia="ja-JP"/>
      </w:rPr>
      <w:t>8</w:t>
    </w:r>
    <w:r w:rsidR="00200F6E">
      <w:rPr>
        <w:rFonts w:ascii="Roboto" w:hAnsi="Roboto"/>
        <w:sz w:val="20"/>
        <w:szCs w:val="20"/>
      </w:rPr>
      <w:t xml:space="preserve"> </w:t>
    </w:r>
    <w:r w:rsidR="00B14DAC">
      <w:rPr>
        <w:rFonts w:ascii="Roboto" w:hAnsi="Roboto"/>
        <w:sz w:val="20"/>
        <w:szCs w:val="20"/>
      </w:rPr>
      <w:t>April</w:t>
    </w:r>
    <w:r>
      <w:rPr>
        <w:rFonts w:ascii="Roboto" w:hAnsi="Roboto"/>
        <w:sz w:val="20"/>
        <w:szCs w:val="20"/>
      </w:rPr>
      <w:t xml:space="preserve"> 2023</w:t>
    </w:r>
  </w:p>
  <w:p w14:paraId="1C12FCE4" w14:textId="77777777" w:rsidR="00200F6E" w:rsidRPr="00200F6E" w:rsidRDefault="00200F6E">
    <w:pPr>
      <w:pStyle w:val="Header"/>
      <w:rPr>
        <w:rFonts w:ascii="Roboto" w:hAnsi="Robo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A870" w14:textId="77777777" w:rsidR="00073E28" w:rsidRDefault="0007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35760946">
    <w:abstractNumId w:val="2"/>
  </w:num>
  <w:num w:numId="2" w16cid:durableId="1642610630">
    <w:abstractNumId w:val="0"/>
  </w:num>
  <w:num w:numId="3" w16cid:durableId="765884786">
    <w:abstractNumId w:val="0"/>
  </w:num>
  <w:num w:numId="4" w16cid:durableId="1123498199">
    <w:abstractNumId w:val="0"/>
  </w:num>
  <w:num w:numId="5" w16cid:durableId="1947153406">
    <w:abstractNumId w:val="0"/>
  </w:num>
  <w:num w:numId="6" w16cid:durableId="2552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6E"/>
    <w:rsid w:val="00005F02"/>
    <w:rsid w:val="000669BD"/>
    <w:rsid w:val="00073E28"/>
    <w:rsid w:val="00093BE6"/>
    <w:rsid w:val="000A2A19"/>
    <w:rsid w:val="000E32E3"/>
    <w:rsid w:val="000E491E"/>
    <w:rsid w:val="00102C3E"/>
    <w:rsid w:val="001377F9"/>
    <w:rsid w:val="00153942"/>
    <w:rsid w:val="001619A0"/>
    <w:rsid w:val="00163950"/>
    <w:rsid w:val="00197E7A"/>
    <w:rsid w:val="001C5BB4"/>
    <w:rsid w:val="00200F6E"/>
    <w:rsid w:val="00202312"/>
    <w:rsid w:val="00216E57"/>
    <w:rsid w:val="0023750C"/>
    <w:rsid w:val="0024428D"/>
    <w:rsid w:val="0026208B"/>
    <w:rsid w:val="0026556E"/>
    <w:rsid w:val="00273EFB"/>
    <w:rsid w:val="00297A2C"/>
    <w:rsid w:val="002D5B05"/>
    <w:rsid w:val="002E2822"/>
    <w:rsid w:val="002E537A"/>
    <w:rsid w:val="002F5896"/>
    <w:rsid w:val="003034A6"/>
    <w:rsid w:val="0030681B"/>
    <w:rsid w:val="0036366F"/>
    <w:rsid w:val="0039107E"/>
    <w:rsid w:val="00394704"/>
    <w:rsid w:val="00394E2A"/>
    <w:rsid w:val="003A2A08"/>
    <w:rsid w:val="0042254E"/>
    <w:rsid w:val="00462D4F"/>
    <w:rsid w:val="00465AB6"/>
    <w:rsid w:val="00473FC8"/>
    <w:rsid w:val="004C275D"/>
    <w:rsid w:val="004C2899"/>
    <w:rsid w:val="004C3E25"/>
    <w:rsid w:val="004C6936"/>
    <w:rsid w:val="004C6A18"/>
    <w:rsid w:val="004D5CA3"/>
    <w:rsid w:val="004E4A62"/>
    <w:rsid w:val="004F5F37"/>
    <w:rsid w:val="0050330D"/>
    <w:rsid w:val="005034CB"/>
    <w:rsid w:val="00542BEA"/>
    <w:rsid w:val="00564E1E"/>
    <w:rsid w:val="0058038E"/>
    <w:rsid w:val="005804A1"/>
    <w:rsid w:val="00592215"/>
    <w:rsid w:val="005B0CF4"/>
    <w:rsid w:val="005B19EB"/>
    <w:rsid w:val="005B646E"/>
    <w:rsid w:val="005E6AB2"/>
    <w:rsid w:val="00604B6A"/>
    <w:rsid w:val="00604FD9"/>
    <w:rsid w:val="006079BA"/>
    <w:rsid w:val="00624947"/>
    <w:rsid w:val="00624D14"/>
    <w:rsid w:val="006569C8"/>
    <w:rsid w:val="006823A8"/>
    <w:rsid w:val="0069676E"/>
    <w:rsid w:val="006C2527"/>
    <w:rsid w:val="006E183C"/>
    <w:rsid w:val="006E5F0F"/>
    <w:rsid w:val="00714AFB"/>
    <w:rsid w:val="00732829"/>
    <w:rsid w:val="00761D44"/>
    <w:rsid w:val="00766C35"/>
    <w:rsid w:val="00780A95"/>
    <w:rsid w:val="00794D68"/>
    <w:rsid w:val="007A44DB"/>
    <w:rsid w:val="007A5A9C"/>
    <w:rsid w:val="007D296F"/>
    <w:rsid w:val="007F3E1E"/>
    <w:rsid w:val="007F674A"/>
    <w:rsid w:val="00830A1D"/>
    <w:rsid w:val="008370F4"/>
    <w:rsid w:val="00845931"/>
    <w:rsid w:val="00853318"/>
    <w:rsid w:val="008658F1"/>
    <w:rsid w:val="00873EE6"/>
    <w:rsid w:val="00885FE0"/>
    <w:rsid w:val="00890F45"/>
    <w:rsid w:val="008C0866"/>
    <w:rsid w:val="008C3A73"/>
    <w:rsid w:val="008F6A10"/>
    <w:rsid w:val="008F7362"/>
    <w:rsid w:val="00984231"/>
    <w:rsid w:val="009E5029"/>
    <w:rsid w:val="00A12200"/>
    <w:rsid w:val="00A1374D"/>
    <w:rsid w:val="00A16E23"/>
    <w:rsid w:val="00A355F7"/>
    <w:rsid w:val="00A356D8"/>
    <w:rsid w:val="00A41812"/>
    <w:rsid w:val="00A53BAB"/>
    <w:rsid w:val="00A55229"/>
    <w:rsid w:val="00A9285D"/>
    <w:rsid w:val="00AF4451"/>
    <w:rsid w:val="00B14DAC"/>
    <w:rsid w:val="00B23AEC"/>
    <w:rsid w:val="00B77C36"/>
    <w:rsid w:val="00B85D67"/>
    <w:rsid w:val="00B91D01"/>
    <w:rsid w:val="00C17BCC"/>
    <w:rsid w:val="00C345E9"/>
    <w:rsid w:val="00C64AF3"/>
    <w:rsid w:val="00C81791"/>
    <w:rsid w:val="00C85363"/>
    <w:rsid w:val="00C937AD"/>
    <w:rsid w:val="00C94CBA"/>
    <w:rsid w:val="00CB2D77"/>
    <w:rsid w:val="00CC582A"/>
    <w:rsid w:val="00CD3B9C"/>
    <w:rsid w:val="00CD3E56"/>
    <w:rsid w:val="00CE0ED8"/>
    <w:rsid w:val="00CE2E11"/>
    <w:rsid w:val="00CE7F6A"/>
    <w:rsid w:val="00D00A5F"/>
    <w:rsid w:val="00D16794"/>
    <w:rsid w:val="00D21F95"/>
    <w:rsid w:val="00D26EBE"/>
    <w:rsid w:val="00D9605B"/>
    <w:rsid w:val="00DA0AC6"/>
    <w:rsid w:val="00DA3881"/>
    <w:rsid w:val="00DB22E7"/>
    <w:rsid w:val="00DC65AB"/>
    <w:rsid w:val="00DE065E"/>
    <w:rsid w:val="00DF43A1"/>
    <w:rsid w:val="00DF4981"/>
    <w:rsid w:val="00E21C3F"/>
    <w:rsid w:val="00E31B20"/>
    <w:rsid w:val="00E41ED8"/>
    <w:rsid w:val="00E77224"/>
    <w:rsid w:val="00E777E3"/>
    <w:rsid w:val="00E81B43"/>
    <w:rsid w:val="00E83B24"/>
    <w:rsid w:val="00E84D6A"/>
    <w:rsid w:val="00E90185"/>
    <w:rsid w:val="00EA0318"/>
    <w:rsid w:val="00EC31F9"/>
    <w:rsid w:val="00ED0CE9"/>
    <w:rsid w:val="00ED7FA5"/>
    <w:rsid w:val="00F35ACF"/>
    <w:rsid w:val="00F41ADE"/>
    <w:rsid w:val="00F43EAA"/>
    <w:rsid w:val="00F943C1"/>
    <w:rsid w:val="00F95A5F"/>
    <w:rsid w:val="00FB15DF"/>
    <w:rsid w:val="00FB7ECF"/>
    <w:rsid w:val="00FC2A77"/>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13964"/>
  <w15:chartTrackingRefBased/>
  <w15:docId w15:val="{FAB1C1F6-3A8F-4C09-A511-EFD13DAE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unhideWhenUsed/>
    <w:qFormat/>
    <w:rsid w:val="004E4A62"/>
    <w:pPr>
      <w:spacing w:after="0" w:line="240" w:lineRule="auto"/>
    </w:pPr>
    <w:rPr>
      <w:sz w:val="20"/>
      <w:szCs w:val="20"/>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4E4A62"/>
    <w:rPr>
      <w:sz w:val="20"/>
      <w:szCs w:val="20"/>
    </w:rPr>
  </w:style>
  <w:style w:type="paragraph" w:styleId="Header">
    <w:name w:val="header"/>
    <w:basedOn w:val="Normal"/>
    <w:link w:val="HeaderChar"/>
    <w:uiPriority w:val="99"/>
    <w:unhideWhenUsed/>
    <w:rsid w:val="00200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F6E"/>
  </w:style>
  <w:style w:type="paragraph" w:styleId="Footer">
    <w:name w:val="footer"/>
    <w:basedOn w:val="Normal"/>
    <w:link w:val="FooterChar"/>
    <w:uiPriority w:val="99"/>
    <w:unhideWhenUsed/>
    <w:rsid w:val="00200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F6E"/>
  </w:style>
  <w:style w:type="paragraph" w:customStyle="1" w:styleId="SingleTxtG">
    <w:name w:val="_ Single Txt_G"/>
    <w:basedOn w:val="Normal"/>
    <w:link w:val="SingleTxtGChar"/>
    <w:qFormat/>
    <w:rsid w:val="00200F6E"/>
    <w:pPr>
      <w:suppressAutoHyphens/>
      <w:spacing w:after="120" w:line="240" w:lineRule="atLeast"/>
      <w:ind w:left="1134" w:right="1134"/>
      <w:jc w:val="both"/>
    </w:pPr>
    <w:rPr>
      <w:rFonts w:eastAsia="MS Mincho" w:cs="Times New Roman"/>
      <w:sz w:val="20"/>
      <w:szCs w:val="20"/>
      <w:lang w:val="en-GB" w:eastAsia="fr-FR"/>
    </w:rPr>
  </w:style>
  <w:style w:type="character" w:customStyle="1" w:styleId="SingleTxtGChar">
    <w:name w:val="_ Single Txt_G Char"/>
    <w:link w:val="SingleTxtG"/>
    <w:qFormat/>
    <w:rsid w:val="00200F6E"/>
    <w:rPr>
      <w:rFonts w:eastAsia="MS Mincho" w:cs="Times New Roman"/>
      <w:sz w:val="20"/>
      <w:szCs w:val="20"/>
      <w:lang w:val="en-GB" w:eastAsia="fr-FR"/>
    </w:rPr>
  </w:style>
  <w:style w:type="character" w:styleId="CommentReference">
    <w:name w:val="annotation reference"/>
    <w:uiPriority w:val="99"/>
    <w:semiHidden/>
    <w:unhideWhenUsed/>
    <w:rsid w:val="00202312"/>
    <w:rPr>
      <w:sz w:val="16"/>
      <w:szCs w:val="16"/>
    </w:rPr>
  </w:style>
  <w:style w:type="paragraph" w:styleId="CommentText">
    <w:name w:val="annotation text"/>
    <w:basedOn w:val="Normal"/>
    <w:link w:val="CommentTextChar"/>
    <w:uiPriority w:val="99"/>
    <w:unhideWhenUsed/>
    <w:rsid w:val="00202312"/>
    <w:pPr>
      <w:spacing w:line="240" w:lineRule="auto"/>
    </w:pPr>
    <w:rPr>
      <w:rFonts w:ascii="Calibri" w:eastAsia="MS Mincho" w:hAnsi="Calibri" w:cs="Times New Roman"/>
      <w:sz w:val="20"/>
      <w:szCs w:val="20"/>
      <w:lang w:val="en-CA"/>
    </w:rPr>
  </w:style>
  <w:style w:type="character" w:customStyle="1" w:styleId="CommentTextChar">
    <w:name w:val="Comment Text Char"/>
    <w:basedOn w:val="DefaultParagraphFont"/>
    <w:link w:val="CommentText"/>
    <w:uiPriority w:val="99"/>
    <w:rsid w:val="00202312"/>
    <w:rPr>
      <w:rFonts w:ascii="Calibri" w:eastAsia="MS Mincho" w:hAnsi="Calibri" w:cs="Times New Roman"/>
      <w:sz w:val="20"/>
      <w:szCs w:val="20"/>
      <w:lang w:val="en-CA"/>
    </w:rPr>
  </w:style>
  <w:style w:type="paragraph" w:customStyle="1" w:styleId="Bullet1G">
    <w:name w:val="_Bullet 1_G"/>
    <w:basedOn w:val="Normal"/>
    <w:qFormat/>
    <w:rsid w:val="00C17BCC"/>
    <w:pPr>
      <w:numPr>
        <w:numId w:val="6"/>
      </w:numPr>
      <w:suppressAutoHyphens/>
      <w:spacing w:after="120" w:line="240" w:lineRule="atLeast"/>
      <w:ind w:right="1134"/>
      <w:jc w:val="both"/>
    </w:pPr>
    <w:rPr>
      <w:rFonts w:eastAsia="MS Mincho" w:cs="Times New Roman"/>
      <w:sz w:val="20"/>
      <w:szCs w:val="20"/>
      <w:lang w:val="en-GB" w:eastAsia="fr-FR"/>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761D44"/>
    <w:rPr>
      <w:rFonts w:ascii="Times New Roman" w:hAnsi="Times New Roman"/>
      <w:sz w:val="18"/>
      <w:vertAlign w:val="superscript"/>
    </w:rPr>
  </w:style>
  <w:style w:type="character" w:styleId="Hyperlink">
    <w:name w:val="Hyperlink"/>
    <w:basedOn w:val="DefaultParagraphFont"/>
    <w:uiPriority w:val="99"/>
    <w:rsid w:val="00761D44"/>
    <w:rPr>
      <w:color w:val="0000FF"/>
      <w:u w:val="none"/>
    </w:rPr>
  </w:style>
  <w:style w:type="paragraph" w:styleId="BalloonText">
    <w:name w:val="Balloon Text"/>
    <w:basedOn w:val="Normal"/>
    <w:link w:val="BalloonTextChar"/>
    <w:uiPriority w:val="99"/>
    <w:semiHidden/>
    <w:unhideWhenUsed/>
    <w:rsid w:val="007A44D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A44DB"/>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B14DAC"/>
    <w:pPr>
      <w:spacing w:line="259" w:lineRule="auto"/>
    </w:pPr>
    <w:rPr>
      <w:rFonts w:ascii="Times New Roman" w:eastAsiaTheme="minorEastAsia" w:hAnsi="Times New Roman" w:cstheme="minorBidi"/>
      <w:b/>
      <w:bCs/>
      <w:sz w:val="22"/>
      <w:szCs w:val="22"/>
      <w:lang w:val="en-US"/>
    </w:rPr>
  </w:style>
  <w:style w:type="character" w:customStyle="1" w:styleId="CommentSubjectChar">
    <w:name w:val="Comment Subject Char"/>
    <w:basedOn w:val="CommentTextChar"/>
    <w:link w:val="CommentSubject"/>
    <w:uiPriority w:val="99"/>
    <w:semiHidden/>
    <w:rsid w:val="00B14DAC"/>
    <w:rPr>
      <w:rFonts w:ascii="Calibri" w:eastAsia="MS Mincho"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3</cp:revision>
  <dcterms:created xsi:type="dcterms:W3CDTF">2023-04-25T07:57:00Z</dcterms:created>
  <dcterms:modified xsi:type="dcterms:W3CDTF">2023-04-25T07:58:00Z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(3)hLDDSVSX1SFvDN02+xG60s/0Tv2Qg41IqKqSjRO5bdCCEhTejpAgWXx383X1CiXYCxFYB+Ch
vVOXlQrPeRKKnO9Q/OVAa7OKWiwcQsXs8DmzlgPym5uaMhLp5piDkaVAWmaESamWenoyNIaD
bclGsIpS0ncdnZXZ018/Vo34Pdx+vRCsxaFyqqn1/5SjH8pFF2bSyQY4Pjz2dWt6ifb+hEjJ
OfsAWTfAtSJ3iYzV7T</vt:lpwstr>
  </property>
  <property fmtid="{D5CDD505-2E9C-101B-9397-08002B2CF9AE}" pid="3" name="_2015_ms_pID_7253431">
    <vt:lpwstr>6AUEIHvds9uwkI2tzCKZhxTs0hYGzFDMEoiiM/xD/47npEXlw+pXC7
Ad+4cxUmWn32zdiImQAwR0nIdr1hfVPMyHpjvDF0DATcrpMGrN/SEGdF/1VIF0dtg6iLMLkR
qiUJ0hj06czVBlzvyQeoSbmjKV6jUgiVSnRe33Awe4uZGwBNt0CzxnYwRk+gVYCAfcPMnUgj
4SGS7WP9rEVGR9o8VSiL3Fbj/AkDqxgoxT6v</vt:lpwstr>
  </property>
  <property fmtid="{D5CDD505-2E9C-101B-9397-08002B2CF9AE}" pid="4" name="_2015_ms_pID_7253432">
    <vt:lpwstr>FQ==</vt:lpwstr>
  </property>
</Properties>
</file>