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39B8" w14:textId="1D51F2A0" w:rsidR="008D3F95" w:rsidRDefault="008D3F95"/>
    <w:p w14:paraId="21551B0B" w14:textId="77777777" w:rsidR="0068478F" w:rsidRPr="004823A0" w:rsidRDefault="0068478F" w:rsidP="0068478F">
      <w:pPr>
        <w:pStyle w:val="H1G"/>
        <w:tabs>
          <w:tab w:val="clear" w:pos="851"/>
        </w:tabs>
        <w:spacing w:before="0" w:after="0" w:line="240" w:lineRule="auto"/>
        <w:ind w:left="2265" w:hanging="1131"/>
        <w:rPr>
          <w:sz w:val="20"/>
          <w:lang w:val="en-GB" w:eastAsia="ja-JP"/>
        </w:rPr>
      </w:pPr>
      <w:r w:rsidRPr="004823A0">
        <w:rPr>
          <w:sz w:val="20"/>
          <w:lang w:val="en-GB" w:eastAsia="ja-JP"/>
        </w:rPr>
        <w:t>A.</w:t>
      </w:r>
      <w:r w:rsidRPr="004823A0">
        <w:rPr>
          <w:sz w:val="20"/>
          <w:lang w:val="en-GB" w:eastAsia="ja-JP"/>
        </w:rPr>
        <w:tab/>
      </w:r>
      <w:r w:rsidRPr="004823A0">
        <w:rPr>
          <w:sz w:val="20"/>
          <w:lang w:val="en-GB" w:eastAsia="ja-JP"/>
        </w:rPr>
        <w:tab/>
      </w:r>
      <w:r w:rsidRPr="004823A0">
        <w:rPr>
          <w:sz w:val="20"/>
          <w:lang w:val="en-GB"/>
        </w:rPr>
        <w:t xml:space="preserve">Transitional provisions for vehicles, vehicle systems and the installation of </w:t>
      </w:r>
      <w:r w:rsidRPr="004823A0">
        <w:rPr>
          <w:sz w:val="20"/>
          <w:lang w:val="en-GB" w:eastAsia="ja-JP"/>
        </w:rPr>
        <w:t>equipment and parts in new vehicles</w:t>
      </w:r>
    </w:p>
    <w:p w14:paraId="58FB44A5" w14:textId="77777777" w:rsidR="0068478F" w:rsidRPr="004823A0" w:rsidRDefault="0068478F" w:rsidP="0068478F">
      <w:pPr>
        <w:rPr>
          <w:lang w:val="en-GB" w:eastAsia="ja-JP"/>
        </w:rPr>
      </w:pPr>
    </w:p>
    <w:p w14:paraId="3A854B01" w14:textId="77777777" w:rsidR="0068478F" w:rsidRPr="004823A0" w:rsidRDefault="0068478F" w:rsidP="0068478F">
      <w:pPr>
        <w:spacing w:beforeLines="50" w:before="120"/>
        <w:ind w:hanging="1134"/>
        <w:jc w:val="both"/>
        <w:rPr>
          <w:lang w:val="en-GB"/>
        </w:rPr>
      </w:pPr>
      <w:r w:rsidRPr="004823A0">
        <w:rPr>
          <w:lang w:val="en-GB"/>
        </w:rPr>
        <w:t>V.1.</w:t>
      </w:r>
      <w:r w:rsidRPr="004823A0">
        <w:rPr>
          <w:lang w:val="en-GB"/>
        </w:rPr>
        <w:tab/>
        <w:t>As from the official date of entry into force of the XX series of amendments, no Contracting Party applying this Regulation shall refuse to grant or refuse to accept type approvals under this Regulation as amended by the XX series of amendments.</w:t>
      </w:r>
    </w:p>
    <w:p w14:paraId="269B2FC5" w14:textId="77777777" w:rsidR="0068478F" w:rsidRPr="004823A0" w:rsidRDefault="0068478F" w:rsidP="0068478F">
      <w:pPr>
        <w:spacing w:beforeLines="50" w:before="120"/>
        <w:ind w:hanging="1134"/>
        <w:jc w:val="both"/>
        <w:rPr>
          <w:lang w:val="en-GB"/>
        </w:rPr>
      </w:pPr>
    </w:p>
    <w:p w14:paraId="2A845A35" w14:textId="7EBF0B93" w:rsidR="0068478F" w:rsidRPr="004823A0" w:rsidRDefault="0068478F" w:rsidP="0068478F">
      <w:pPr>
        <w:ind w:hanging="1134"/>
        <w:rPr>
          <w:lang w:val="en-GB"/>
        </w:rPr>
      </w:pPr>
      <w:r w:rsidRPr="004823A0">
        <w:rPr>
          <w:lang w:val="en-GB"/>
        </w:rPr>
        <w:t>V.2.</w:t>
      </w:r>
      <w:r w:rsidRPr="004823A0">
        <w:rPr>
          <w:lang w:val="en-GB"/>
        </w:rPr>
        <w:tab/>
        <w:t xml:space="preserve">As from 1 September Date (b), Contracting Parties applying this Regulation shall not be obliged to accept type approvals to </w:t>
      </w:r>
      <w:r>
        <w:rPr>
          <w:lang w:val="en-GB"/>
        </w:rPr>
        <w:t xml:space="preserve">any </w:t>
      </w:r>
      <w:r w:rsidRPr="0068478F">
        <w:rPr>
          <w:b/>
          <w:bCs/>
          <w:highlight w:val="yellow"/>
          <w:lang w:val="en-GB"/>
        </w:rPr>
        <w:t>of the</w:t>
      </w:r>
      <w:r w:rsidRPr="004823A0">
        <w:rPr>
          <w:lang w:val="en-GB"/>
        </w:rPr>
        <w:t xml:space="preserve"> preceding series of amendments, first issued after 1 September Date (b).</w:t>
      </w:r>
    </w:p>
    <w:p w14:paraId="32855B3A" w14:textId="77777777" w:rsidR="0068478F" w:rsidRPr="004823A0" w:rsidRDefault="0068478F" w:rsidP="0068478F">
      <w:pPr>
        <w:rPr>
          <w:u w:val="single"/>
          <w:lang w:val="en-GB"/>
        </w:rPr>
      </w:pPr>
    </w:p>
    <w:p w14:paraId="0CD08736" w14:textId="77777777" w:rsidR="0068478F" w:rsidRPr="004823A0" w:rsidRDefault="0068478F" w:rsidP="0068478F">
      <w:pPr>
        <w:jc w:val="both"/>
        <w:rPr>
          <w:lang w:val="en-GB"/>
        </w:rPr>
      </w:pPr>
    </w:p>
    <w:p w14:paraId="36DFD3C5" w14:textId="52198C12" w:rsidR="0068478F" w:rsidRPr="004823A0" w:rsidRDefault="0068478F" w:rsidP="0068478F">
      <w:pPr>
        <w:ind w:hanging="1134"/>
        <w:jc w:val="both"/>
        <w:rPr>
          <w:vertAlign w:val="superscript"/>
          <w:lang w:val="en-GB"/>
        </w:rPr>
      </w:pPr>
      <w:r w:rsidRPr="004823A0">
        <w:rPr>
          <w:lang w:val="en-GB"/>
        </w:rPr>
        <w:t>V.3.</w:t>
      </w:r>
      <w:r w:rsidRPr="004823A0">
        <w:rPr>
          <w:lang w:val="en-GB"/>
        </w:rPr>
        <w:tab/>
        <w:t xml:space="preserve">Until 1 September Date </w:t>
      </w:r>
      <w:r w:rsidRPr="004823A0">
        <w:rPr>
          <w:rFonts w:eastAsiaTheme="minorEastAsia"/>
          <w:lang w:val="en-GB" w:eastAsia="ja-JP"/>
        </w:rPr>
        <w:t>(</w:t>
      </w:r>
      <w:r w:rsidRPr="004823A0">
        <w:rPr>
          <w:lang w:val="en-GB"/>
        </w:rPr>
        <w:t>c</w:t>
      </w:r>
      <w:r w:rsidRPr="004823A0">
        <w:rPr>
          <w:rFonts w:eastAsiaTheme="minorEastAsia"/>
          <w:lang w:val="en-GB" w:eastAsia="ja-JP"/>
        </w:rPr>
        <w:t>)</w:t>
      </w:r>
      <w:r w:rsidRPr="004823A0">
        <w:rPr>
          <w:lang w:val="en-GB"/>
        </w:rPr>
        <w:t xml:space="preserve">, Contracting Parties applying this Regulation shall accept type approvals to the </w:t>
      </w:r>
      <w:r w:rsidRPr="0068478F">
        <w:rPr>
          <w:b/>
          <w:bCs/>
          <w:highlight w:val="yellow"/>
          <w:lang w:val="en-GB"/>
        </w:rPr>
        <w:t>XX-1</w:t>
      </w:r>
      <w:r w:rsidRPr="004823A0">
        <w:rPr>
          <w:lang w:val="en-GB"/>
        </w:rPr>
        <w:t xml:space="preserve"> series of amendments, first issued before 1 September Date </w:t>
      </w:r>
      <w:r w:rsidRPr="004823A0">
        <w:rPr>
          <w:rFonts w:eastAsiaTheme="minorEastAsia"/>
          <w:lang w:val="en-GB" w:eastAsia="ja-JP"/>
        </w:rPr>
        <w:t>(</w:t>
      </w:r>
      <w:r w:rsidRPr="004823A0">
        <w:rPr>
          <w:lang w:val="en-GB"/>
        </w:rPr>
        <w:t>b</w:t>
      </w:r>
      <w:r w:rsidRPr="004823A0">
        <w:rPr>
          <w:rFonts w:eastAsiaTheme="minorEastAsia"/>
          <w:lang w:val="en-GB" w:eastAsia="ja-JP"/>
        </w:rPr>
        <w:t>).</w:t>
      </w:r>
      <w:r w:rsidRPr="004823A0">
        <w:rPr>
          <w:vertAlign w:val="superscript"/>
          <w:lang w:val="en-GB"/>
        </w:rPr>
        <w:t>3</w:t>
      </w:r>
    </w:p>
    <w:p w14:paraId="3DBBABDA" w14:textId="77777777" w:rsidR="0068478F" w:rsidRPr="004823A0" w:rsidRDefault="0068478F" w:rsidP="0068478F">
      <w:pPr>
        <w:ind w:left="0"/>
        <w:jc w:val="both"/>
        <w:rPr>
          <w:lang w:val="en-GB"/>
        </w:rPr>
      </w:pPr>
    </w:p>
    <w:p w14:paraId="308CD5C9" w14:textId="77777777" w:rsidR="0068478F" w:rsidRPr="004823A0" w:rsidRDefault="0068478F" w:rsidP="0068478F">
      <w:pPr>
        <w:rPr>
          <w:lang w:val="en-GB"/>
        </w:rPr>
      </w:pPr>
    </w:p>
    <w:p w14:paraId="25F25BA9" w14:textId="7E0DD14F" w:rsidR="0068478F" w:rsidRPr="004823A0" w:rsidRDefault="0068478F" w:rsidP="0068478F">
      <w:pPr>
        <w:ind w:hanging="1134"/>
        <w:jc w:val="both"/>
        <w:rPr>
          <w:vertAlign w:val="superscript"/>
          <w:lang w:val="en-GB"/>
        </w:rPr>
      </w:pPr>
      <w:r w:rsidRPr="004823A0">
        <w:rPr>
          <w:lang w:val="en-GB"/>
        </w:rPr>
        <w:t>V.4.</w:t>
      </w:r>
      <w:r w:rsidRPr="004823A0">
        <w:rPr>
          <w:lang w:val="en-GB"/>
        </w:rPr>
        <w:tab/>
        <w:t xml:space="preserve">As </w:t>
      </w:r>
      <w:r w:rsidRPr="004823A0">
        <w:rPr>
          <w:lang w:val="en-GB" w:eastAsia="ja-JP"/>
        </w:rPr>
        <w:t>from</w:t>
      </w:r>
      <w:r w:rsidRPr="004823A0">
        <w:rPr>
          <w:lang w:val="en-GB"/>
        </w:rPr>
        <w:t xml:space="preserve"> 1 September Date </w:t>
      </w:r>
      <w:r w:rsidRPr="004823A0">
        <w:rPr>
          <w:rFonts w:eastAsiaTheme="minorEastAsia"/>
          <w:lang w:val="en-GB" w:eastAsia="ja-JP"/>
        </w:rPr>
        <w:t>(</w:t>
      </w:r>
      <w:r w:rsidRPr="004823A0">
        <w:rPr>
          <w:lang w:val="en-GB"/>
        </w:rPr>
        <w:t>c</w:t>
      </w:r>
      <w:r w:rsidRPr="004823A0">
        <w:rPr>
          <w:rFonts w:eastAsiaTheme="minorEastAsia"/>
          <w:lang w:val="en-GB" w:eastAsia="ja-JP"/>
        </w:rPr>
        <w:t>)</w:t>
      </w:r>
      <w:r w:rsidRPr="004823A0">
        <w:rPr>
          <w:lang w:val="en-GB"/>
        </w:rPr>
        <w:t xml:space="preserve">, Contracting Parties applying this Regulation shall not be obliged to accept type approvals issued to </w:t>
      </w:r>
      <w:r w:rsidRPr="0068478F">
        <w:rPr>
          <w:b/>
          <w:bCs/>
          <w:highlight w:val="yellow"/>
          <w:lang w:val="en-GB"/>
        </w:rPr>
        <w:t>any of</w:t>
      </w:r>
      <w:r w:rsidRPr="004823A0">
        <w:rPr>
          <w:lang w:val="en-GB"/>
        </w:rPr>
        <w:t xml:space="preserve"> the preceding series of amendments to this Regulation.</w:t>
      </w:r>
      <w:r w:rsidRPr="004823A0">
        <w:rPr>
          <w:rStyle w:val="a3"/>
          <w:lang w:val="en-GB"/>
        </w:rPr>
        <w:footnoteReference w:id="1"/>
      </w:r>
      <w:r w:rsidRPr="004823A0">
        <w:rPr>
          <w:vertAlign w:val="superscript"/>
          <w:lang w:val="en-GB"/>
        </w:rPr>
        <w:t xml:space="preserve">, </w:t>
      </w:r>
      <w:r w:rsidRPr="004823A0">
        <w:rPr>
          <w:rStyle w:val="a3"/>
          <w:lang w:val="en-GB"/>
        </w:rPr>
        <w:footnoteReference w:id="2"/>
      </w:r>
      <w:r w:rsidRPr="004823A0">
        <w:rPr>
          <w:vertAlign w:val="superscript"/>
          <w:lang w:val="en-GB"/>
        </w:rPr>
        <w:t xml:space="preserve">, </w:t>
      </w:r>
      <w:r w:rsidRPr="004823A0">
        <w:rPr>
          <w:rStyle w:val="a3"/>
          <w:lang w:val="en-GB"/>
        </w:rPr>
        <w:footnoteReference w:id="3"/>
      </w:r>
    </w:p>
    <w:p w14:paraId="5DB31B7D" w14:textId="77777777" w:rsidR="0068478F" w:rsidRPr="004823A0" w:rsidRDefault="0068478F" w:rsidP="0068478F">
      <w:pPr>
        <w:ind w:left="1854" w:firstLine="414"/>
        <w:rPr>
          <w:u w:val="single"/>
          <w:lang w:val="en-GB"/>
        </w:rPr>
      </w:pPr>
    </w:p>
    <w:p w14:paraId="717872EE" w14:textId="3EB79FBC" w:rsidR="0068478F" w:rsidRPr="004823A0" w:rsidRDefault="0068478F" w:rsidP="0068478F">
      <w:pPr>
        <w:ind w:left="1854" w:firstLine="414"/>
        <w:rPr>
          <w:lang w:val="en-GB"/>
        </w:rPr>
      </w:pPr>
      <w:r w:rsidRPr="004823A0">
        <w:rPr>
          <w:rFonts w:hint="eastAsia"/>
          <w:lang w:val="en-US" w:eastAsia="ja-JP"/>
        </w:rPr>
        <w:t xml:space="preserve"> </w:t>
      </w:r>
    </w:p>
    <w:p w14:paraId="34DE0095" w14:textId="77777777" w:rsidR="0068478F" w:rsidRPr="004823A0" w:rsidRDefault="0068478F" w:rsidP="0068478F">
      <w:pPr>
        <w:ind w:hanging="1134"/>
        <w:jc w:val="both"/>
        <w:rPr>
          <w:rFonts w:eastAsia="ＭＳ Ｐゴシック"/>
          <w:iCs/>
          <w:lang w:val="en-GB" w:eastAsia="ja-JP"/>
        </w:rPr>
      </w:pPr>
      <w:r w:rsidRPr="004823A0">
        <w:rPr>
          <w:bCs/>
          <w:iCs/>
          <w:lang w:val="en-GB"/>
        </w:rPr>
        <w:t>V.</w:t>
      </w:r>
      <w:r w:rsidRPr="004823A0">
        <w:rPr>
          <w:bCs/>
          <w:iCs/>
          <w:lang w:val="en-GB" w:eastAsia="ja-JP"/>
        </w:rPr>
        <w:t>5.</w:t>
      </w:r>
      <w:r w:rsidRPr="004823A0">
        <w:rPr>
          <w:bCs/>
          <w:iCs/>
          <w:lang w:val="en-GB"/>
        </w:rPr>
        <w:tab/>
      </w:r>
      <w:r w:rsidRPr="004823A0">
        <w:rPr>
          <w:iCs/>
          <w:lang w:val="en-GB"/>
        </w:rPr>
        <w:tab/>
      </w:r>
      <w:r w:rsidRPr="004823A0">
        <w:rPr>
          <w:rFonts w:eastAsia="ＭＳ Ｐゴシック"/>
          <w:iCs/>
          <w:lang w:val="en-GB" w:eastAsia="ja-JP"/>
        </w:rPr>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 / are only obliged to accept type approval granted in accordance with the XX series of amendments.</w:t>
      </w:r>
    </w:p>
    <w:p w14:paraId="43C9322A" w14:textId="77777777" w:rsidR="0068478F" w:rsidRPr="004823A0" w:rsidRDefault="0068478F" w:rsidP="0068478F">
      <w:pPr>
        <w:ind w:hanging="1134"/>
        <w:jc w:val="both"/>
        <w:rPr>
          <w:rFonts w:eastAsia="ＭＳ Ｐゴシック"/>
          <w:iCs/>
          <w:lang w:val="en-GB" w:eastAsia="ja-JP"/>
        </w:rPr>
      </w:pPr>
    </w:p>
    <w:p w14:paraId="18964D87" w14:textId="365CB3C2" w:rsidR="0068478F" w:rsidRPr="004823A0" w:rsidRDefault="0068478F" w:rsidP="0068478F">
      <w:pPr>
        <w:ind w:hanging="1134"/>
        <w:jc w:val="both"/>
        <w:rPr>
          <w:iCs/>
          <w:lang w:val="en-GB" w:eastAsia="ja-JP"/>
        </w:rPr>
      </w:pPr>
      <w:bookmarkStart w:id="0" w:name="_Hlk103702599"/>
      <w:r w:rsidRPr="004823A0">
        <w:rPr>
          <w:iCs/>
          <w:lang w:val="en-GB" w:eastAsia="ja-JP"/>
        </w:rPr>
        <w:t>V.6.</w:t>
      </w:r>
      <w:r w:rsidRPr="004823A0">
        <w:rPr>
          <w:iCs/>
          <w:lang w:val="en-GB" w:eastAsia="ja-JP"/>
        </w:rPr>
        <w:tab/>
      </w:r>
      <w:r w:rsidRPr="004823A0">
        <w:rPr>
          <w:rFonts w:eastAsia="ＭＳ Ｐゴシック"/>
          <w:iCs/>
          <w:spacing w:val="-2"/>
          <w:lang w:val="en-GB"/>
        </w:rPr>
        <w:t xml:space="preserve">Notwithstanding paragraph V.4, </w:t>
      </w:r>
      <w:r w:rsidRPr="004823A0">
        <w:rPr>
          <w:iCs/>
          <w:spacing w:val="-2"/>
          <w:lang w:val="en-GB" w:eastAsia="ja-JP"/>
        </w:rPr>
        <w:t xml:space="preserve">Contracting Parties applying this Regulation shall continue to accept type approvals of the equipment/parts </w:t>
      </w:r>
      <w:r w:rsidRPr="004823A0">
        <w:rPr>
          <w:lang w:val="en-GB"/>
        </w:rPr>
        <w:t>issued</w:t>
      </w:r>
      <w:r w:rsidRPr="004823A0">
        <w:rPr>
          <w:iCs/>
          <w:spacing w:val="-2"/>
          <w:lang w:val="en-GB" w:eastAsia="ja-JP"/>
        </w:rPr>
        <w:t xml:space="preserve"> </w:t>
      </w:r>
      <w:r w:rsidRPr="004823A0">
        <w:rPr>
          <w:lang w:val="en-GB"/>
        </w:rPr>
        <w:t>according</w:t>
      </w:r>
      <w:r w:rsidRPr="004823A0">
        <w:rPr>
          <w:iCs/>
          <w:spacing w:val="-2"/>
          <w:lang w:val="en-GB" w:eastAsia="ja-JP"/>
        </w:rPr>
        <w:t xml:space="preserve"> to the </w:t>
      </w:r>
      <w:r w:rsidRPr="0068478F">
        <w:rPr>
          <w:b/>
          <w:bCs/>
          <w:highlight w:val="yellow"/>
          <w:lang w:val="en-GB"/>
        </w:rPr>
        <w:t>XX-1</w:t>
      </w:r>
      <w:r w:rsidRPr="00CE0FF2">
        <w:rPr>
          <w:highlight w:val="yellow"/>
          <w:lang w:val="en-GB"/>
        </w:rPr>
        <w:t xml:space="preserve"> </w:t>
      </w:r>
      <w:r w:rsidRPr="004823A0">
        <w:rPr>
          <w:iCs/>
          <w:spacing w:val="-2"/>
          <w:lang w:val="en-GB" w:eastAsia="ja-JP"/>
        </w:rPr>
        <w:t>series of amendments to this Regulation.</w:t>
      </w:r>
      <w:r w:rsidRPr="004823A0">
        <w:rPr>
          <w:vertAlign w:val="superscript"/>
          <w:lang w:val="en-GB"/>
        </w:rPr>
        <w:t>1</w:t>
      </w:r>
    </w:p>
    <w:p w14:paraId="5928E678" w14:textId="77777777" w:rsidR="0068478F" w:rsidRPr="004823A0" w:rsidRDefault="0068478F" w:rsidP="0068478F">
      <w:pPr>
        <w:jc w:val="both"/>
        <w:rPr>
          <w:iCs/>
          <w:spacing w:val="-4"/>
          <w:lang w:val="en-GB" w:eastAsia="ja-JP"/>
        </w:rPr>
      </w:pPr>
      <w:r w:rsidRPr="004823A0">
        <w:rPr>
          <w:i/>
          <w:iCs/>
          <w:spacing w:val="-4"/>
          <w:lang w:val="en-GB" w:eastAsia="ja-JP"/>
        </w:rPr>
        <w:t>(Note: V.6 is for special case 1-1 and comes in addition to V.4 when applicable</w:t>
      </w:r>
      <w:r w:rsidRPr="004823A0">
        <w:rPr>
          <w:iCs/>
          <w:spacing w:val="-4"/>
          <w:lang w:val="en-GB" w:eastAsia="ja-JP"/>
        </w:rPr>
        <w:t>)</w:t>
      </w:r>
    </w:p>
    <w:bookmarkEnd w:id="0"/>
    <w:p w14:paraId="111E6CCD" w14:textId="77777777" w:rsidR="0068478F" w:rsidRPr="004823A0" w:rsidRDefault="0068478F" w:rsidP="0068478F">
      <w:pPr>
        <w:tabs>
          <w:tab w:val="left" w:pos="2268"/>
        </w:tabs>
        <w:jc w:val="both"/>
        <w:rPr>
          <w:u w:val="single"/>
          <w:lang w:val="en-GB"/>
        </w:rPr>
      </w:pPr>
    </w:p>
    <w:p w14:paraId="3E0029F6" w14:textId="77777777" w:rsidR="0068478F" w:rsidRPr="004823A0" w:rsidRDefault="0068478F" w:rsidP="0068478F">
      <w:pPr>
        <w:tabs>
          <w:tab w:val="left" w:pos="2268"/>
        </w:tabs>
        <w:jc w:val="both"/>
        <w:rPr>
          <w:lang w:val="en-GB"/>
        </w:rPr>
      </w:pPr>
    </w:p>
    <w:p w14:paraId="2756A14E" w14:textId="34DEBBE3" w:rsidR="0068478F" w:rsidRPr="004823A0" w:rsidRDefault="0068478F" w:rsidP="0068478F">
      <w:pPr>
        <w:ind w:hanging="1134"/>
        <w:jc w:val="both"/>
        <w:rPr>
          <w:snapToGrid w:val="0"/>
          <w:lang w:val="en-GB" w:eastAsia="ja-JP"/>
        </w:rPr>
      </w:pPr>
      <w:r w:rsidRPr="004823A0">
        <w:rPr>
          <w:rFonts w:eastAsia="ＭＳ Ｐゴシック"/>
          <w:iCs/>
          <w:snapToGrid w:val="0"/>
          <w:lang w:val="en-GB" w:eastAsia="ja-JP"/>
        </w:rPr>
        <w:t>V.7.</w:t>
      </w:r>
      <w:r w:rsidRPr="004823A0">
        <w:rPr>
          <w:rFonts w:eastAsia="ＭＳ Ｐゴシック"/>
          <w:iCs/>
          <w:snapToGrid w:val="0"/>
          <w:lang w:val="en-GB" w:eastAsia="ja-JP"/>
        </w:rPr>
        <w:tab/>
        <w:t xml:space="preserve">Notwithstanding paragraph V.4, </w:t>
      </w:r>
      <w:r w:rsidRPr="004823A0">
        <w:rPr>
          <w:snapToGrid w:val="0"/>
          <w:lang w:val="en-GB" w:eastAsia="ja-JP"/>
        </w:rPr>
        <w:t xml:space="preserve">Contracting Parties applying this Regulation shall continue to accept type approvals </w:t>
      </w:r>
      <w:r w:rsidRPr="004823A0">
        <w:rPr>
          <w:lang w:val="en-GB"/>
        </w:rPr>
        <w:t>issued</w:t>
      </w:r>
      <w:r w:rsidRPr="004823A0">
        <w:rPr>
          <w:iCs/>
          <w:spacing w:val="-2"/>
          <w:lang w:val="en-GB" w:eastAsia="ja-JP"/>
        </w:rPr>
        <w:t xml:space="preserve"> </w:t>
      </w:r>
      <w:r w:rsidRPr="004823A0">
        <w:rPr>
          <w:lang w:val="en-GB"/>
        </w:rPr>
        <w:t>according</w:t>
      </w:r>
      <w:r w:rsidRPr="004823A0">
        <w:rPr>
          <w:iCs/>
          <w:spacing w:val="-2"/>
          <w:lang w:val="en-GB" w:eastAsia="ja-JP"/>
        </w:rPr>
        <w:t xml:space="preserve"> </w:t>
      </w:r>
      <w:r w:rsidRPr="004823A0">
        <w:rPr>
          <w:snapToGrid w:val="0"/>
          <w:lang w:val="en-GB" w:eastAsia="ja-JP"/>
        </w:rPr>
        <w:t xml:space="preserve">to the </w:t>
      </w:r>
      <w:r w:rsidR="0088389D" w:rsidRPr="0088389D">
        <w:rPr>
          <w:b/>
          <w:bCs/>
          <w:highlight w:val="yellow"/>
          <w:lang w:val="en-GB"/>
        </w:rPr>
        <w:t>XX-1</w:t>
      </w:r>
      <w:r w:rsidR="0088389D" w:rsidRPr="00CE0FF2">
        <w:rPr>
          <w:highlight w:val="yellow"/>
          <w:lang w:val="en-GB"/>
        </w:rPr>
        <w:t xml:space="preserve"> </w:t>
      </w:r>
      <w:r w:rsidRPr="004823A0">
        <w:rPr>
          <w:snapToGrid w:val="0"/>
          <w:lang w:val="en-GB" w:eastAsia="ja-JP"/>
        </w:rPr>
        <w:t>series of amendments to this Regulation, for the vehicles/vehicle systems which are not affected by the changes introduced by the XX series of amendments.</w:t>
      </w:r>
      <w:r w:rsidRPr="004823A0">
        <w:rPr>
          <w:snapToGrid w:val="0"/>
          <w:vertAlign w:val="superscript"/>
          <w:lang w:val="en-GB" w:eastAsia="ja-JP"/>
        </w:rPr>
        <w:t>2</w:t>
      </w:r>
    </w:p>
    <w:p w14:paraId="4176E622" w14:textId="77777777" w:rsidR="0068478F" w:rsidRPr="004823A0" w:rsidRDefault="0068478F" w:rsidP="0068478F">
      <w:pPr>
        <w:jc w:val="both"/>
        <w:rPr>
          <w:rFonts w:eastAsia="ＭＳ Ｐゴシック"/>
          <w:i/>
          <w:iCs/>
          <w:snapToGrid w:val="0"/>
          <w:lang w:val="en-GB" w:eastAsia="ja-JP"/>
        </w:rPr>
      </w:pPr>
      <w:r w:rsidRPr="004823A0">
        <w:rPr>
          <w:rFonts w:eastAsia="ＭＳ Ｐゴシック"/>
          <w:i/>
          <w:iCs/>
          <w:snapToGrid w:val="0"/>
          <w:lang w:val="en-GB" w:eastAsia="ja-JP"/>
        </w:rPr>
        <w:t>(Note: V.7 is for special case 1-2 and comes in addition to V.4 when applicable.)</w:t>
      </w:r>
    </w:p>
    <w:p w14:paraId="2B59D283" w14:textId="77777777" w:rsidR="0068478F" w:rsidRPr="004823A0" w:rsidRDefault="0068478F" w:rsidP="0068478F">
      <w:pPr>
        <w:tabs>
          <w:tab w:val="left" w:pos="2268"/>
        </w:tabs>
        <w:jc w:val="both"/>
        <w:rPr>
          <w:lang w:val="en-GB"/>
        </w:rPr>
      </w:pPr>
    </w:p>
    <w:p w14:paraId="2FEDC5CE" w14:textId="0C50FB2A" w:rsidR="0068478F" w:rsidRPr="004823A0" w:rsidRDefault="0068478F" w:rsidP="0068478F">
      <w:pPr>
        <w:ind w:hanging="1134"/>
        <w:jc w:val="both"/>
        <w:rPr>
          <w:b/>
          <w:vertAlign w:val="superscript"/>
          <w:lang w:val="en-GB" w:eastAsia="ja-JP"/>
        </w:rPr>
      </w:pPr>
      <w:r w:rsidRPr="004823A0">
        <w:rPr>
          <w:iCs/>
          <w:lang w:val="en-GB" w:eastAsia="ja-JP"/>
        </w:rPr>
        <w:t>V.8.</w:t>
      </w:r>
      <w:r w:rsidRPr="004823A0">
        <w:rPr>
          <w:iCs/>
          <w:lang w:val="en-GB" w:eastAsia="ja-JP"/>
        </w:rPr>
        <w:tab/>
        <w:t xml:space="preserve">Contracting Parties applying this Regulation shall continue to accept type approvals </w:t>
      </w:r>
      <w:r w:rsidRPr="004823A0">
        <w:rPr>
          <w:lang w:val="en-GB"/>
        </w:rPr>
        <w:t>issued</w:t>
      </w:r>
      <w:r w:rsidRPr="004823A0">
        <w:rPr>
          <w:iCs/>
          <w:spacing w:val="-2"/>
          <w:lang w:val="en-GB" w:eastAsia="ja-JP"/>
        </w:rPr>
        <w:t xml:space="preserve"> </w:t>
      </w:r>
      <w:r w:rsidRPr="004823A0">
        <w:rPr>
          <w:lang w:val="en-GB"/>
        </w:rPr>
        <w:t>according</w:t>
      </w:r>
      <w:r w:rsidRPr="004823A0">
        <w:rPr>
          <w:iCs/>
          <w:spacing w:val="-2"/>
          <w:lang w:val="en-GB" w:eastAsia="ja-JP"/>
        </w:rPr>
        <w:t xml:space="preserve"> </w:t>
      </w:r>
      <w:r w:rsidRPr="0088389D">
        <w:rPr>
          <w:iCs/>
          <w:lang w:val="en-GB" w:eastAsia="ja-JP"/>
        </w:rPr>
        <w:t xml:space="preserve">to </w:t>
      </w:r>
      <w:r w:rsidR="0088389D" w:rsidRPr="0088389D">
        <w:rPr>
          <w:lang w:val="en-GB"/>
        </w:rPr>
        <w:t xml:space="preserve">the </w:t>
      </w:r>
      <w:r w:rsidR="0088389D" w:rsidRPr="0088389D">
        <w:rPr>
          <w:b/>
          <w:bCs/>
          <w:highlight w:val="yellow"/>
          <w:lang w:val="en-GB"/>
        </w:rPr>
        <w:t>XX-1</w:t>
      </w:r>
      <w:r w:rsidR="0088389D" w:rsidRPr="0088389D">
        <w:rPr>
          <w:lang w:val="en-GB"/>
        </w:rPr>
        <w:t xml:space="preserve"> series of amendments</w:t>
      </w:r>
      <w:r w:rsidR="0088389D" w:rsidRPr="004823A0">
        <w:rPr>
          <w:iCs/>
          <w:lang w:val="en-GB" w:eastAsia="ja-JP"/>
        </w:rPr>
        <w:t xml:space="preserve"> </w:t>
      </w:r>
      <w:r w:rsidRPr="004823A0">
        <w:rPr>
          <w:iCs/>
          <w:lang w:val="en-GB" w:eastAsia="ja-JP"/>
        </w:rPr>
        <w:t xml:space="preserve">the </w:t>
      </w:r>
      <w:r w:rsidRPr="004823A0">
        <w:rPr>
          <w:iCs/>
          <w:lang w:val="en-GB" w:eastAsia="ja-JP"/>
        </w:rPr>
        <w:lastRenderedPageBreak/>
        <w:t>preceding series of amendments to this Regulation first issued before Date (b)</w:t>
      </w:r>
      <w:proofErr w:type="gramStart"/>
      <w:r w:rsidRPr="004823A0">
        <w:rPr>
          <w:iCs/>
          <w:lang w:val="en-GB" w:eastAsia="ja-JP"/>
        </w:rPr>
        <w:t>.</w:t>
      </w:r>
      <w:r w:rsidRPr="004823A0">
        <w:rPr>
          <w:vertAlign w:val="superscript"/>
          <w:lang w:val="en-GB"/>
        </w:rPr>
        <w:t>3</w:t>
      </w:r>
      <w:proofErr w:type="gramEnd"/>
    </w:p>
    <w:p w14:paraId="4FCA3DFC" w14:textId="77777777" w:rsidR="0068478F" w:rsidRPr="004823A0" w:rsidRDefault="0068478F" w:rsidP="0068478F">
      <w:pPr>
        <w:jc w:val="both"/>
        <w:rPr>
          <w:i/>
          <w:iCs/>
          <w:lang w:val="en-GB" w:eastAsia="ja-JP"/>
        </w:rPr>
      </w:pPr>
      <w:r w:rsidRPr="004823A0">
        <w:rPr>
          <w:i/>
          <w:iCs/>
          <w:lang w:val="en-GB" w:eastAsia="ja-JP"/>
        </w:rPr>
        <w:t>(Note: V.8 is for special case 1-3 and would replace V.4 when applicable.)</w:t>
      </w:r>
    </w:p>
    <w:p w14:paraId="1CB8D7B2" w14:textId="77777777" w:rsidR="0068478F" w:rsidRPr="004823A0" w:rsidRDefault="0068478F" w:rsidP="0068478F">
      <w:pPr>
        <w:tabs>
          <w:tab w:val="left" w:pos="2268"/>
        </w:tabs>
        <w:jc w:val="both"/>
        <w:rPr>
          <w:lang w:val="en-GB"/>
        </w:rPr>
      </w:pPr>
    </w:p>
    <w:p w14:paraId="56E16BFC" w14:textId="77777777" w:rsidR="0068478F" w:rsidRPr="004823A0" w:rsidRDefault="0068478F" w:rsidP="0068478F">
      <w:pPr>
        <w:tabs>
          <w:tab w:val="left" w:pos="2552"/>
          <w:tab w:val="left" w:pos="2977"/>
        </w:tabs>
        <w:ind w:left="2410"/>
        <w:jc w:val="both"/>
        <w:rPr>
          <w:bCs/>
          <w:lang w:val="en-GB"/>
        </w:rPr>
      </w:pPr>
    </w:p>
    <w:p w14:paraId="20F87CD7" w14:textId="77777777" w:rsidR="0068478F" w:rsidRPr="004823A0" w:rsidRDefault="0068478F" w:rsidP="0068478F">
      <w:pPr>
        <w:ind w:hanging="1134"/>
        <w:jc w:val="both"/>
        <w:rPr>
          <w:bCs/>
          <w:lang w:val="en-GB"/>
        </w:rPr>
      </w:pPr>
      <w:r w:rsidRPr="004823A0">
        <w:rPr>
          <w:bCs/>
          <w:lang w:val="en-GB"/>
        </w:rPr>
        <w:t xml:space="preserve">V.9. </w:t>
      </w:r>
      <w:r w:rsidRPr="004823A0">
        <w:rPr>
          <w:bCs/>
          <w:lang w:val="en-GB"/>
        </w:rPr>
        <w:tab/>
        <w:t>Contracting Parties applying this Regulation may grant type approvals according to any preceding series of amendments to this Regulation.</w:t>
      </w:r>
    </w:p>
    <w:p w14:paraId="77DA09DC" w14:textId="77777777" w:rsidR="0068478F" w:rsidRPr="004823A0" w:rsidRDefault="0068478F" w:rsidP="0068478F">
      <w:pPr>
        <w:ind w:hanging="1134"/>
        <w:jc w:val="both"/>
        <w:rPr>
          <w:b/>
          <w:bCs/>
          <w:lang w:val="en-GB"/>
        </w:rPr>
      </w:pPr>
    </w:p>
    <w:p w14:paraId="02B94140" w14:textId="3AE0F1C4" w:rsidR="0068478F" w:rsidRPr="004823A0" w:rsidRDefault="0068478F" w:rsidP="0068478F">
      <w:pPr>
        <w:ind w:hanging="1134"/>
        <w:jc w:val="both"/>
        <w:rPr>
          <w:bCs/>
          <w:lang w:val="en-GB"/>
        </w:rPr>
      </w:pPr>
      <w:r w:rsidRPr="004823A0">
        <w:rPr>
          <w:bCs/>
          <w:lang w:val="en-GB"/>
        </w:rPr>
        <w:t xml:space="preserve">V.9bis. </w:t>
      </w:r>
      <w:r w:rsidRPr="004823A0">
        <w:rPr>
          <w:bCs/>
          <w:lang w:val="en-GB"/>
        </w:rPr>
        <w:tab/>
        <w:t xml:space="preserve">Contracting </w:t>
      </w:r>
      <w:r w:rsidRPr="004823A0">
        <w:rPr>
          <w:lang w:val="en-GB"/>
        </w:rPr>
        <w:t>Parties</w:t>
      </w:r>
      <w:r w:rsidRPr="004823A0">
        <w:rPr>
          <w:bCs/>
          <w:lang w:val="en-GB"/>
        </w:rPr>
        <w:t xml:space="preserve"> applying this Regulation shall continue to grant extensions of existing approvals to any preceding series of amendments to this </w:t>
      </w:r>
      <w:r w:rsidR="00A05D3D" w:rsidRPr="004823A0">
        <w:rPr>
          <w:bCs/>
          <w:lang w:val="en-GB"/>
        </w:rPr>
        <w:t>Regulation.</w:t>
      </w:r>
    </w:p>
    <w:p w14:paraId="1808DF56" w14:textId="77777777" w:rsidR="0068478F" w:rsidRPr="00916B87" w:rsidRDefault="0068478F" w:rsidP="0068478F">
      <w:pPr>
        <w:rPr>
          <w:bCs/>
          <w:u w:val="single"/>
          <w:lang w:val="en-GB"/>
        </w:rPr>
      </w:pPr>
    </w:p>
    <w:p w14:paraId="276CAABB" w14:textId="77777777" w:rsidR="0068478F" w:rsidRPr="00916B87" w:rsidRDefault="0068478F" w:rsidP="0068478F">
      <w:pPr>
        <w:ind w:left="1134"/>
        <w:jc w:val="center"/>
        <w:rPr>
          <w:u w:val="single"/>
          <w:lang w:val="en-GB"/>
        </w:rPr>
      </w:pPr>
      <w:r w:rsidRPr="00916B87">
        <w:rPr>
          <w:u w:val="single"/>
          <w:lang w:val="en-GB"/>
        </w:rPr>
        <w:tab/>
      </w:r>
      <w:r w:rsidRPr="00916B87">
        <w:rPr>
          <w:u w:val="single"/>
          <w:lang w:val="en-GB"/>
        </w:rPr>
        <w:tab/>
      </w:r>
      <w:r w:rsidRPr="00916B87">
        <w:rPr>
          <w:u w:val="single"/>
          <w:lang w:val="en-GB"/>
        </w:rPr>
        <w:tab/>
      </w:r>
      <w:r w:rsidRPr="00916B87">
        <w:rPr>
          <w:u w:val="single"/>
          <w:lang w:val="en-GB"/>
        </w:rPr>
        <w:tab/>
      </w:r>
    </w:p>
    <w:p w14:paraId="0EDE932A" w14:textId="77777777" w:rsidR="0068478F" w:rsidRPr="004823A0" w:rsidRDefault="0068478F" w:rsidP="0068478F">
      <w:pPr>
        <w:ind w:left="1134"/>
        <w:jc w:val="center"/>
        <w:rPr>
          <w:lang w:val="en-GB"/>
        </w:rPr>
      </w:pPr>
    </w:p>
    <w:p w14:paraId="0BC073D3" w14:textId="77777777" w:rsidR="0068478F" w:rsidRPr="004823A0" w:rsidRDefault="0068478F" w:rsidP="0068478F">
      <w:pPr>
        <w:pStyle w:val="a4"/>
        <w:rPr>
          <w:lang w:val="en-GB"/>
        </w:rPr>
      </w:pPr>
      <w:r w:rsidRPr="004823A0">
        <w:rPr>
          <w:lang w:val="en-GB"/>
        </w:rPr>
        <w:tab/>
      </w:r>
      <w:r w:rsidRPr="004823A0">
        <w:rPr>
          <w:rStyle w:val="a3"/>
          <w:rFonts w:hint="eastAsia"/>
          <w:lang w:val="en-US" w:eastAsia="ja-JP"/>
        </w:rPr>
        <w:t>4</w:t>
      </w:r>
      <w:r w:rsidRPr="004823A0">
        <w:rPr>
          <w:lang w:val="en-GB"/>
        </w:rPr>
        <w:t xml:space="preserve"> </w:t>
      </w:r>
      <w:r w:rsidRPr="004823A0">
        <w:rPr>
          <w:lang w:val="en-GB"/>
        </w:rPr>
        <w:tab/>
      </w:r>
      <w:r w:rsidRPr="004823A0">
        <w:rPr>
          <w:rFonts w:hint="eastAsia"/>
          <w:lang w:val="en-US" w:eastAsia="ja-JP"/>
        </w:rPr>
        <w:t>Interpretation</w:t>
      </w:r>
      <w:r w:rsidRPr="004823A0">
        <w:rPr>
          <w:lang w:val="en-US" w:eastAsia="ja-JP"/>
        </w:rPr>
        <w:t xml:space="preserve"> of the term’’ series’’ as singular or plural in the phrase </w:t>
      </w:r>
      <w:proofErr w:type="gramStart"/>
      <w:r w:rsidRPr="004823A0">
        <w:rPr>
          <w:lang w:val="en-US" w:eastAsia="ja-JP"/>
        </w:rPr>
        <w:t>of ’</w:t>
      </w:r>
      <w:proofErr w:type="gramEnd"/>
      <w:r w:rsidRPr="004823A0">
        <w:rPr>
          <w:lang w:val="en-US" w:eastAsia="ja-JP"/>
        </w:rPr>
        <w:t>’the preceding series of amend</w:t>
      </w:r>
      <w:r w:rsidRPr="004823A0">
        <w:rPr>
          <w:rFonts w:hint="eastAsia"/>
          <w:lang w:val="en-US" w:eastAsia="ja-JP"/>
        </w:rPr>
        <w:t>m</w:t>
      </w:r>
      <w:r w:rsidRPr="004823A0">
        <w:rPr>
          <w:lang w:val="en-US" w:eastAsia="ja-JP"/>
        </w:rPr>
        <w:t xml:space="preserve">ents’’ in each paragraph </w:t>
      </w:r>
      <w:r w:rsidRPr="004823A0">
        <w:rPr>
          <w:rFonts w:hint="eastAsia"/>
          <w:lang w:val="en-US" w:eastAsia="ja-JP"/>
        </w:rPr>
        <w:t>b</w:t>
      </w:r>
      <w:r w:rsidRPr="004823A0">
        <w:rPr>
          <w:lang w:val="en-US" w:eastAsia="ja-JP"/>
        </w:rPr>
        <w:t xml:space="preserve">elow is basic understanding of the case, but not limited to it.  </w:t>
      </w:r>
    </w:p>
    <w:p w14:paraId="6BD5A995" w14:textId="7ED7A193" w:rsidR="0068478F" w:rsidRPr="00A62E32" w:rsidRDefault="0068478F">
      <w:pPr>
        <w:rPr>
          <w:lang w:val="en-US"/>
        </w:rPr>
      </w:pPr>
    </w:p>
    <w:p w14:paraId="315E8CB3" w14:textId="77777777" w:rsidR="0068478F" w:rsidRPr="00A62E32" w:rsidRDefault="0068478F">
      <w:pPr>
        <w:rPr>
          <w:lang w:val="en-US"/>
        </w:rPr>
      </w:pPr>
    </w:p>
    <w:sectPr w:rsidR="0068478F" w:rsidRPr="00A62E3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B79D" w14:textId="77777777" w:rsidR="006D520A" w:rsidRDefault="006D520A" w:rsidP="0068478F">
      <w:r>
        <w:separator/>
      </w:r>
    </w:p>
  </w:endnote>
  <w:endnote w:type="continuationSeparator" w:id="0">
    <w:p w14:paraId="28DB028C" w14:textId="77777777" w:rsidR="006D520A" w:rsidRDefault="006D520A" w:rsidP="0068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00BF" w14:textId="77777777" w:rsidR="00C76DE9" w:rsidRDefault="00C76D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A13D" w14:textId="77777777" w:rsidR="00C76DE9" w:rsidRDefault="00C76DE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8B2F" w14:textId="77777777" w:rsidR="00C76DE9" w:rsidRDefault="00C76D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E3A9" w14:textId="77777777" w:rsidR="006D520A" w:rsidRDefault="006D520A" w:rsidP="0068478F">
      <w:r>
        <w:separator/>
      </w:r>
    </w:p>
  </w:footnote>
  <w:footnote w:type="continuationSeparator" w:id="0">
    <w:p w14:paraId="06DBDDBA" w14:textId="77777777" w:rsidR="006D520A" w:rsidRDefault="006D520A" w:rsidP="0068478F">
      <w:r>
        <w:continuationSeparator/>
      </w:r>
    </w:p>
  </w:footnote>
  <w:footnote w:id="1">
    <w:p w14:paraId="712816A7" w14:textId="77777777" w:rsidR="0068478F" w:rsidRPr="009252FB" w:rsidRDefault="0068478F" w:rsidP="0068478F">
      <w:pPr>
        <w:pStyle w:val="a4"/>
        <w:rPr>
          <w:lang w:val="en-GB"/>
        </w:rPr>
      </w:pPr>
      <w:r>
        <w:rPr>
          <w:lang w:val="en-GB"/>
        </w:rPr>
        <w:tab/>
      </w:r>
      <w:r>
        <w:rPr>
          <w:rStyle w:val="a3"/>
        </w:rPr>
        <w:footnoteRef/>
      </w:r>
      <w:r w:rsidRPr="009252FB">
        <w:rPr>
          <w:lang w:val="en-GB"/>
        </w:rPr>
        <w:t xml:space="preserve"> </w:t>
      </w:r>
      <w:r>
        <w:rPr>
          <w:lang w:val="en-GB"/>
        </w:rPr>
        <w:tab/>
      </w:r>
      <w:r w:rsidRPr="009252FB">
        <w:rPr>
          <w:lang w:val="en-GB"/>
        </w:rPr>
        <w:t>Special case 1-1:</w:t>
      </w:r>
      <w:r w:rsidRPr="009252FB">
        <w:rPr>
          <w:lang w:val="en-GB"/>
        </w:rPr>
        <w:tab/>
        <w:t>V.6 can be used in addition to V.4 when requirements for the installation of equipment/parts are added to a UN Regulation but without modifying the requirements of, and the approval markings for these equipment/parts.</w:t>
      </w:r>
    </w:p>
  </w:footnote>
  <w:footnote w:id="2">
    <w:p w14:paraId="29F9FCEE" w14:textId="77777777" w:rsidR="0068478F" w:rsidRPr="009252FB" w:rsidRDefault="0068478F" w:rsidP="0068478F">
      <w:pPr>
        <w:pStyle w:val="a4"/>
        <w:rPr>
          <w:lang w:val="en-GB"/>
        </w:rPr>
      </w:pPr>
      <w:r>
        <w:rPr>
          <w:lang w:val="en-GB"/>
        </w:rPr>
        <w:tab/>
      </w:r>
      <w:r>
        <w:rPr>
          <w:rStyle w:val="a3"/>
        </w:rPr>
        <w:footnoteRef/>
      </w:r>
      <w:r w:rsidRPr="009252FB">
        <w:rPr>
          <w:lang w:val="en-GB"/>
        </w:rPr>
        <w:t xml:space="preserve"> </w:t>
      </w:r>
      <w:r>
        <w:rPr>
          <w:lang w:val="en-GB"/>
        </w:rPr>
        <w:tab/>
      </w:r>
      <w:r w:rsidRPr="009252FB">
        <w:rPr>
          <w:lang w:val="en-GB"/>
        </w:rPr>
        <w:t>Special case 1-2:</w:t>
      </w:r>
      <w:r w:rsidRPr="009252FB">
        <w:rPr>
          <w:lang w:val="en-GB"/>
        </w:rPr>
        <w:tab/>
        <w:t>V.7 can be used in addition to V.4 when some vehicle categories/vehicle systems are not affected by the amendment.</w:t>
      </w:r>
    </w:p>
  </w:footnote>
  <w:footnote w:id="3">
    <w:p w14:paraId="7668FE77" w14:textId="77777777" w:rsidR="0068478F" w:rsidRPr="009252FB" w:rsidRDefault="0068478F" w:rsidP="0068478F">
      <w:pPr>
        <w:pStyle w:val="a4"/>
        <w:rPr>
          <w:lang w:val="en-GB"/>
        </w:rPr>
      </w:pPr>
      <w:r>
        <w:rPr>
          <w:lang w:val="en-GB"/>
        </w:rPr>
        <w:tab/>
      </w:r>
      <w:r>
        <w:rPr>
          <w:rStyle w:val="a3"/>
        </w:rPr>
        <w:footnoteRef/>
      </w:r>
      <w:r w:rsidRPr="009252FB">
        <w:rPr>
          <w:lang w:val="en-GB"/>
        </w:rPr>
        <w:t xml:space="preserve"> </w:t>
      </w:r>
      <w:r w:rsidRPr="009252FB">
        <w:rPr>
          <w:lang w:val="en-GB"/>
        </w:rPr>
        <w:tab/>
        <w:t>Special case 1-3:</w:t>
      </w:r>
      <w:r w:rsidRPr="009252FB">
        <w:rPr>
          <w:lang w:val="en-GB"/>
        </w:rPr>
        <w:tab/>
        <w:t>V.8 replaces V.3 and V.4 in the case of indefinite acceptance of existing approvals previously granted according to the former series of amendments.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98CD" w14:textId="77777777" w:rsidR="00C76DE9" w:rsidRDefault="00C76DE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255B" w14:textId="4DCFB146" w:rsidR="00C76DE9" w:rsidRDefault="00C76DE9" w:rsidP="00C76DE9">
    <w:pPr>
      <w:pStyle w:val="a6"/>
      <w:jc w:val="both"/>
    </w:pPr>
    <w:r>
      <w:rPr>
        <w:rFonts w:hint="eastAsia"/>
        <w:lang w:eastAsia="ja-JP"/>
      </w:rPr>
      <w:t>Transmitted</w:t>
    </w:r>
    <w:r>
      <w:rPr>
        <w:lang w:eastAsia="ja-JP"/>
      </w:rPr>
      <w:t xml:space="preserve"> </w:t>
    </w:r>
    <w:r>
      <w:rPr>
        <w:rFonts w:hint="eastAsia"/>
        <w:lang w:eastAsia="ja-JP"/>
      </w:rPr>
      <w:t>by</w:t>
    </w:r>
    <w:r>
      <w:rPr>
        <w:lang w:eastAsia="ja-JP"/>
      </w:rPr>
      <w:t xml:space="preserve"> the representative of UK                        IWVTA-42-07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6D16" w14:textId="77777777" w:rsidR="00C76DE9" w:rsidRDefault="00C76DE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85A65"/>
    <w:multiLevelType w:val="hybridMultilevel"/>
    <w:tmpl w:val="5954435C"/>
    <w:lvl w:ilvl="0" w:tplc="08090001">
      <w:start w:val="1"/>
      <w:numFmt w:val="bullet"/>
      <w:lvlText w:val=""/>
      <w:lvlJc w:val="left"/>
      <w:pPr>
        <w:ind w:left="390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888538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8F"/>
    <w:rsid w:val="0068478F"/>
    <w:rsid w:val="006D520A"/>
    <w:rsid w:val="00804316"/>
    <w:rsid w:val="0088389D"/>
    <w:rsid w:val="008D3F95"/>
    <w:rsid w:val="00A05D3D"/>
    <w:rsid w:val="00A62E32"/>
    <w:rsid w:val="00C76D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EA5D84"/>
  <w15:chartTrackingRefBased/>
  <w15:docId w15:val="{98AFD07A-863C-46FF-B2F0-C236494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8F"/>
    <w:pPr>
      <w:spacing w:after="0" w:line="240" w:lineRule="auto"/>
      <w:ind w:left="2268" w:right="1134"/>
    </w:pPr>
    <w:rPr>
      <w:rFonts w:ascii="Times New Roman" w:eastAsia="ＭＳ 明朝" w:hAnsi="Times New Roman" w:cs="Times New Roman"/>
      <w:sz w:val="20"/>
      <w:szCs w:val="20"/>
      <w:lang w:val="fr-C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G">
    <w:name w:val="_ H_1_G"/>
    <w:basedOn w:val="a"/>
    <w:next w:val="a"/>
    <w:link w:val="H1GChar"/>
    <w:rsid w:val="0068478F"/>
    <w:pPr>
      <w:keepNext/>
      <w:keepLines/>
      <w:tabs>
        <w:tab w:val="right" w:pos="851"/>
      </w:tabs>
      <w:spacing w:before="360" w:after="240" w:line="270" w:lineRule="exact"/>
      <w:ind w:left="1134" w:hanging="1134"/>
    </w:pPr>
    <w:rPr>
      <w:b/>
      <w:sz w:val="24"/>
    </w:rPr>
  </w:style>
  <w:style w:type="character" w:styleId="a3">
    <w:name w:val="footnote reference"/>
    <w:aliases w:val="4_G,(Footnote Reference),-E Fußnotenzeichen,BVI fnr, BVI fnr,Footnote symbol,Footnote,Footnote Reference Superscript,SUPERS"/>
    <w:rsid w:val="0068478F"/>
    <w:rPr>
      <w:rFonts w:ascii="Times New Roman" w:hAnsi="Times New Roman"/>
      <w:sz w:val="18"/>
      <w:vertAlign w:val="superscript"/>
      <w:lang w:val="fr-CH"/>
    </w:rPr>
  </w:style>
  <w:style w:type="paragraph" w:styleId="a4">
    <w:name w:val="footnote text"/>
    <w:aliases w:val="5_G,PP"/>
    <w:basedOn w:val="a"/>
    <w:link w:val="a5"/>
    <w:rsid w:val="0068478F"/>
    <w:pPr>
      <w:tabs>
        <w:tab w:val="right" w:pos="1021"/>
      </w:tabs>
      <w:spacing w:line="220" w:lineRule="exact"/>
      <w:ind w:left="1134" w:hanging="1134"/>
    </w:pPr>
    <w:rPr>
      <w:sz w:val="18"/>
    </w:rPr>
  </w:style>
  <w:style w:type="character" w:customStyle="1" w:styleId="a5">
    <w:name w:val="脚注文字列 (文字)"/>
    <w:aliases w:val="5_G (文字),PP (文字)"/>
    <w:basedOn w:val="a0"/>
    <w:link w:val="a4"/>
    <w:rsid w:val="0068478F"/>
    <w:rPr>
      <w:rFonts w:ascii="Times New Roman" w:eastAsia="ＭＳ 明朝" w:hAnsi="Times New Roman" w:cs="Times New Roman"/>
      <w:sz w:val="18"/>
      <w:szCs w:val="20"/>
      <w:lang w:val="fr-CH"/>
    </w:rPr>
  </w:style>
  <w:style w:type="character" w:customStyle="1" w:styleId="H1GChar">
    <w:name w:val="_ H_1_G Char"/>
    <w:link w:val="H1G"/>
    <w:rsid w:val="0068478F"/>
    <w:rPr>
      <w:rFonts w:ascii="Times New Roman" w:eastAsia="ＭＳ 明朝" w:hAnsi="Times New Roman" w:cs="Times New Roman"/>
      <w:b/>
      <w:sz w:val="24"/>
      <w:szCs w:val="20"/>
      <w:lang w:val="fr-CH"/>
    </w:rPr>
  </w:style>
  <w:style w:type="paragraph" w:styleId="a6">
    <w:name w:val="header"/>
    <w:basedOn w:val="a"/>
    <w:link w:val="a7"/>
    <w:uiPriority w:val="99"/>
    <w:unhideWhenUsed/>
    <w:rsid w:val="00C76DE9"/>
    <w:pPr>
      <w:tabs>
        <w:tab w:val="center" w:pos="4252"/>
        <w:tab w:val="right" w:pos="8504"/>
      </w:tabs>
      <w:snapToGrid w:val="0"/>
    </w:pPr>
  </w:style>
  <w:style w:type="character" w:customStyle="1" w:styleId="a7">
    <w:name w:val="ヘッダー (文字)"/>
    <w:basedOn w:val="a0"/>
    <w:link w:val="a6"/>
    <w:uiPriority w:val="99"/>
    <w:rsid w:val="00C76DE9"/>
    <w:rPr>
      <w:rFonts w:ascii="Times New Roman" w:eastAsia="ＭＳ 明朝" w:hAnsi="Times New Roman" w:cs="Times New Roman"/>
      <w:sz w:val="20"/>
      <w:szCs w:val="20"/>
      <w:lang w:val="fr-CH"/>
    </w:rPr>
  </w:style>
  <w:style w:type="paragraph" w:styleId="a8">
    <w:name w:val="footer"/>
    <w:basedOn w:val="a"/>
    <w:link w:val="a9"/>
    <w:uiPriority w:val="99"/>
    <w:unhideWhenUsed/>
    <w:rsid w:val="00C76DE9"/>
    <w:pPr>
      <w:tabs>
        <w:tab w:val="center" w:pos="4252"/>
        <w:tab w:val="right" w:pos="8504"/>
      </w:tabs>
      <w:snapToGrid w:val="0"/>
    </w:pPr>
  </w:style>
  <w:style w:type="character" w:customStyle="1" w:styleId="a9">
    <w:name w:val="フッター (文字)"/>
    <w:basedOn w:val="a0"/>
    <w:link w:val="a8"/>
    <w:uiPriority w:val="99"/>
    <w:rsid w:val="00C76DE9"/>
    <w:rPr>
      <w:rFonts w:ascii="Times New Roman" w:eastAsia="ＭＳ 明朝" w:hAnsi="Times New Roman" w:cs="Times New Roman"/>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for Transport</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Yarnold</dc:creator>
  <cp:keywords/>
  <dc:description/>
  <cp:lastModifiedBy>R.Oshita</cp:lastModifiedBy>
  <cp:revision>3</cp:revision>
  <dcterms:created xsi:type="dcterms:W3CDTF">2023-05-16T04:00:00Z</dcterms:created>
  <dcterms:modified xsi:type="dcterms:W3CDTF">2023-05-16T04:34:00Z</dcterms:modified>
</cp:coreProperties>
</file>