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D49954" w14:textId="684423FB" w:rsidR="00116C8C" w:rsidRPr="006D7C62" w:rsidRDefault="00116C8C">
      <w:pPr>
        <w:pStyle w:val="ListParagraph"/>
        <w:numPr>
          <w:ilvl w:val="0"/>
          <w:numId w:val="1"/>
        </w:numPr>
        <w:jc w:val="right"/>
        <w:rPr>
          <w:rFonts w:asciiTheme="majorHAnsi" w:hAnsiTheme="majorHAnsi"/>
        </w:rPr>
      </w:pPr>
    </w:p>
    <w:sdt>
      <w:sdtPr>
        <w:rPr>
          <w:rFonts w:asciiTheme="majorHAnsi" w:hAnsiTheme="majorHAnsi"/>
        </w:rPr>
        <w:id w:val="917287752"/>
        <w:docPartObj>
          <w:docPartGallery w:val="Cover Pages"/>
          <w:docPartUnique/>
        </w:docPartObj>
      </w:sdtPr>
      <w:sdtEndPr/>
      <w:sdtContent>
        <w:sdt>
          <w:sdtPr>
            <w:rPr>
              <w:rFonts w:asciiTheme="majorHAnsi" w:hAnsiTheme="majorHAnsi"/>
            </w:rPr>
            <w:id w:val="2092344825"/>
            <w:docPartObj>
              <w:docPartGallery w:val="Cover Pages"/>
              <w:docPartUnique/>
            </w:docPartObj>
          </w:sdtPr>
          <w:sdtEndPr/>
          <w:sdtContent>
            <w:p w14:paraId="34796774" w14:textId="77777777" w:rsidR="00A34D7E" w:rsidRPr="006D7C62" w:rsidRDefault="00A34D7E" w:rsidP="00A34D7E">
              <w:pPr>
                <w:rPr>
                  <w:rFonts w:asciiTheme="majorHAnsi" w:hAnsiTheme="majorHAnsi"/>
                </w:rPr>
              </w:pPr>
              <w:r w:rsidRPr="006D7C62">
                <w:rPr>
                  <w:rFonts w:asciiTheme="majorHAnsi" w:hAnsiTheme="majorHAnsi"/>
                  <w:noProof/>
                </w:rPr>
                <mc:AlternateContent>
                  <mc:Choice Requires="wps">
                    <w:drawing>
                      <wp:anchor distT="0" distB="0" distL="114300" distR="114300" simplePos="0" relativeHeight="251658241" behindDoc="0" locked="0" layoutInCell="1" allowOverlap="1" wp14:anchorId="07D68D9D" wp14:editId="0EC7FAC9">
                        <wp:simplePos x="0" y="0"/>
                        <wp:positionH relativeFrom="column">
                          <wp:posOffset>-1689837</wp:posOffset>
                        </wp:positionH>
                        <wp:positionV relativeFrom="paragraph">
                          <wp:posOffset>379273</wp:posOffset>
                        </wp:positionV>
                        <wp:extent cx="1572768" cy="0"/>
                        <wp:effectExtent l="0" t="0" r="0" b="0"/>
                        <wp:wrapNone/>
                        <wp:docPr id="8" name="Gerader Verbinder 8" descr="P3#y1"/>
                        <wp:cNvGraphicFramePr/>
                        <a:graphic xmlns:a="http://schemas.openxmlformats.org/drawingml/2006/main">
                          <a:graphicData uri="http://schemas.microsoft.com/office/word/2010/wordprocessingShape">
                            <wps:wsp>
                              <wps:cNvCnPr/>
                              <wps:spPr>
                                <a:xfrm>
                                  <a:off x="0" y="0"/>
                                  <a:ext cx="1572768"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w:pict w14:anchorId="58CF7D85">
                      <v:line id="Gerader Verbinder 8"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alt="P3#y1" o:spid="_x0000_s1026" strokecolor="black [3200]" strokeweight="1.5pt" from="-133.05pt,29.85pt" to="-9.2pt,29.85pt" w14:anchorId="6D7909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">
                        <v:stroke joinstyle="miter"/>
                      </v:line>
                    </w:pict>
                  </mc:Fallback>
                </mc:AlternateContent>
              </w:r>
            </w:p>
            <w:p w14:paraId="517A02D3" w14:textId="6273748B" w:rsidR="00A34D7E" w:rsidRPr="00464690" w:rsidRDefault="00464690" w:rsidP="00311D15">
              <w:pPr>
                <w:pStyle w:val="Subtitle"/>
                <w:rPr>
                  <w:rFonts w:ascii="Calibri" w:hAnsi="Calibri" w:cs="Calibri"/>
                </w:rPr>
              </w:pPr>
              <w:r w:rsidRPr="00464690">
                <w:rPr>
                  <w:rFonts w:ascii="Calibri" w:hAnsi="Calibri" w:cs="Calibri"/>
                </w:rPr>
                <w:t>A-LCA Methodology draft</w:t>
              </w:r>
            </w:p>
            <w:p w14:paraId="103D2B22" w14:textId="2B97F1EE" w:rsidR="00A34D7E" w:rsidRDefault="00A34D7E" w:rsidP="00A34D7E">
              <w:pPr>
                <w:rPr>
                  <w:rFonts w:asciiTheme="majorHAnsi" w:hAnsiTheme="majorHAnsi"/>
                </w:rPr>
              </w:pPr>
            </w:p>
            <w:p w14:paraId="53CBBA71" w14:textId="77777777" w:rsidR="00464690" w:rsidRPr="006D7C62" w:rsidRDefault="00464690" w:rsidP="00A34D7E">
              <w:pPr>
                <w:rPr>
                  <w:rFonts w:asciiTheme="majorHAnsi" w:hAnsiTheme="majorHAnsi"/>
                </w:rPr>
              </w:pPr>
            </w:p>
            <w:p w14:paraId="7F28F8A5" w14:textId="61D7D331" w:rsidR="00821E38" w:rsidRPr="006D7C62" w:rsidRDefault="00821E38" w:rsidP="00A34D7E">
              <w:pPr>
                <w:rPr>
                  <w:rFonts w:asciiTheme="majorHAnsi" w:hAnsiTheme="majorHAnsi"/>
                </w:rPr>
              </w:pPr>
            </w:p>
            <w:p w14:paraId="2FCDE561" w14:textId="3BD1B543" w:rsidR="00821E38" w:rsidRPr="00464690" w:rsidRDefault="00F64E03" w:rsidP="00A34D7E">
              <w:pPr>
                <w:rPr>
                  <w:rFonts w:ascii="Calibri" w:hAnsi="Calibri" w:cs="Calibri"/>
                  <w:sz w:val="96"/>
                  <w:szCs w:val="240"/>
                </w:rPr>
              </w:pPr>
              <w:r>
                <w:rPr>
                  <w:rFonts w:ascii="Calibri" w:hAnsi="Calibri" w:cs="Calibri"/>
                  <w:sz w:val="96"/>
                  <w:szCs w:val="240"/>
                </w:rPr>
                <w:t xml:space="preserve">A-LCA Methodology </w:t>
              </w:r>
            </w:p>
            <w:p w14:paraId="68830B0D" w14:textId="064BD947" w:rsidR="00821E38" w:rsidRPr="006D7C62" w:rsidRDefault="00821E38" w:rsidP="00A34D7E">
              <w:pPr>
                <w:rPr>
                  <w:rFonts w:asciiTheme="majorHAnsi" w:hAnsiTheme="majorHAnsi"/>
                </w:rPr>
              </w:pPr>
            </w:p>
            <w:p w14:paraId="26DB2D52" w14:textId="416662EE" w:rsidR="00821E38" w:rsidRPr="006D7C62" w:rsidRDefault="00821E38" w:rsidP="00A34D7E">
              <w:pPr>
                <w:rPr>
                  <w:rFonts w:asciiTheme="majorHAnsi" w:hAnsiTheme="majorHAnsi"/>
                </w:rPr>
              </w:pPr>
            </w:p>
            <w:p w14:paraId="0FEE0A86" w14:textId="3A1663CA" w:rsidR="00821E38" w:rsidRPr="006D7C62" w:rsidRDefault="00821E38" w:rsidP="00A34D7E">
              <w:pPr>
                <w:rPr>
                  <w:rFonts w:asciiTheme="majorHAnsi" w:hAnsiTheme="majorHAnsi"/>
                </w:rPr>
              </w:pPr>
            </w:p>
            <w:p w14:paraId="07FEFD33" w14:textId="3011B9B1" w:rsidR="00821E38" w:rsidRPr="00F64E03" w:rsidRDefault="00F64E03" w:rsidP="00A34D7E">
              <w:pPr>
                <w:rPr>
                  <w:rFonts w:asciiTheme="majorHAnsi" w:hAnsiTheme="majorHAnsi"/>
                  <w:color w:val="859721" w:themeColor="accent2" w:themeShade="BF"/>
                </w:rPr>
              </w:pPr>
              <w:r w:rsidRPr="00F64E03">
                <w:rPr>
                  <w:rFonts w:asciiTheme="majorHAnsi" w:hAnsiTheme="majorHAnsi"/>
                  <w:color w:val="859721" w:themeColor="accent2" w:themeShade="BF"/>
                </w:rPr>
                <w:t>Green text:</w:t>
              </w:r>
              <w:r w:rsidRPr="00F64E03">
                <w:rPr>
                  <w:rFonts w:asciiTheme="majorHAnsi" w:hAnsiTheme="majorHAnsi"/>
                  <w:color w:val="859721" w:themeColor="accent2" w:themeShade="BF"/>
                </w:rPr>
                <w:tab/>
                <w:t>Fully agreed</w:t>
              </w:r>
            </w:p>
            <w:p w14:paraId="43A1EEBE" w14:textId="4B8D4D20" w:rsidR="00F64E03" w:rsidRPr="00F64E03" w:rsidRDefault="002006E6" w:rsidP="00A34D7E">
              <w:pPr>
                <w:rPr>
                  <w:rFonts w:asciiTheme="majorHAnsi" w:hAnsiTheme="majorHAnsi"/>
                  <w:color w:val="FFA600" w:themeColor="accent1"/>
                </w:rPr>
              </w:pPr>
              <w:r>
                <w:rPr>
                  <w:rFonts w:asciiTheme="majorHAnsi" w:hAnsiTheme="majorHAnsi"/>
                  <w:color w:val="FFA600" w:themeColor="accent1"/>
                </w:rPr>
                <w:t>Orange</w:t>
              </w:r>
              <w:r w:rsidR="00F64E03" w:rsidRPr="00F64E03">
                <w:rPr>
                  <w:rFonts w:asciiTheme="majorHAnsi" w:hAnsiTheme="majorHAnsi"/>
                  <w:color w:val="FFA600" w:themeColor="accent1"/>
                </w:rPr>
                <w:t xml:space="preserve"> te</w:t>
              </w:r>
              <w:r>
                <w:rPr>
                  <w:rFonts w:asciiTheme="majorHAnsi" w:hAnsiTheme="majorHAnsi"/>
                  <w:color w:val="FFA600" w:themeColor="accent1"/>
                </w:rPr>
                <w:t>x</w:t>
              </w:r>
              <w:r w:rsidR="00F64E03" w:rsidRPr="00F64E03">
                <w:rPr>
                  <w:rFonts w:asciiTheme="majorHAnsi" w:hAnsiTheme="majorHAnsi"/>
                  <w:color w:val="FFA600" w:themeColor="accent1"/>
                </w:rPr>
                <w:t>t:</w:t>
              </w:r>
              <w:r w:rsidR="00F64E03" w:rsidRPr="00F64E03">
                <w:rPr>
                  <w:rFonts w:asciiTheme="majorHAnsi" w:hAnsiTheme="majorHAnsi"/>
                  <w:color w:val="FFA600" w:themeColor="accent1"/>
                </w:rPr>
                <w:tab/>
                <w:t>Part</w:t>
              </w:r>
              <w:r>
                <w:rPr>
                  <w:rFonts w:asciiTheme="majorHAnsi" w:hAnsiTheme="majorHAnsi"/>
                  <w:color w:val="FFA600" w:themeColor="accent1"/>
                </w:rPr>
                <w:t>ial</w:t>
              </w:r>
              <w:r w:rsidR="00F64E03" w:rsidRPr="00F64E03">
                <w:rPr>
                  <w:rFonts w:asciiTheme="majorHAnsi" w:hAnsiTheme="majorHAnsi"/>
                  <w:color w:val="FFA600" w:themeColor="accent1"/>
                </w:rPr>
                <w:t>ly agreed</w:t>
              </w:r>
            </w:p>
            <w:p w14:paraId="422DED25" w14:textId="5C12EA9E" w:rsidR="00821E38" w:rsidRPr="00D1116F" w:rsidRDefault="00D1116F" w:rsidP="00A34D7E">
              <w:pPr>
                <w:rPr>
                  <w:rFonts w:asciiTheme="majorHAnsi" w:hAnsiTheme="majorHAnsi"/>
                  <w:color w:val="30BBF9" w:themeColor="accent5" w:themeTint="99"/>
                </w:rPr>
              </w:pPr>
              <w:r w:rsidRPr="00D1116F">
                <w:rPr>
                  <w:rFonts w:asciiTheme="majorHAnsi" w:hAnsiTheme="majorHAnsi"/>
                  <w:color w:val="30BBF9" w:themeColor="accent5" w:themeTint="99"/>
                </w:rPr>
                <w:t>Turquoise</w:t>
              </w:r>
              <w:r>
                <w:rPr>
                  <w:rFonts w:asciiTheme="majorHAnsi" w:hAnsiTheme="majorHAnsi"/>
                  <w:color w:val="30BBF9" w:themeColor="accent5" w:themeTint="99"/>
                </w:rPr>
                <w:t xml:space="preserve"> text:</w:t>
              </w:r>
              <w:r>
                <w:rPr>
                  <w:rFonts w:asciiTheme="majorHAnsi" w:hAnsiTheme="majorHAnsi"/>
                  <w:color w:val="30BBF9" w:themeColor="accent5" w:themeTint="99"/>
                </w:rPr>
                <w:tab/>
                <w:t>Discussion ongoing</w:t>
              </w:r>
            </w:p>
            <w:p w14:paraId="5F4D64FD" w14:textId="37281919" w:rsidR="00821E38" w:rsidRPr="006D7C62" w:rsidRDefault="00821E38" w:rsidP="00A34D7E">
              <w:pPr>
                <w:rPr>
                  <w:rFonts w:asciiTheme="majorHAnsi" w:hAnsiTheme="majorHAnsi"/>
                </w:rPr>
              </w:pPr>
            </w:p>
            <w:p w14:paraId="1857B019" w14:textId="5DFED91C" w:rsidR="00821E38" w:rsidRPr="00267C18" w:rsidRDefault="00267C18" w:rsidP="00A34D7E">
              <w:pPr>
                <w:rPr>
                  <w:rFonts w:asciiTheme="majorHAnsi" w:hAnsiTheme="majorHAnsi"/>
                  <w:color w:val="7030A0"/>
                </w:rPr>
              </w:pPr>
              <w:r w:rsidRPr="00267C18">
                <w:rPr>
                  <w:rFonts w:asciiTheme="majorHAnsi" w:hAnsiTheme="majorHAnsi"/>
                  <w:color w:val="7030A0"/>
                </w:rPr>
                <w:t>Accepted text-&gt; Purple</w:t>
              </w:r>
            </w:p>
            <w:p w14:paraId="0B215601" w14:textId="18ED173E" w:rsidR="00821E38" w:rsidRPr="00267C18" w:rsidRDefault="00821E38" w:rsidP="00A34D7E">
              <w:pPr>
                <w:rPr>
                  <w:rFonts w:asciiTheme="majorHAnsi" w:hAnsiTheme="majorHAnsi"/>
                  <w:color w:val="D91E18" w:themeColor="accent6"/>
                </w:rPr>
              </w:pPr>
            </w:p>
            <w:p w14:paraId="5AA165D0" w14:textId="27663B44" w:rsidR="00821E38" w:rsidRPr="00267C18" w:rsidRDefault="00267C18" w:rsidP="00A34D7E">
              <w:pPr>
                <w:rPr>
                  <w:rFonts w:asciiTheme="majorHAnsi" w:hAnsiTheme="majorHAnsi"/>
                  <w:color w:val="D91E18" w:themeColor="accent6"/>
                </w:rPr>
              </w:pPr>
              <w:r w:rsidRPr="00267C18">
                <w:rPr>
                  <w:rFonts w:asciiTheme="majorHAnsi" w:hAnsiTheme="majorHAnsi"/>
                  <w:color w:val="D91E18" w:themeColor="accent6"/>
                </w:rPr>
                <w:t>Terms for the definition</w:t>
              </w:r>
              <w:r>
                <w:rPr>
                  <w:rFonts w:asciiTheme="majorHAnsi" w:hAnsiTheme="majorHAnsi"/>
                  <w:color w:val="D91E18" w:themeColor="accent6"/>
                </w:rPr>
                <w:t xml:space="preserve"> section</w:t>
              </w:r>
            </w:p>
            <w:p w14:paraId="2D41292E" w14:textId="37D58B46" w:rsidR="00821E38" w:rsidRPr="006D7C62" w:rsidRDefault="00821E38" w:rsidP="00A34D7E">
              <w:pPr>
                <w:rPr>
                  <w:rFonts w:asciiTheme="majorHAnsi" w:hAnsiTheme="majorHAnsi"/>
                </w:rPr>
              </w:pPr>
            </w:p>
            <w:p w14:paraId="164CD3CD" w14:textId="1C660B02" w:rsidR="00821E38" w:rsidRPr="006D7C62" w:rsidRDefault="00821E38" w:rsidP="00A34D7E">
              <w:pPr>
                <w:rPr>
                  <w:rFonts w:asciiTheme="majorHAnsi" w:hAnsiTheme="majorHAnsi"/>
                </w:rPr>
              </w:pPr>
            </w:p>
            <w:p w14:paraId="11C113A9" w14:textId="371BFC42" w:rsidR="00821E38" w:rsidRPr="006D7C62" w:rsidRDefault="00821E38" w:rsidP="00A34D7E">
              <w:pPr>
                <w:rPr>
                  <w:rFonts w:asciiTheme="majorHAnsi" w:hAnsiTheme="majorHAnsi"/>
                </w:rPr>
              </w:pPr>
            </w:p>
            <w:p w14:paraId="47A93CDA" w14:textId="42905EF9" w:rsidR="00821E38" w:rsidRPr="006D7C62" w:rsidRDefault="00821E38" w:rsidP="00A34D7E">
              <w:pPr>
                <w:rPr>
                  <w:rFonts w:asciiTheme="majorHAnsi" w:hAnsiTheme="majorHAnsi"/>
                </w:rPr>
              </w:pPr>
            </w:p>
            <w:p w14:paraId="37983FE3" w14:textId="66D7C19A" w:rsidR="00821E38" w:rsidRPr="006D7C62" w:rsidRDefault="00821E38" w:rsidP="00A34D7E">
              <w:pPr>
                <w:rPr>
                  <w:rFonts w:asciiTheme="majorHAnsi" w:hAnsiTheme="majorHAnsi"/>
                </w:rPr>
              </w:pPr>
            </w:p>
            <w:p w14:paraId="2887CA13" w14:textId="6081102C" w:rsidR="00116C8C" w:rsidRPr="006D7C62" w:rsidRDefault="009F04F3" w:rsidP="00464690">
              <w:pPr>
                <w:rPr>
                  <w:rFonts w:asciiTheme="majorHAnsi" w:hAnsiTheme="majorHAnsi"/>
                </w:rPr>
              </w:pPr>
            </w:p>
          </w:sdtContent>
        </w:sdt>
      </w:sdtContent>
    </w:sdt>
    <w:p w14:paraId="68BE9847" w14:textId="727F3443" w:rsidR="00594632" w:rsidRDefault="00594632" w:rsidP="00603D04">
      <w:pPr>
        <w:pStyle w:val="TOCHeading"/>
        <w:rPr>
          <w:rFonts w:cs="Calibri"/>
        </w:rPr>
      </w:pPr>
      <w:r w:rsidRPr="00464690">
        <w:rPr>
          <w:rFonts w:cs="Calibri"/>
        </w:rPr>
        <w:lastRenderedPageBreak/>
        <w:t>Table</w:t>
      </w:r>
      <w:r w:rsidR="00501A6B" w:rsidRPr="00464690">
        <w:rPr>
          <w:rFonts w:cs="Calibri"/>
        </w:rPr>
        <w:t xml:space="preserve"> </w:t>
      </w:r>
      <w:r w:rsidRPr="00464690">
        <w:rPr>
          <w:rFonts w:cs="Calibri"/>
        </w:rPr>
        <w:t>of</w:t>
      </w:r>
      <w:r w:rsidR="00501A6B" w:rsidRPr="00464690">
        <w:rPr>
          <w:rFonts w:cs="Calibri"/>
        </w:rPr>
        <w:t xml:space="preserve"> </w:t>
      </w:r>
      <w:r w:rsidR="0034409B">
        <w:rPr>
          <w:rFonts w:cs="Calibri"/>
        </w:rPr>
        <w:t>C</w:t>
      </w:r>
      <w:r w:rsidRPr="00464690">
        <w:rPr>
          <w:rFonts w:cs="Calibri"/>
        </w:rPr>
        <w:t>ontents</w:t>
      </w:r>
    </w:p>
    <w:sdt>
      <w:sdtPr>
        <w:rPr>
          <w:rFonts w:asciiTheme="minorHAnsi" w:eastAsiaTheme="minorEastAsia" w:hAnsiTheme="minorHAnsi" w:cstheme="minorBidi"/>
          <w:color w:val="595959" w:themeColor="text2"/>
          <w:sz w:val="20"/>
          <w:szCs w:val="20"/>
          <w:lang w:val="de-DE"/>
        </w:rPr>
        <w:id w:val="179324186"/>
        <w:docPartObj>
          <w:docPartGallery w:val="Table of Contents"/>
          <w:docPartUnique/>
        </w:docPartObj>
      </w:sdtPr>
      <w:sdtEndPr>
        <w:rPr>
          <w:b/>
          <w:bCs/>
          <w:color w:val="000000" w:themeColor="text1"/>
          <w:lang w:val="en-US"/>
        </w:rPr>
      </w:sdtEndPr>
      <w:sdtContent>
        <w:p w14:paraId="1FE4A088" w14:textId="228D2439" w:rsidR="0034409B" w:rsidRDefault="00EB1550">
          <w:pPr>
            <w:pStyle w:val="TOCHeading"/>
          </w:pPr>
          <w:r w:rsidRPr="00A7554F">
            <w:t>Table of Content</w:t>
          </w:r>
        </w:p>
        <w:p w14:paraId="5C5CD5D1" w14:textId="7D40A59A" w:rsidR="008272DB" w:rsidRDefault="0034409B">
          <w:pPr>
            <w:pStyle w:val="TOC1"/>
            <w:rPr>
              <w:rFonts w:asciiTheme="minorHAnsi" w:eastAsiaTheme="minorEastAsia" w:hAnsiTheme="minorHAnsi" w:hint="eastAsia"/>
              <w:color w:val="auto"/>
              <w:kern w:val="2"/>
              <w:sz w:val="22"/>
              <w:lang w:val="de-DE" w:eastAsia="de-DE"/>
              <w14:ligatures w14:val="standardContextual"/>
            </w:rPr>
          </w:pPr>
          <w:r>
            <w:fldChar w:fldCharType="begin"/>
          </w:r>
          <w:r>
            <w:instrText xml:space="preserve"> TOC \o "1-3" \h \z \u </w:instrText>
          </w:r>
          <w:r>
            <w:fldChar w:fldCharType="separate"/>
          </w:r>
          <w:hyperlink w:anchor="_Toc178672654" w:history="1">
            <w:r w:rsidR="008272DB" w:rsidRPr="00D0725E">
              <w:rPr>
                <w:rStyle w:val="Hyperlink"/>
                <w:rFonts w:cs="Calibri"/>
              </w:rPr>
              <w:t>Preamble</w:t>
            </w:r>
            <w:r w:rsidR="008272DB">
              <w:rPr>
                <w:webHidden/>
              </w:rPr>
              <w:tab/>
            </w:r>
            <w:r w:rsidR="008272DB">
              <w:rPr>
                <w:webHidden/>
              </w:rPr>
              <w:fldChar w:fldCharType="begin"/>
            </w:r>
            <w:r w:rsidR="008272DB">
              <w:rPr>
                <w:webHidden/>
              </w:rPr>
              <w:instrText xml:space="preserve"> PAGEREF _Toc178672654 \h </w:instrText>
            </w:r>
            <w:r w:rsidR="008272DB">
              <w:rPr>
                <w:webHidden/>
              </w:rPr>
            </w:r>
            <w:r w:rsidR="008272DB">
              <w:rPr>
                <w:webHidden/>
              </w:rPr>
              <w:fldChar w:fldCharType="separate"/>
            </w:r>
            <w:r w:rsidR="008272DB">
              <w:rPr>
                <w:webHidden/>
              </w:rPr>
              <w:t>5</w:t>
            </w:r>
            <w:r w:rsidR="008272DB">
              <w:rPr>
                <w:webHidden/>
              </w:rPr>
              <w:fldChar w:fldCharType="end"/>
            </w:r>
          </w:hyperlink>
        </w:p>
        <w:p w14:paraId="70839561" w14:textId="3DF469B3"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55" w:history="1">
            <w:r w:rsidR="008272DB" w:rsidRPr="00D0725E">
              <w:rPr>
                <w:rStyle w:val="Hyperlink"/>
              </w:rPr>
              <w:t>1. Statement of technical rational and justification</w:t>
            </w:r>
            <w:r w:rsidR="008272DB">
              <w:rPr>
                <w:webHidden/>
              </w:rPr>
              <w:tab/>
            </w:r>
            <w:r w:rsidR="008272DB">
              <w:rPr>
                <w:webHidden/>
              </w:rPr>
              <w:fldChar w:fldCharType="begin"/>
            </w:r>
            <w:r w:rsidR="008272DB">
              <w:rPr>
                <w:webHidden/>
              </w:rPr>
              <w:instrText xml:space="preserve"> PAGEREF _Toc178672655 \h </w:instrText>
            </w:r>
            <w:r w:rsidR="008272DB">
              <w:rPr>
                <w:webHidden/>
              </w:rPr>
            </w:r>
            <w:r w:rsidR="008272DB">
              <w:rPr>
                <w:webHidden/>
              </w:rPr>
              <w:fldChar w:fldCharType="separate"/>
            </w:r>
            <w:r w:rsidR="008272DB">
              <w:rPr>
                <w:webHidden/>
              </w:rPr>
              <w:t>6</w:t>
            </w:r>
            <w:r w:rsidR="008272DB">
              <w:rPr>
                <w:webHidden/>
              </w:rPr>
              <w:fldChar w:fldCharType="end"/>
            </w:r>
          </w:hyperlink>
        </w:p>
        <w:p w14:paraId="03069E02" w14:textId="2870358D" w:rsidR="008272DB" w:rsidRDefault="009F04F3">
          <w:pPr>
            <w:pStyle w:val="TOC2"/>
            <w:rPr>
              <w:rFonts w:eastAsiaTheme="minorEastAsia" w:hint="eastAsia"/>
              <w:color w:val="auto"/>
              <w:kern w:val="2"/>
              <w:sz w:val="22"/>
              <w:lang w:val="de-DE" w:eastAsia="de-DE"/>
              <w14:ligatures w14:val="standardContextual"/>
            </w:rPr>
          </w:pPr>
          <w:hyperlink w:anchor="_Toc178672656" w:history="1">
            <w:r w:rsidR="008272DB" w:rsidRPr="00D0725E">
              <w:rPr>
                <w:rStyle w:val="Hyperlink"/>
              </w:rPr>
              <w:t>1.1 Introduction</w:t>
            </w:r>
            <w:r w:rsidR="008272DB">
              <w:rPr>
                <w:webHidden/>
              </w:rPr>
              <w:tab/>
            </w:r>
            <w:r w:rsidR="008272DB">
              <w:rPr>
                <w:webHidden/>
              </w:rPr>
              <w:fldChar w:fldCharType="begin"/>
            </w:r>
            <w:r w:rsidR="008272DB">
              <w:rPr>
                <w:webHidden/>
              </w:rPr>
              <w:instrText xml:space="preserve"> PAGEREF _Toc178672656 \h </w:instrText>
            </w:r>
            <w:r w:rsidR="008272DB">
              <w:rPr>
                <w:webHidden/>
              </w:rPr>
            </w:r>
            <w:r w:rsidR="008272DB">
              <w:rPr>
                <w:webHidden/>
              </w:rPr>
              <w:fldChar w:fldCharType="separate"/>
            </w:r>
            <w:r w:rsidR="008272DB">
              <w:rPr>
                <w:webHidden/>
              </w:rPr>
              <w:t>6</w:t>
            </w:r>
            <w:r w:rsidR="008272DB">
              <w:rPr>
                <w:webHidden/>
              </w:rPr>
              <w:fldChar w:fldCharType="end"/>
            </w:r>
          </w:hyperlink>
        </w:p>
        <w:p w14:paraId="2FE85844" w14:textId="46911955" w:rsidR="008272DB" w:rsidRDefault="009F04F3">
          <w:pPr>
            <w:pStyle w:val="TOC2"/>
            <w:rPr>
              <w:rFonts w:eastAsiaTheme="minorEastAsia" w:hint="eastAsia"/>
              <w:color w:val="auto"/>
              <w:kern w:val="2"/>
              <w:sz w:val="22"/>
              <w:lang w:val="de-DE" w:eastAsia="de-DE"/>
              <w14:ligatures w14:val="standardContextual"/>
            </w:rPr>
          </w:pPr>
          <w:hyperlink w:anchor="_Toc178672657" w:history="1">
            <w:r w:rsidR="008272DB" w:rsidRPr="00D0725E">
              <w:rPr>
                <w:rStyle w:val="Hyperlink"/>
              </w:rPr>
              <w:t>1.2 Methodology background</w:t>
            </w:r>
            <w:r w:rsidR="008272DB">
              <w:rPr>
                <w:webHidden/>
              </w:rPr>
              <w:tab/>
            </w:r>
            <w:r w:rsidR="008272DB">
              <w:rPr>
                <w:webHidden/>
              </w:rPr>
              <w:fldChar w:fldCharType="begin"/>
            </w:r>
            <w:r w:rsidR="008272DB">
              <w:rPr>
                <w:webHidden/>
              </w:rPr>
              <w:instrText xml:space="preserve"> PAGEREF _Toc178672657 \h </w:instrText>
            </w:r>
            <w:r w:rsidR="008272DB">
              <w:rPr>
                <w:webHidden/>
              </w:rPr>
            </w:r>
            <w:r w:rsidR="008272DB">
              <w:rPr>
                <w:webHidden/>
              </w:rPr>
              <w:fldChar w:fldCharType="separate"/>
            </w:r>
            <w:r w:rsidR="008272DB">
              <w:rPr>
                <w:webHidden/>
              </w:rPr>
              <w:t>6</w:t>
            </w:r>
            <w:r w:rsidR="008272DB">
              <w:rPr>
                <w:webHidden/>
              </w:rPr>
              <w:fldChar w:fldCharType="end"/>
            </w:r>
          </w:hyperlink>
        </w:p>
        <w:p w14:paraId="7F8F029E" w14:textId="36460645" w:rsidR="008272DB" w:rsidRDefault="009F04F3">
          <w:pPr>
            <w:pStyle w:val="TOC2"/>
            <w:rPr>
              <w:rFonts w:eastAsiaTheme="minorEastAsia" w:hint="eastAsia"/>
              <w:color w:val="auto"/>
              <w:kern w:val="2"/>
              <w:sz w:val="22"/>
              <w:lang w:val="de-DE" w:eastAsia="de-DE"/>
              <w14:ligatures w14:val="standardContextual"/>
            </w:rPr>
          </w:pPr>
          <w:hyperlink w:anchor="_Toc178672658" w:history="1">
            <w:r w:rsidR="008272DB" w:rsidRPr="00D0725E">
              <w:rPr>
                <w:rStyle w:val="Hyperlink"/>
              </w:rPr>
              <w:t>1.3 Technical rationale and justification</w:t>
            </w:r>
            <w:r w:rsidR="008272DB">
              <w:rPr>
                <w:webHidden/>
              </w:rPr>
              <w:tab/>
            </w:r>
            <w:r w:rsidR="008272DB">
              <w:rPr>
                <w:webHidden/>
              </w:rPr>
              <w:fldChar w:fldCharType="begin"/>
            </w:r>
            <w:r w:rsidR="008272DB">
              <w:rPr>
                <w:webHidden/>
              </w:rPr>
              <w:instrText xml:space="preserve"> PAGEREF _Toc178672658 \h </w:instrText>
            </w:r>
            <w:r w:rsidR="008272DB">
              <w:rPr>
                <w:webHidden/>
              </w:rPr>
            </w:r>
            <w:r w:rsidR="008272DB">
              <w:rPr>
                <w:webHidden/>
              </w:rPr>
              <w:fldChar w:fldCharType="separate"/>
            </w:r>
            <w:r w:rsidR="008272DB">
              <w:rPr>
                <w:webHidden/>
              </w:rPr>
              <w:t>6</w:t>
            </w:r>
            <w:r w:rsidR="008272DB">
              <w:rPr>
                <w:webHidden/>
              </w:rPr>
              <w:fldChar w:fldCharType="end"/>
            </w:r>
          </w:hyperlink>
        </w:p>
        <w:p w14:paraId="2C64570B" w14:textId="3FFF7998"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59" w:history="1">
            <w:r w:rsidR="008272DB" w:rsidRPr="00D0725E">
              <w:rPr>
                <w:rStyle w:val="Hyperlink"/>
                <w:rFonts w:asciiTheme="majorHAnsi" w:hAnsiTheme="majorHAnsi"/>
              </w:rPr>
              <w:t>2. Mutual Resolution</w:t>
            </w:r>
            <w:r w:rsidR="008272DB">
              <w:rPr>
                <w:webHidden/>
              </w:rPr>
              <w:tab/>
            </w:r>
            <w:r w:rsidR="008272DB">
              <w:rPr>
                <w:webHidden/>
              </w:rPr>
              <w:fldChar w:fldCharType="begin"/>
            </w:r>
            <w:r w:rsidR="008272DB">
              <w:rPr>
                <w:webHidden/>
              </w:rPr>
              <w:instrText xml:space="preserve"> PAGEREF _Toc178672659 \h </w:instrText>
            </w:r>
            <w:r w:rsidR="008272DB">
              <w:rPr>
                <w:webHidden/>
              </w:rPr>
            </w:r>
            <w:r w:rsidR="008272DB">
              <w:rPr>
                <w:webHidden/>
              </w:rPr>
              <w:fldChar w:fldCharType="separate"/>
            </w:r>
            <w:r w:rsidR="008272DB">
              <w:rPr>
                <w:webHidden/>
              </w:rPr>
              <w:t>7</w:t>
            </w:r>
            <w:r w:rsidR="008272DB">
              <w:rPr>
                <w:webHidden/>
              </w:rPr>
              <w:fldChar w:fldCharType="end"/>
            </w:r>
          </w:hyperlink>
        </w:p>
        <w:p w14:paraId="206C0D5A" w14:textId="2A4EF76D" w:rsidR="008272DB" w:rsidRDefault="009F04F3">
          <w:pPr>
            <w:pStyle w:val="TOC2"/>
            <w:rPr>
              <w:rFonts w:eastAsiaTheme="minorEastAsia" w:hint="eastAsia"/>
              <w:color w:val="auto"/>
              <w:kern w:val="2"/>
              <w:sz w:val="22"/>
              <w:lang w:val="de-DE" w:eastAsia="de-DE"/>
              <w14:ligatures w14:val="standardContextual"/>
            </w:rPr>
          </w:pPr>
          <w:hyperlink w:anchor="_Toc178672660" w:history="1">
            <w:r w:rsidR="008272DB" w:rsidRPr="00D0725E">
              <w:rPr>
                <w:rStyle w:val="Hyperlink"/>
              </w:rPr>
              <w:t>2.1 Introduction</w:t>
            </w:r>
            <w:r w:rsidR="008272DB">
              <w:rPr>
                <w:webHidden/>
              </w:rPr>
              <w:tab/>
            </w:r>
            <w:r w:rsidR="008272DB">
              <w:rPr>
                <w:webHidden/>
              </w:rPr>
              <w:fldChar w:fldCharType="begin"/>
            </w:r>
            <w:r w:rsidR="008272DB">
              <w:rPr>
                <w:webHidden/>
              </w:rPr>
              <w:instrText xml:space="preserve"> PAGEREF _Toc178672660 \h </w:instrText>
            </w:r>
            <w:r w:rsidR="008272DB">
              <w:rPr>
                <w:webHidden/>
              </w:rPr>
            </w:r>
            <w:r w:rsidR="008272DB">
              <w:rPr>
                <w:webHidden/>
              </w:rPr>
              <w:fldChar w:fldCharType="separate"/>
            </w:r>
            <w:r w:rsidR="008272DB">
              <w:rPr>
                <w:webHidden/>
              </w:rPr>
              <w:t>7</w:t>
            </w:r>
            <w:r w:rsidR="008272DB">
              <w:rPr>
                <w:webHidden/>
              </w:rPr>
              <w:fldChar w:fldCharType="end"/>
            </w:r>
          </w:hyperlink>
        </w:p>
        <w:p w14:paraId="6C48ECB1" w14:textId="6FFA3E95" w:rsidR="008272DB" w:rsidRDefault="009F04F3">
          <w:pPr>
            <w:pStyle w:val="TOC3"/>
            <w:rPr>
              <w:rFonts w:eastAsiaTheme="minorEastAsia" w:hint="eastAsia"/>
              <w:color w:val="auto"/>
              <w:kern w:val="2"/>
              <w:sz w:val="22"/>
              <w:lang w:val="de-DE" w:eastAsia="de-DE"/>
              <w14:ligatures w14:val="standardContextual"/>
            </w:rPr>
          </w:pPr>
          <w:hyperlink w:anchor="_Toc178672661" w:history="1">
            <w:r w:rsidR="008272DB" w:rsidRPr="00D0725E">
              <w:rPr>
                <w:rStyle w:val="Hyperlink"/>
              </w:rPr>
              <w:t>2.1.1 Terminology</w:t>
            </w:r>
            <w:r w:rsidR="008272DB">
              <w:rPr>
                <w:webHidden/>
              </w:rPr>
              <w:tab/>
            </w:r>
            <w:r w:rsidR="008272DB">
              <w:rPr>
                <w:webHidden/>
              </w:rPr>
              <w:fldChar w:fldCharType="begin"/>
            </w:r>
            <w:r w:rsidR="008272DB">
              <w:rPr>
                <w:webHidden/>
              </w:rPr>
              <w:instrText xml:space="preserve"> PAGEREF _Toc178672661 \h </w:instrText>
            </w:r>
            <w:r w:rsidR="008272DB">
              <w:rPr>
                <w:webHidden/>
              </w:rPr>
            </w:r>
            <w:r w:rsidR="008272DB">
              <w:rPr>
                <w:webHidden/>
              </w:rPr>
              <w:fldChar w:fldCharType="separate"/>
            </w:r>
            <w:r w:rsidR="008272DB">
              <w:rPr>
                <w:webHidden/>
              </w:rPr>
              <w:t>7</w:t>
            </w:r>
            <w:r w:rsidR="008272DB">
              <w:rPr>
                <w:webHidden/>
              </w:rPr>
              <w:fldChar w:fldCharType="end"/>
            </w:r>
          </w:hyperlink>
        </w:p>
        <w:p w14:paraId="44AD2894" w14:textId="5C4C9C45" w:rsidR="008272DB" w:rsidRDefault="009F04F3">
          <w:pPr>
            <w:pStyle w:val="TOC3"/>
            <w:rPr>
              <w:rFonts w:eastAsiaTheme="minorEastAsia" w:hint="eastAsia"/>
              <w:color w:val="auto"/>
              <w:kern w:val="2"/>
              <w:sz w:val="22"/>
              <w:lang w:val="de-DE" w:eastAsia="de-DE"/>
              <w14:ligatures w14:val="standardContextual"/>
            </w:rPr>
          </w:pPr>
          <w:hyperlink w:anchor="_Toc178672662" w:history="1">
            <w:r w:rsidR="008272DB" w:rsidRPr="00D0725E">
              <w:rPr>
                <w:rStyle w:val="Hyperlink"/>
              </w:rPr>
              <w:t>2.1.2 Future Reviews</w:t>
            </w:r>
            <w:r w:rsidR="008272DB">
              <w:rPr>
                <w:webHidden/>
              </w:rPr>
              <w:tab/>
            </w:r>
            <w:r w:rsidR="008272DB">
              <w:rPr>
                <w:webHidden/>
              </w:rPr>
              <w:fldChar w:fldCharType="begin"/>
            </w:r>
            <w:r w:rsidR="008272DB">
              <w:rPr>
                <w:webHidden/>
              </w:rPr>
              <w:instrText xml:space="preserve"> PAGEREF _Toc178672662 \h </w:instrText>
            </w:r>
            <w:r w:rsidR="008272DB">
              <w:rPr>
                <w:webHidden/>
              </w:rPr>
            </w:r>
            <w:r w:rsidR="008272DB">
              <w:rPr>
                <w:webHidden/>
              </w:rPr>
              <w:fldChar w:fldCharType="separate"/>
            </w:r>
            <w:r w:rsidR="008272DB">
              <w:rPr>
                <w:webHidden/>
              </w:rPr>
              <w:t>7</w:t>
            </w:r>
            <w:r w:rsidR="008272DB">
              <w:rPr>
                <w:webHidden/>
              </w:rPr>
              <w:fldChar w:fldCharType="end"/>
            </w:r>
          </w:hyperlink>
        </w:p>
        <w:p w14:paraId="41FA8D5B" w14:textId="75F4B327" w:rsidR="008272DB" w:rsidRDefault="009F04F3">
          <w:pPr>
            <w:pStyle w:val="TOC2"/>
            <w:rPr>
              <w:rFonts w:eastAsiaTheme="minorEastAsia" w:hint="eastAsia"/>
              <w:color w:val="auto"/>
              <w:kern w:val="2"/>
              <w:sz w:val="22"/>
              <w:lang w:val="de-DE" w:eastAsia="de-DE"/>
              <w14:ligatures w14:val="standardContextual"/>
            </w:rPr>
          </w:pPr>
          <w:hyperlink w:anchor="_Toc178672663" w:history="1">
            <w:r w:rsidR="008272DB" w:rsidRPr="00D0725E">
              <w:rPr>
                <w:rStyle w:val="Hyperlink"/>
              </w:rPr>
              <w:t>2.2 General Methodology</w:t>
            </w:r>
            <w:r w:rsidR="008272DB">
              <w:rPr>
                <w:webHidden/>
              </w:rPr>
              <w:tab/>
            </w:r>
            <w:r w:rsidR="008272DB">
              <w:rPr>
                <w:webHidden/>
              </w:rPr>
              <w:fldChar w:fldCharType="begin"/>
            </w:r>
            <w:r w:rsidR="008272DB">
              <w:rPr>
                <w:webHidden/>
              </w:rPr>
              <w:instrText xml:space="preserve"> PAGEREF _Toc178672663 \h </w:instrText>
            </w:r>
            <w:r w:rsidR="008272DB">
              <w:rPr>
                <w:webHidden/>
              </w:rPr>
            </w:r>
            <w:r w:rsidR="008272DB">
              <w:rPr>
                <w:webHidden/>
              </w:rPr>
              <w:fldChar w:fldCharType="separate"/>
            </w:r>
            <w:r w:rsidR="008272DB">
              <w:rPr>
                <w:webHidden/>
              </w:rPr>
              <w:t>7</w:t>
            </w:r>
            <w:r w:rsidR="008272DB">
              <w:rPr>
                <w:webHidden/>
              </w:rPr>
              <w:fldChar w:fldCharType="end"/>
            </w:r>
          </w:hyperlink>
        </w:p>
        <w:p w14:paraId="440DC2DC" w14:textId="7D1EAD20" w:rsidR="008272DB" w:rsidRDefault="009F04F3">
          <w:pPr>
            <w:pStyle w:val="TOC3"/>
            <w:rPr>
              <w:rFonts w:eastAsiaTheme="minorEastAsia" w:hint="eastAsia"/>
              <w:color w:val="auto"/>
              <w:kern w:val="2"/>
              <w:sz w:val="22"/>
              <w:lang w:val="de-DE" w:eastAsia="de-DE"/>
              <w14:ligatures w14:val="standardContextual"/>
            </w:rPr>
          </w:pPr>
          <w:hyperlink w:anchor="_Toc178672664" w:history="1">
            <w:r w:rsidR="008272DB" w:rsidRPr="00D0725E">
              <w:rPr>
                <w:rStyle w:val="Hyperlink"/>
              </w:rPr>
              <w:t>2.2.1 Level Concept</w:t>
            </w:r>
            <w:r w:rsidR="008272DB">
              <w:rPr>
                <w:webHidden/>
              </w:rPr>
              <w:tab/>
            </w:r>
            <w:r w:rsidR="008272DB">
              <w:rPr>
                <w:webHidden/>
              </w:rPr>
              <w:fldChar w:fldCharType="begin"/>
            </w:r>
            <w:r w:rsidR="008272DB">
              <w:rPr>
                <w:webHidden/>
              </w:rPr>
              <w:instrText xml:space="preserve"> PAGEREF _Toc178672664 \h </w:instrText>
            </w:r>
            <w:r w:rsidR="008272DB">
              <w:rPr>
                <w:webHidden/>
              </w:rPr>
            </w:r>
            <w:r w:rsidR="008272DB">
              <w:rPr>
                <w:webHidden/>
              </w:rPr>
              <w:fldChar w:fldCharType="separate"/>
            </w:r>
            <w:r w:rsidR="008272DB">
              <w:rPr>
                <w:webHidden/>
              </w:rPr>
              <w:t>8</w:t>
            </w:r>
            <w:r w:rsidR="008272DB">
              <w:rPr>
                <w:webHidden/>
              </w:rPr>
              <w:fldChar w:fldCharType="end"/>
            </w:r>
          </w:hyperlink>
        </w:p>
        <w:p w14:paraId="5EF953DA" w14:textId="367709C9" w:rsidR="008272DB" w:rsidRDefault="009F04F3">
          <w:pPr>
            <w:pStyle w:val="TOC3"/>
            <w:rPr>
              <w:rFonts w:eastAsiaTheme="minorEastAsia" w:hint="eastAsia"/>
              <w:color w:val="auto"/>
              <w:kern w:val="2"/>
              <w:sz w:val="22"/>
              <w:lang w:val="de-DE" w:eastAsia="de-DE"/>
              <w14:ligatures w14:val="standardContextual"/>
            </w:rPr>
          </w:pPr>
          <w:hyperlink w:anchor="_Toc178672665" w:history="1">
            <w:r w:rsidR="008272DB" w:rsidRPr="00D0725E">
              <w:rPr>
                <w:rStyle w:val="Hyperlink"/>
              </w:rPr>
              <w:t>2.2.2 Definition of Product Category</w:t>
            </w:r>
            <w:r w:rsidR="008272DB">
              <w:rPr>
                <w:webHidden/>
              </w:rPr>
              <w:tab/>
            </w:r>
            <w:r w:rsidR="008272DB">
              <w:rPr>
                <w:webHidden/>
              </w:rPr>
              <w:fldChar w:fldCharType="begin"/>
            </w:r>
            <w:r w:rsidR="008272DB">
              <w:rPr>
                <w:webHidden/>
              </w:rPr>
              <w:instrText xml:space="preserve"> PAGEREF _Toc178672665 \h </w:instrText>
            </w:r>
            <w:r w:rsidR="008272DB">
              <w:rPr>
                <w:webHidden/>
              </w:rPr>
            </w:r>
            <w:r w:rsidR="008272DB">
              <w:rPr>
                <w:webHidden/>
              </w:rPr>
              <w:fldChar w:fldCharType="separate"/>
            </w:r>
            <w:r w:rsidR="008272DB">
              <w:rPr>
                <w:webHidden/>
              </w:rPr>
              <w:t>12</w:t>
            </w:r>
            <w:r w:rsidR="008272DB">
              <w:rPr>
                <w:webHidden/>
              </w:rPr>
              <w:fldChar w:fldCharType="end"/>
            </w:r>
          </w:hyperlink>
        </w:p>
        <w:p w14:paraId="1E12BB8C" w14:textId="54E4A68B" w:rsidR="008272DB" w:rsidRDefault="009F04F3">
          <w:pPr>
            <w:pStyle w:val="TOC3"/>
            <w:rPr>
              <w:rFonts w:eastAsiaTheme="minorEastAsia" w:hint="eastAsia"/>
              <w:color w:val="auto"/>
              <w:kern w:val="2"/>
              <w:sz w:val="22"/>
              <w:lang w:val="de-DE" w:eastAsia="de-DE"/>
              <w14:ligatures w14:val="standardContextual"/>
            </w:rPr>
          </w:pPr>
          <w:hyperlink w:anchor="_Toc178672666" w:history="1">
            <w:r w:rsidR="008272DB" w:rsidRPr="00D0725E">
              <w:rPr>
                <w:rStyle w:val="Hyperlink"/>
              </w:rPr>
              <w:t>2.2.3 Functional Unit</w:t>
            </w:r>
            <w:r w:rsidR="008272DB">
              <w:rPr>
                <w:webHidden/>
              </w:rPr>
              <w:tab/>
            </w:r>
            <w:r w:rsidR="008272DB">
              <w:rPr>
                <w:webHidden/>
              </w:rPr>
              <w:fldChar w:fldCharType="begin"/>
            </w:r>
            <w:r w:rsidR="008272DB">
              <w:rPr>
                <w:webHidden/>
              </w:rPr>
              <w:instrText xml:space="preserve"> PAGEREF _Toc178672666 \h </w:instrText>
            </w:r>
            <w:r w:rsidR="008272DB">
              <w:rPr>
                <w:webHidden/>
              </w:rPr>
            </w:r>
            <w:r w:rsidR="008272DB">
              <w:rPr>
                <w:webHidden/>
              </w:rPr>
              <w:fldChar w:fldCharType="separate"/>
            </w:r>
            <w:r w:rsidR="008272DB">
              <w:rPr>
                <w:webHidden/>
              </w:rPr>
              <w:t>12</w:t>
            </w:r>
            <w:r w:rsidR="008272DB">
              <w:rPr>
                <w:webHidden/>
              </w:rPr>
              <w:fldChar w:fldCharType="end"/>
            </w:r>
          </w:hyperlink>
        </w:p>
        <w:p w14:paraId="4FB1AC2C" w14:textId="1BFC610C" w:rsidR="008272DB" w:rsidRDefault="009F04F3">
          <w:pPr>
            <w:pStyle w:val="TOC3"/>
            <w:rPr>
              <w:rFonts w:eastAsiaTheme="minorEastAsia" w:hint="eastAsia"/>
              <w:color w:val="auto"/>
              <w:kern w:val="2"/>
              <w:sz w:val="22"/>
              <w:lang w:val="de-DE" w:eastAsia="de-DE"/>
              <w14:ligatures w14:val="standardContextual"/>
            </w:rPr>
          </w:pPr>
          <w:hyperlink w:anchor="_Toc178672667" w:history="1">
            <w:r w:rsidR="008272DB" w:rsidRPr="00D0725E">
              <w:rPr>
                <w:rStyle w:val="Hyperlink"/>
              </w:rPr>
              <w:t>2.2.4 System Boundaries</w:t>
            </w:r>
            <w:r w:rsidR="008272DB">
              <w:rPr>
                <w:webHidden/>
              </w:rPr>
              <w:tab/>
            </w:r>
            <w:r w:rsidR="008272DB">
              <w:rPr>
                <w:webHidden/>
              </w:rPr>
              <w:fldChar w:fldCharType="begin"/>
            </w:r>
            <w:r w:rsidR="008272DB">
              <w:rPr>
                <w:webHidden/>
              </w:rPr>
              <w:instrText xml:space="preserve"> PAGEREF _Toc178672667 \h </w:instrText>
            </w:r>
            <w:r w:rsidR="008272DB">
              <w:rPr>
                <w:webHidden/>
              </w:rPr>
            </w:r>
            <w:r w:rsidR="008272DB">
              <w:rPr>
                <w:webHidden/>
              </w:rPr>
              <w:fldChar w:fldCharType="separate"/>
            </w:r>
            <w:r w:rsidR="008272DB">
              <w:rPr>
                <w:webHidden/>
              </w:rPr>
              <w:t>12</w:t>
            </w:r>
            <w:r w:rsidR="008272DB">
              <w:rPr>
                <w:webHidden/>
              </w:rPr>
              <w:fldChar w:fldCharType="end"/>
            </w:r>
          </w:hyperlink>
        </w:p>
        <w:p w14:paraId="6E26E44E" w14:textId="69EDFB0F" w:rsidR="008272DB" w:rsidRDefault="009F04F3">
          <w:pPr>
            <w:pStyle w:val="TOC3"/>
            <w:rPr>
              <w:rFonts w:eastAsiaTheme="minorEastAsia" w:hint="eastAsia"/>
              <w:color w:val="auto"/>
              <w:kern w:val="2"/>
              <w:sz w:val="22"/>
              <w:lang w:val="de-DE" w:eastAsia="de-DE"/>
              <w14:ligatures w14:val="standardContextual"/>
            </w:rPr>
          </w:pPr>
          <w:hyperlink w:anchor="_Toc178672668" w:history="1">
            <w:r w:rsidR="008272DB" w:rsidRPr="00D0725E">
              <w:rPr>
                <w:rStyle w:val="Hyperlink"/>
              </w:rPr>
              <w:t>2.2.5 Environmental Impact category</w:t>
            </w:r>
            <w:r w:rsidR="008272DB">
              <w:rPr>
                <w:webHidden/>
              </w:rPr>
              <w:tab/>
            </w:r>
            <w:r w:rsidR="008272DB">
              <w:rPr>
                <w:webHidden/>
              </w:rPr>
              <w:fldChar w:fldCharType="begin"/>
            </w:r>
            <w:r w:rsidR="008272DB">
              <w:rPr>
                <w:webHidden/>
              </w:rPr>
              <w:instrText xml:space="preserve"> PAGEREF _Toc178672668 \h </w:instrText>
            </w:r>
            <w:r w:rsidR="008272DB">
              <w:rPr>
                <w:webHidden/>
              </w:rPr>
            </w:r>
            <w:r w:rsidR="008272DB">
              <w:rPr>
                <w:webHidden/>
              </w:rPr>
              <w:fldChar w:fldCharType="separate"/>
            </w:r>
            <w:r w:rsidR="008272DB">
              <w:rPr>
                <w:webHidden/>
              </w:rPr>
              <w:t>13</w:t>
            </w:r>
            <w:r w:rsidR="008272DB">
              <w:rPr>
                <w:webHidden/>
              </w:rPr>
              <w:fldChar w:fldCharType="end"/>
            </w:r>
          </w:hyperlink>
        </w:p>
        <w:p w14:paraId="651179BF" w14:textId="1FA7E8BA" w:rsidR="008272DB" w:rsidRDefault="009F04F3">
          <w:pPr>
            <w:pStyle w:val="TOC3"/>
            <w:rPr>
              <w:rFonts w:eastAsiaTheme="minorEastAsia" w:hint="eastAsia"/>
              <w:color w:val="auto"/>
              <w:kern w:val="2"/>
              <w:sz w:val="22"/>
              <w:lang w:val="de-DE" w:eastAsia="de-DE"/>
              <w14:ligatures w14:val="standardContextual"/>
            </w:rPr>
          </w:pPr>
          <w:hyperlink w:anchor="_Toc178672669" w:history="1">
            <w:r w:rsidR="008272DB" w:rsidRPr="00D0725E">
              <w:rPr>
                <w:rStyle w:val="Hyperlink"/>
              </w:rPr>
              <w:t>2.2.6 Data Quality &amp; Data Collection Method</w:t>
            </w:r>
            <w:r w:rsidR="008272DB">
              <w:rPr>
                <w:webHidden/>
              </w:rPr>
              <w:tab/>
            </w:r>
            <w:r w:rsidR="008272DB">
              <w:rPr>
                <w:webHidden/>
              </w:rPr>
              <w:fldChar w:fldCharType="begin"/>
            </w:r>
            <w:r w:rsidR="008272DB">
              <w:rPr>
                <w:webHidden/>
              </w:rPr>
              <w:instrText xml:space="preserve"> PAGEREF _Toc178672669 \h </w:instrText>
            </w:r>
            <w:r w:rsidR="008272DB">
              <w:rPr>
                <w:webHidden/>
              </w:rPr>
            </w:r>
            <w:r w:rsidR="008272DB">
              <w:rPr>
                <w:webHidden/>
              </w:rPr>
              <w:fldChar w:fldCharType="separate"/>
            </w:r>
            <w:r w:rsidR="008272DB">
              <w:rPr>
                <w:webHidden/>
              </w:rPr>
              <w:t>14</w:t>
            </w:r>
            <w:r w:rsidR="008272DB">
              <w:rPr>
                <w:webHidden/>
              </w:rPr>
              <w:fldChar w:fldCharType="end"/>
            </w:r>
          </w:hyperlink>
        </w:p>
        <w:p w14:paraId="6A788680" w14:textId="375AC6F0" w:rsidR="008272DB" w:rsidRDefault="009F04F3">
          <w:pPr>
            <w:pStyle w:val="TOC3"/>
            <w:rPr>
              <w:rFonts w:eastAsiaTheme="minorEastAsia" w:hint="eastAsia"/>
              <w:color w:val="auto"/>
              <w:kern w:val="2"/>
              <w:sz w:val="22"/>
              <w:lang w:val="de-DE" w:eastAsia="de-DE"/>
              <w14:ligatures w14:val="standardContextual"/>
            </w:rPr>
          </w:pPr>
          <w:hyperlink w:anchor="_Toc178672670" w:history="1">
            <w:r w:rsidR="008272DB" w:rsidRPr="00D0725E">
              <w:rPr>
                <w:rStyle w:val="Hyperlink"/>
              </w:rPr>
              <w:t>2.2.7 Cut-off</w:t>
            </w:r>
            <w:r w:rsidR="008272DB">
              <w:rPr>
                <w:webHidden/>
              </w:rPr>
              <w:tab/>
            </w:r>
            <w:r w:rsidR="008272DB">
              <w:rPr>
                <w:webHidden/>
              </w:rPr>
              <w:fldChar w:fldCharType="begin"/>
            </w:r>
            <w:r w:rsidR="008272DB">
              <w:rPr>
                <w:webHidden/>
              </w:rPr>
              <w:instrText xml:space="preserve"> PAGEREF _Toc178672670 \h </w:instrText>
            </w:r>
            <w:r w:rsidR="008272DB">
              <w:rPr>
                <w:webHidden/>
              </w:rPr>
            </w:r>
            <w:r w:rsidR="008272DB">
              <w:rPr>
                <w:webHidden/>
              </w:rPr>
              <w:fldChar w:fldCharType="separate"/>
            </w:r>
            <w:r w:rsidR="008272DB">
              <w:rPr>
                <w:webHidden/>
              </w:rPr>
              <w:t>15</w:t>
            </w:r>
            <w:r w:rsidR="008272DB">
              <w:rPr>
                <w:webHidden/>
              </w:rPr>
              <w:fldChar w:fldCharType="end"/>
            </w:r>
          </w:hyperlink>
        </w:p>
        <w:p w14:paraId="2CCCCED8" w14:textId="2F9BC956" w:rsidR="008272DB" w:rsidRDefault="009F04F3">
          <w:pPr>
            <w:pStyle w:val="TOC3"/>
            <w:rPr>
              <w:rFonts w:eastAsiaTheme="minorEastAsia" w:hint="eastAsia"/>
              <w:color w:val="auto"/>
              <w:kern w:val="2"/>
              <w:sz w:val="22"/>
              <w:lang w:val="de-DE" w:eastAsia="de-DE"/>
              <w14:ligatures w14:val="standardContextual"/>
            </w:rPr>
          </w:pPr>
          <w:hyperlink w:anchor="_Toc178672671" w:history="1">
            <w:r w:rsidR="008272DB" w:rsidRPr="00D0725E">
              <w:rPr>
                <w:rStyle w:val="Hyperlink"/>
              </w:rPr>
              <w:t>2.2.8 Energy Modelling</w:t>
            </w:r>
            <w:r w:rsidR="008272DB">
              <w:rPr>
                <w:webHidden/>
              </w:rPr>
              <w:tab/>
            </w:r>
            <w:r w:rsidR="008272DB">
              <w:rPr>
                <w:webHidden/>
              </w:rPr>
              <w:fldChar w:fldCharType="begin"/>
            </w:r>
            <w:r w:rsidR="008272DB">
              <w:rPr>
                <w:webHidden/>
              </w:rPr>
              <w:instrText xml:space="preserve"> PAGEREF _Toc178672671 \h </w:instrText>
            </w:r>
            <w:r w:rsidR="008272DB">
              <w:rPr>
                <w:webHidden/>
              </w:rPr>
            </w:r>
            <w:r w:rsidR="008272DB">
              <w:rPr>
                <w:webHidden/>
              </w:rPr>
              <w:fldChar w:fldCharType="separate"/>
            </w:r>
            <w:r w:rsidR="008272DB">
              <w:rPr>
                <w:webHidden/>
              </w:rPr>
              <w:t>15</w:t>
            </w:r>
            <w:r w:rsidR="008272DB">
              <w:rPr>
                <w:webHidden/>
              </w:rPr>
              <w:fldChar w:fldCharType="end"/>
            </w:r>
          </w:hyperlink>
        </w:p>
        <w:p w14:paraId="4827EEFD" w14:textId="0112EE0D" w:rsidR="008272DB" w:rsidRDefault="009F04F3">
          <w:pPr>
            <w:pStyle w:val="TOC3"/>
            <w:rPr>
              <w:rFonts w:eastAsiaTheme="minorEastAsia" w:hint="eastAsia"/>
              <w:color w:val="auto"/>
              <w:kern w:val="2"/>
              <w:sz w:val="22"/>
              <w:lang w:val="de-DE" w:eastAsia="de-DE"/>
              <w14:ligatures w14:val="standardContextual"/>
            </w:rPr>
          </w:pPr>
          <w:hyperlink w:anchor="_Toc178672672" w:history="1">
            <w:r w:rsidR="008272DB" w:rsidRPr="00D0725E">
              <w:rPr>
                <w:rStyle w:val="Hyperlink"/>
              </w:rPr>
              <w:t>2.2.9 Allocation Rules</w:t>
            </w:r>
            <w:r w:rsidR="008272DB">
              <w:rPr>
                <w:webHidden/>
              </w:rPr>
              <w:tab/>
            </w:r>
            <w:r w:rsidR="008272DB">
              <w:rPr>
                <w:webHidden/>
              </w:rPr>
              <w:fldChar w:fldCharType="begin"/>
            </w:r>
            <w:r w:rsidR="008272DB">
              <w:rPr>
                <w:webHidden/>
              </w:rPr>
              <w:instrText xml:space="preserve"> PAGEREF _Toc178672672 \h </w:instrText>
            </w:r>
            <w:r w:rsidR="008272DB">
              <w:rPr>
                <w:webHidden/>
              </w:rPr>
            </w:r>
            <w:r w:rsidR="008272DB">
              <w:rPr>
                <w:webHidden/>
              </w:rPr>
              <w:fldChar w:fldCharType="separate"/>
            </w:r>
            <w:r w:rsidR="008272DB">
              <w:rPr>
                <w:webHidden/>
              </w:rPr>
              <w:t>17</w:t>
            </w:r>
            <w:r w:rsidR="008272DB">
              <w:rPr>
                <w:webHidden/>
              </w:rPr>
              <w:fldChar w:fldCharType="end"/>
            </w:r>
          </w:hyperlink>
        </w:p>
        <w:p w14:paraId="3F08346E" w14:textId="261282C7" w:rsidR="008272DB" w:rsidRDefault="009F04F3">
          <w:pPr>
            <w:pStyle w:val="TOC3"/>
            <w:rPr>
              <w:rFonts w:eastAsiaTheme="minorEastAsia" w:hint="eastAsia"/>
              <w:color w:val="auto"/>
              <w:kern w:val="2"/>
              <w:sz w:val="22"/>
              <w:lang w:val="de-DE" w:eastAsia="de-DE"/>
              <w14:ligatures w14:val="standardContextual"/>
            </w:rPr>
          </w:pPr>
          <w:hyperlink w:anchor="_Toc178672673" w:history="1">
            <w:r w:rsidR="008272DB" w:rsidRPr="00D0725E">
              <w:rPr>
                <w:rStyle w:val="Hyperlink"/>
              </w:rPr>
              <w:t>2.2.10 Recycling Modelling</w:t>
            </w:r>
            <w:r w:rsidR="008272DB">
              <w:rPr>
                <w:webHidden/>
              </w:rPr>
              <w:tab/>
            </w:r>
            <w:r w:rsidR="008272DB">
              <w:rPr>
                <w:webHidden/>
              </w:rPr>
              <w:fldChar w:fldCharType="begin"/>
            </w:r>
            <w:r w:rsidR="008272DB">
              <w:rPr>
                <w:webHidden/>
              </w:rPr>
              <w:instrText xml:space="preserve"> PAGEREF _Toc178672673 \h </w:instrText>
            </w:r>
            <w:r w:rsidR="008272DB">
              <w:rPr>
                <w:webHidden/>
              </w:rPr>
            </w:r>
            <w:r w:rsidR="008272DB">
              <w:rPr>
                <w:webHidden/>
              </w:rPr>
              <w:fldChar w:fldCharType="separate"/>
            </w:r>
            <w:r w:rsidR="008272DB">
              <w:rPr>
                <w:webHidden/>
              </w:rPr>
              <w:t>20</w:t>
            </w:r>
            <w:r w:rsidR="008272DB">
              <w:rPr>
                <w:webHidden/>
              </w:rPr>
              <w:fldChar w:fldCharType="end"/>
            </w:r>
          </w:hyperlink>
        </w:p>
        <w:p w14:paraId="38D0359B" w14:textId="20F10951" w:rsidR="008272DB" w:rsidRDefault="009F04F3">
          <w:pPr>
            <w:pStyle w:val="TOC3"/>
            <w:rPr>
              <w:rFonts w:eastAsiaTheme="minorEastAsia" w:hint="eastAsia"/>
              <w:color w:val="auto"/>
              <w:kern w:val="2"/>
              <w:sz w:val="22"/>
              <w:lang w:val="de-DE" w:eastAsia="de-DE"/>
              <w14:ligatures w14:val="standardContextual"/>
            </w:rPr>
          </w:pPr>
          <w:hyperlink w:anchor="_Toc178672674" w:history="1">
            <w:r w:rsidR="008272DB" w:rsidRPr="00D0725E">
              <w:rPr>
                <w:rStyle w:val="Hyperlink"/>
              </w:rPr>
              <w:t>2.2.11 Biogenic Carbon &amp; Negative Emissions</w:t>
            </w:r>
            <w:r w:rsidR="008272DB">
              <w:rPr>
                <w:webHidden/>
              </w:rPr>
              <w:tab/>
            </w:r>
            <w:r w:rsidR="008272DB">
              <w:rPr>
                <w:webHidden/>
              </w:rPr>
              <w:fldChar w:fldCharType="begin"/>
            </w:r>
            <w:r w:rsidR="008272DB">
              <w:rPr>
                <w:webHidden/>
              </w:rPr>
              <w:instrText xml:space="preserve"> PAGEREF _Toc178672674 \h </w:instrText>
            </w:r>
            <w:r w:rsidR="008272DB">
              <w:rPr>
                <w:webHidden/>
              </w:rPr>
            </w:r>
            <w:r w:rsidR="008272DB">
              <w:rPr>
                <w:webHidden/>
              </w:rPr>
              <w:fldChar w:fldCharType="separate"/>
            </w:r>
            <w:r w:rsidR="008272DB">
              <w:rPr>
                <w:webHidden/>
              </w:rPr>
              <w:t>21</w:t>
            </w:r>
            <w:r w:rsidR="008272DB">
              <w:rPr>
                <w:webHidden/>
              </w:rPr>
              <w:fldChar w:fldCharType="end"/>
            </w:r>
          </w:hyperlink>
        </w:p>
        <w:p w14:paraId="26A54663" w14:textId="4DAD60B7" w:rsidR="008272DB" w:rsidRDefault="009F04F3">
          <w:pPr>
            <w:pStyle w:val="TOC3"/>
            <w:rPr>
              <w:rFonts w:eastAsiaTheme="minorEastAsia" w:hint="eastAsia"/>
              <w:color w:val="auto"/>
              <w:kern w:val="2"/>
              <w:sz w:val="22"/>
              <w:lang w:val="de-DE" w:eastAsia="de-DE"/>
              <w14:ligatures w14:val="standardContextual"/>
            </w:rPr>
          </w:pPr>
          <w:hyperlink w:anchor="_Toc178672675" w:history="1">
            <w:r w:rsidR="008272DB" w:rsidRPr="00D0725E">
              <w:rPr>
                <w:rStyle w:val="Hyperlink"/>
              </w:rPr>
              <w:t>2.2.12 Logistics</w:t>
            </w:r>
            <w:r w:rsidR="008272DB">
              <w:rPr>
                <w:webHidden/>
              </w:rPr>
              <w:tab/>
            </w:r>
            <w:r w:rsidR="008272DB">
              <w:rPr>
                <w:webHidden/>
              </w:rPr>
              <w:fldChar w:fldCharType="begin"/>
            </w:r>
            <w:r w:rsidR="008272DB">
              <w:rPr>
                <w:webHidden/>
              </w:rPr>
              <w:instrText xml:space="preserve"> PAGEREF _Toc178672675 \h </w:instrText>
            </w:r>
            <w:r w:rsidR="008272DB">
              <w:rPr>
                <w:webHidden/>
              </w:rPr>
            </w:r>
            <w:r w:rsidR="008272DB">
              <w:rPr>
                <w:webHidden/>
              </w:rPr>
              <w:fldChar w:fldCharType="separate"/>
            </w:r>
            <w:r w:rsidR="008272DB">
              <w:rPr>
                <w:webHidden/>
              </w:rPr>
              <w:t>21</w:t>
            </w:r>
            <w:r w:rsidR="008272DB">
              <w:rPr>
                <w:webHidden/>
              </w:rPr>
              <w:fldChar w:fldCharType="end"/>
            </w:r>
          </w:hyperlink>
        </w:p>
        <w:p w14:paraId="2D8A1DF5" w14:textId="41FCD27A" w:rsidR="008272DB" w:rsidRDefault="009F04F3">
          <w:pPr>
            <w:pStyle w:val="TOC3"/>
            <w:rPr>
              <w:rFonts w:eastAsiaTheme="minorEastAsia" w:hint="eastAsia"/>
              <w:color w:val="auto"/>
              <w:kern w:val="2"/>
              <w:sz w:val="22"/>
              <w:lang w:val="de-DE" w:eastAsia="de-DE"/>
              <w14:ligatures w14:val="standardContextual"/>
            </w:rPr>
          </w:pPr>
          <w:hyperlink w:anchor="_Toc178672676" w:history="1">
            <w:r w:rsidR="008272DB" w:rsidRPr="00D0725E">
              <w:rPr>
                <w:rStyle w:val="Hyperlink"/>
              </w:rPr>
              <w:t>2.2.13 Chain of custody</w:t>
            </w:r>
            <w:r w:rsidR="008272DB">
              <w:rPr>
                <w:webHidden/>
              </w:rPr>
              <w:tab/>
            </w:r>
            <w:r w:rsidR="008272DB">
              <w:rPr>
                <w:webHidden/>
              </w:rPr>
              <w:fldChar w:fldCharType="begin"/>
            </w:r>
            <w:r w:rsidR="008272DB">
              <w:rPr>
                <w:webHidden/>
              </w:rPr>
              <w:instrText xml:space="preserve"> PAGEREF _Toc178672676 \h </w:instrText>
            </w:r>
            <w:r w:rsidR="008272DB">
              <w:rPr>
                <w:webHidden/>
              </w:rPr>
            </w:r>
            <w:r w:rsidR="008272DB">
              <w:rPr>
                <w:webHidden/>
              </w:rPr>
              <w:fldChar w:fldCharType="separate"/>
            </w:r>
            <w:r w:rsidR="008272DB">
              <w:rPr>
                <w:webHidden/>
              </w:rPr>
              <w:t>22</w:t>
            </w:r>
            <w:r w:rsidR="008272DB">
              <w:rPr>
                <w:webHidden/>
              </w:rPr>
              <w:fldChar w:fldCharType="end"/>
            </w:r>
          </w:hyperlink>
        </w:p>
        <w:p w14:paraId="26ABF940" w14:textId="0FB7DB1F" w:rsidR="008272DB" w:rsidRDefault="009F04F3">
          <w:pPr>
            <w:pStyle w:val="TOC3"/>
            <w:rPr>
              <w:rFonts w:eastAsiaTheme="minorEastAsia" w:hint="eastAsia"/>
              <w:color w:val="auto"/>
              <w:kern w:val="2"/>
              <w:sz w:val="22"/>
              <w:lang w:val="de-DE" w:eastAsia="de-DE"/>
              <w14:ligatures w14:val="standardContextual"/>
            </w:rPr>
          </w:pPr>
          <w:hyperlink w:anchor="_Toc178672677" w:history="1">
            <w:r w:rsidR="008272DB" w:rsidRPr="00D0725E">
              <w:rPr>
                <w:rStyle w:val="Hyperlink"/>
              </w:rPr>
              <w:t>2.2.14 Carbon offsets</w:t>
            </w:r>
            <w:r w:rsidR="008272DB">
              <w:rPr>
                <w:webHidden/>
              </w:rPr>
              <w:tab/>
            </w:r>
            <w:r w:rsidR="008272DB">
              <w:rPr>
                <w:webHidden/>
              </w:rPr>
              <w:fldChar w:fldCharType="begin"/>
            </w:r>
            <w:r w:rsidR="008272DB">
              <w:rPr>
                <w:webHidden/>
              </w:rPr>
              <w:instrText xml:space="preserve"> PAGEREF _Toc178672677 \h </w:instrText>
            </w:r>
            <w:r w:rsidR="008272DB">
              <w:rPr>
                <w:webHidden/>
              </w:rPr>
            </w:r>
            <w:r w:rsidR="008272DB">
              <w:rPr>
                <w:webHidden/>
              </w:rPr>
              <w:fldChar w:fldCharType="separate"/>
            </w:r>
            <w:r w:rsidR="008272DB">
              <w:rPr>
                <w:webHidden/>
              </w:rPr>
              <w:t>24</w:t>
            </w:r>
            <w:r w:rsidR="008272DB">
              <w:rPr>
                <w:webHidden/>
              </w:rPr>
              <w:fldChar w:fldCharType="end"/>
            </w:r>
          </w:hyperlink>
        </w:p>
        <w:p w14:paraId="2E85DD66" w14:textId="435DB576" w:rsidR="008272DB" w:rsidRDefault="009F04F3">
          <w:pPr>
            <w:pStyle w:val="TOC2"/>
            <w:rPr>
              <w:rFonts w:eastAsiaTheme="minorEastAsia" w:hint="eastAsia"/>
              <w:color w:val="auto"/>
              <w:kern w:val="2"/>
              <w:sz w:val="22"/>
              <w:lang w:val="de-DE" w:eastAsia="de-DE"/>
              <w14:ligatures w14:val="standardContextual"/>
            </w:rPr>
          </w:pPr>
          <w:hyperlink w:anchor="_Toc178672678" w:history="1">
            <w:r w:rsidR="008272DB" w:rsidRPr="00D0725E">
              <w:rPr>
                <w:rStyle w:val="Hyperlink"/>
              </w:rPr>
              <w:t>2.3 Definitions</w:t>
            </w:r>
            <w:r w:rsidR="008272DB">
              <w:rPr>
                <w:webHidden/>
              </w:rPr>
              <w:tab/>
            </w:r>
            <w:r w:rsidR="008272DB">
              <w:rPr>
                <w:webHidden/>
              </w:rPr>
              <w:fldChar w:fldCharType="begin"/>
            </w:r>
            <w:r w:rsidR="008272DB">
              <w:rPr>
                <w:webHidden/>
              </w:rPr>
              <w:instrText xml:space="preserve"> PAGEREF _Toc178672678 \h </w:instrText>
            </w:r>
            <w:r w:rsidR="008272DB">
              <w:rPr>
                <w:webHidden/>
              </w:rPr>
            </w:r>
            <w:r w:rsidR="008272DB">
              <w:rPr>
                <w:webHidden/>
              </w:rPr>
              <w:fldChar w:fldCharType="separate"/>
            </w:r>
            <w:r w:rsidR="008272DB">
              <w:rPr>
                <w:webHidden/>
              </w:rPr>
              <w:t>24</w:t>
            </w:r>
            <w:r w:rsidR="008272DB">
              <w:rPr>
                <w:webHidden/>
              </w:rPr>
              <w:fldChar w:fldCharType="end"/>
            </w:r>
          </w:hyperlink>
        </w:p>
        <w:p w14:paraId="608B6107" w14:textId="225AEEC4" w:rsidR="008272DB" w:rsidRDefault="009F04F3">
          <w:pPr>
            <w:pStyle w:val="TOC2"/>
            <w:rPr>
              <w:rFonts w:eastAsiaTheme="minorEastAsia" w:hint="eastAsia"/>
              <w:color w:val="auto"/>
              <w:kern w:val="2"/>
              <w:sz w:val="22"/>
              <w:lang w:val="de-DE" w:eastAsia="de-DE"/>
              <w14:ligatures w14:val="standardContextual"/>
            </w:rPr>
          </w:pPr>
          <w:hyperlink w:anchor="_Toc178672679" w:history="1">
            <w:r w:rsidR="008272DB" w:rsidRPr="00D0725E">
              <w:rPr>
                <w:rStyle w:val="Hyperlink"/>
              </w:rPr>
              <w:t>2.4 Abbreviations</w:t>
            </w:r>
            <w:r w:rsidR="008272DB">
              <w:rPr>
                <w:webHidden/>
              </w:rPr>
              <w:tab/>
            </w:r>
            <w:r w:rsidR="008272DB">
              <w:rPr>
                <w:webHidden/>
              </w:rPr>
              <w:fldChar w:fldCharType="begin"/>
            </w:r>
            <w:r w:rsidR="008272DB">
              <w:rPr>
                <w:webHidden/>
              </w:rPr>
              <w:instrText xml:space="preserve"> PAGEREF _Toc178672679 \h </w:instrText>
            </w:r>
            <w:r w:rsidR="008272DB">
              <w:rPr>
                <w:webHidden/>
              </w:rPr>
            </w:r>
            <w:r w:rsidR="008272DB">
              <w:rPr>
                <w:webHidden/>
              </w:rPr>
              <w:fldChar w:fldCharType="separate"/>
            </w:r>
            <w:r w:rsidR="008272DB">
              <w:rPr>
                <w:webHidden/>
              </w:rPr>
              <w:t>31</w:t>
            </w:r>
            <w:r w:rsidR="008272DB">
              <w:rPr>
                <w:webHidden/>
              </w:rPr>
              <w:fldChar w:fldCharType="end"/>
            </w:r>
          </w:hyperlink>
        </w:p>
        <w:p w14:paraId="5E16349D" w14:textId="62ED2F5C" w:rsidR="008272DB" w:rsidRDefault="009F04F3">
          <w:pPr>
            <w:pStyle w:val="TOC2"/>
            <w:rPr>
              <w:rFonts w:eastAsiaTheme="minorEastAsia" w:hint="eastAsia"/>
              <w:color w:val="auto"/>
              <w:kern w:val="2"/>
              <w:sz w:val="22"/>
              <w:lang w:val="de-DE" w:eastAsia="de-DE"/>
              <w14:ligatures w14:val="standardContextual"/>
            </w:rPr>
          </w:pPr>
          <w:hyperlink w:anchor="_Toc178672680" w:history="1">
            <w:r w:rsidR="008272DB" w:rsidRPr="00D0725E">
              <w:rPr>
                <w:rStyle w:val="Hyperlink"/>
              </w:rPr>
              <w:t>2.5 General Provisions</w:t>
            </w:r>
            <w:r w:rsidR="008272DB">
              <w:rPr>
                <w:webHidden/>
              </w:rPr>
              <w:tab/>
            </w:r>
            <w:r w:rsidR="008272DB">
              <w:rPr>
                <w:webHidden/>
              </w:rPr>
              <w:fldChar w:fldCharType="begin"/>
            </w:r>
            <w:r w:rsidR="008272DB">
              <w:rPr>
                <w:webHidden/>
              </w:rPr>
              <w:instrText xml:space="preserve"> PAGEREF _Toc178672680 \h </w:instrText>
            </w:r>
            <w:r w:rsidR="008272DB">
              <w:rPr>
                <w:webHidden/>
              </w:rPr>
            </w:r>
            <w:r w:rsidR="008272DB">
              <w:rPr>
                <w:webHidden/>
              </w:rPr>
              <w:fldChar w:fldCharType="separate"/>
            </w:r>
            <w:r w:rsidR="008272DB">
              <w:rPr>
                <w:webHidden/>
              </w:rPr>
              <w:t>31</w:t>
            </w:r>
            <w:r w:rsidR="008272DB">
              <w:rPr>
                <w:webHidden/>
              </w:rPr>
              <w:fldChar w:fldCharType="end"/>
            </w:r>
          </w:hyperlink>
        </w:p>
        <w:p w14:paraId="14ED5A88" w14:textId="4304BCBB" w:rsidR="008272DB" w:rsidRDefault="009F04F3">
          <w:pPr>
            <w:pStyle w:val="TOC2"/>
            <w:rPr>
              <w:rFonts w:eastAsiaTheme="minorEastAsia" w:hint="eastAsia"/>
              <w:color w:val="auto"/>
              <w:kern w:val="2"/>
              <w:sz w:val="22"/>
              <w:lang w:val="de-DE" w:eastAsia="de-DE"/>
              <w14:ligatures w14:val="standardContextual"/>
            </w:rPr>
          </w:pPr>
          <w:hyperlink w:anchor="_Toc178672681" w:history="1">
            <w:r w:rsidR="008272DB" w:rsidRPr="00D0725E">
              <w:rPr>
                <w:rStyle w:val="Hyperlink"/>
              </w:rPr>
              <w:t>2.6 Normative Reference</w:t>
            </w:r>
            <w:r w:rsidR="008272DB">
              <w:rPr>
                <w:webHidden/>
              </w:rPr>
              <w:tab/>
            </w:r>
            <w:r w:rsidR="008272DB">
              <w:rPr>
                <w:webHidden/>
              </w:rPr>
              <w:fldChar w:fldCharType="begin"/>
            </w:r>
            <w:r w:rsidR="008272DB">
              <w:rPr>
                <w:webHidden/>
              </w:rPr>
              <w:instrText xml:space="preserve"> PAGEREF _Toc178672681 \h </w:instrText>
            </w:r>
            <w:r w:rsidR="008272DB">
              <w:rPr>
                <w:webHidden/>
              </w:rPr>
            </w:r>
            <w:r w:rsidR="008272DB">
              <w:rPr>
                <w:webHidden/>
              </w:rPr>
              <w:fldChar w:fldCharType="separate"/>
            </w:r>
            <w:r w:rsidR="008272DB">
              <w:rPr>
                <w:webHidden/>
              </w:rPr>
              <w:t>31</w:t>
            </w:r>
            <w:r w:rsidR="008272DB">
              <w:rPr>
                <w:webHidden/>
              </w:rPr>
              <w:fldChar w:fldCharType="end"/>
            </w:r>
          </w:hyperlink>
        </w:p>
        <w:p w14:paraId="70B6D1AB" w14:textId="50321389"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82" w:history="1">
            <w:r w:rsidR="008272DB" w:rsidRPr="00D0725E">
              <w:rPr>
                <w:rStyle w:val="Hyperlink"/>
              </w:rPr>
              <w:t>3. Specific Methodology per Life Cycle Stages</w:t>
            </w:r>
            <w:r w:rsidR="008272DB">
              <w:rPr>
                <w:webHidden/>
              </w:rPr>
              <w:tab/>
            </w:r>
            <w:r w:rsidR="008272DB">
              <w:rPr>
                <w:webHidden/>
              </w:rPr>
              <w:fldChar w:fldCharType="begin"/>
            </w:r>
            <w:r w:rsidR="008272DB">
              <w:rPr>
                <w:webHidden/>
              </w:rPr>
              <w:instrText xml:space="preserve"> PAGEREF _Toc178672682 \h </w:instrText>
            </w:r>
            <w:r w:rsidR="008272DB">
              <w:rPr>
                <w:webHidden/>
              </w:rPr>
            </w:r>
            <w:r w:rsidR="008272DB">
              <w:rPr>
                <w:webHidden/>
              </w:rPr>
              <w:fldChar w:fldCharType="separate"/>
            </w:r>
            <w:r w:rsidR="008272DB">
              <w:rPr>
                <w:webHidden/>
              </w:rPr>
              <w:t>32</w:t>
            </w:r>
            <w:r w:rsidR="008272DB">
              <w:rPr>
                <w:webHidden/>
              </w:rPr>
              <w:fldChar w:fldCharType="end"/>
            </w:r>
          </w:hyperlink>
        </w:p>
        <w:p w14:paraId="30968B27" w14:textId="1BEA1D1C" w:rsidR="008272DB" w:rsidRDefault="009F04F3">
          <w:pPr>
            <w:pStyle w:val="TOC2"/>
            <w:rPr>
              <w:rFonts w:eastAsiaTheme="minorEastAsia" w:hint="eastAsia"/>
              <w:color w:val="auto"/>
              <w:kern w:val="2"/>
              <w:sz w:val="22"/>
              <w:lang w:val="de-DE" w:eastAsia="de-DE"/>
              <w14:ligatures w14:val="standardContextual"/>
            </w:rPr>
          </w:pPr>
          <w:hyperlink w:anchor="_Toc178672683" w:history="1">
            <w:r w:rsidR="008272DB" w:rsidRPr="00D0725E">
              <w:rPr>
                <w:rStyle w:val="Hyperlink"/>
              </w:rPr>
              <w:t>3.1 Material Production Stage</w:t>
            </w:r>
            <w:r w:rsidR="008272DB">
              <w:rPr>
                <w:webHidden/>
              </w:rPr>
              <w:tab/>
            </w:r>
            <w:r w:rsidR="008272DB">
              <w:rPr>
                <w:webHidden/>
              </w:rPr>
              <w:fldChar w:fldCharType="begin"/>
            </w:r>
            <w:r w:rsidR="008272DB">
              <w:rPr>
                <w:webHidden/>
              </w:rPr>
              <w:instrText xml:space="preserve"> PAGEREF _Toc178672683 \h </w:instrText>
            </w:r>
            <w:r w:rsidR="008272DB">
              <w:rPr>
                <w:webHidden/>
              </w:rPr>
            </w:r>
            <w:r w:rsidR="008272DB">
              <w:rPr>
                <w:webHidden/>
              </w:rPr>
              <w:fldChar w:fldCharType="separate"/>
            </w:r>
            <w:r w:rsidR="008272DB">
              <w:rPr>
                <w:webHidden/>
              </w:rPr>
              <w:t>32</w:t>
            </w:r>
            <w:r w:rsidR="008272DB">
              <w:rPr>
                <w:webHidden/>
              </w:rPr>
              <w:fldChar w:fldCharType="end"/>
            </w:r>
          </w:hyperlink>
        </w:p>
        <w:p w14:paraId="1A651EBA" w14:textId="4FE98EFF" w:rsidR="008272DB" w:rsidRDefault="009F04F3">
          <w:pPr>
            <w:pStyle w:val="TOC3"/>
            <w:rPr>
              <w:rFonts w:eastAsiaTheme="minorEastAsia" w:hint="eastAsia"/>
              <w:color w:val="auto"/>
              <w:kern w:val="2"/>
              <w:sz w:val="22"/>
              <w:lang w:val="de-DE" w:eastAsia="de-DE"/>
              <w14:ligatures w14:val="standardContextual"/>
            </w:rPr>
          </w:pPr>
          <w:hyperlink w:anchor="_Toc178672684" w:history="1">
            <w:r w:rsidR="008272DB" w:rsidRPr="00D0725E">
              <w:rPr>
                <w:rStyle w:val="Hyperlink"/>
              </w:rPr>
              <w:t>3.1.1 Declared Unit</w:t>
            </w:r>
            <w:r w:rsidR="008272DB">
              <w:rPr>
                <w:webHidden/>
              </w:rPr>
              <w:tab/>
            </w:r>
            <w:r w:rsidR="008272DB">
              <w:rPr>
                <w:webHidden/>
              </w:rPr>
              <w:fldChar w:fldCharType="begin"/>
            </w:r>
            <w:r w:rsidR="008272DB">
              <w:rPr>
                <w:webHidden/>
              </w:rPr>
              <w:instrText xml:space="preserve"> PAGEREF _Toc178672684 \h </w:instrText>
            </w:r>
            <w:r w:rsidR="008272DB">
              <w:rPr>
                <w:webHidden/>
              </w:rPr>
            </w:r>
            <w:r w:rsidR="008272DB">
              <w:rPr>
                <w:webHidden/>
              </w:rPr>
              <w:fldChar w:fldCharType="separate"/>
            </w:r>
            <w:r w:rsidR="008272DB">
              <w:rPr>
                <w:webHidden/>
              </w:rPr>
              <w:t>32</w:t>
            </w:r>
            <w:r w:rsidR="008272DB">
              <w:rPr>
                <w:webHidden/>
              </w:rPr>
              <w:fldChar w:fldCharType="end"/>
            </w:r>
          </w:hyperlink>
        </w:p>
        <w:p w14:paraId="34588AF4" w14:textId="6DDA01F8" w:rsidR="008272DB" w:rsidRDefault="009F04F3">
          <w:pPr>
            <w:pStyle w:val="TOC3"/>
            <w:rPr>
              <w:rFonts w:eastAsiaTheme="minorEastAsia" w:hint="eastAsia"/>
              <w:color w:val="auto"/>
              <w:kern w:val="2"/>
              <w:sz w:val="22"/>
              <w:lang w:val="de-DE" w:eastAsia="de-DE"/>
              <w14:ligatures w14:val="standardContextual"/>
            </w:rPr>
          </w:pPr>
          <w:hyperlink w:anchor="_Toc178672685" w:history="1">
            <w:r w:rsidR="008272DB" w:rsidRPr="00D0725E">
              <w:rPr>
                <w:rStyle w:val="Hyperlink"/>
              </w:rPr>
              <w:t>3.1.2 Automotive Material Classification</w:t>
            </w:r>
            <w:r w:rsidR="008272DB">
              <w:rPr>
                <w:webHidden/>
              </w:rPr>
              <w:tab/>
            </w:r>
            <w:r w:rsidR="008272DB">
              <w:rPr>
                <w:webHidden/>
              </w:rPr>
              <w:fldChar w:fldCharType="begin"/>
            </w:r>
            <w:r w:rsidR="008272DB">
              <w:rPr>
                <w:webHidden/>
              </w:rPr>
              <w:instrText xml:space="preserve"> PAGEREF _Toc178672685 \h </w:instrText>
            </w:r>
            <w:r w:rsidR="008272DB">
              <w:rPr>
                <w:webHidden/>
              </w:rPr>
            </w:r>
            <w:r w:rsidR="008272DB">
              <w:rPr>
                <w:webHidden/>
              </w:rPr>
              <w:fldChar w:fldCharType="separate"/>
            </w:r>
            <w:r w:rsidR="008272DB">
              <w:rPr>
                <w:webHidden/>
              </w:rPr>
              <w:t>32</w:t>
            </w:r>
            <w:r w:rsidR="008272DB">
              <w:rPr>
                <w:webHidden/>
              </w:rPr>
              <w:fldChar w:fldCharType="end"/>
            </w:r>
          </w:hyperlink>
        </w:p>
        <w:p w14:paraId="43D7941F" w14:textId="1F49B0D9" w:rsidR="008272DB" w:rsidRDefault="009F04F3">
          <w:pPr>
            <w:pStyle w:val="TOC3"/>
            <w:rPr>
              <w:rFonts w:eastAsiaTheme="minorEastAsia" w:hint="eastAsia"/>
              <w:color w:val="auto"/>
              <w:kern w:val="2"/>
              <w:sz w:val="22"/>
              <w:lang w:val="de-DE" w:eastAsia="de-DE"/>
              <w14:ligatures w14:val="standardContextual"/>
            </w:rPr>
          </w:pPr>
          <w:hyperlink w:anchor="_Toc178672686" w:history="1">
            <w:r w:rsidR="008272DB" w:rsidRPr="00D0725E">
              <w:rPr>
                <w:rStyle w:val="Hyperlink"/>
              </w:rPr>
              <w:t>3.1.3 Data Collection &amp; Type</w:t>
            </w:r>
            <w:r w:rsidR="008272DB">
              <w:rPr>
                <w:webHidden/>
              </w:rPr>
              <w:tab/>
            </w:r>
            <w:r w:rsidR="008272DB">
              <w:rPr>
                <w:webHidden/>
              </w:rPr>
              <w:fldChar w:fldCharType="begin"/>
            </w:r>
            <w:r w:rsidR="008272DB">
              <w:rPr>
                <w:webHidden/>
              </w:rPr>
              <w:instrText xml:space="preserve"> PAGEREF _Toc178672686 \h </w:instrText>
            </w:r>
            <w:r w:rsidR="008272DB">
              <w:rPr>
                <w:webHidden/>
              </w:rPr>
            </w:r>
            <w:r w:rsidR="008272DB">
              <w:rPr>
                <w:webHidden/>
              </w:rPr>
              <w:fldChar w:fldCharType="separate"/>
            </w:r>
            <w:r w:rsidR="008272DB">
              <w:rPr>
                <w:webHidden/>
              </w:rPr>
              <w:t>32</w:t>
            </w:r>
            <w:r w:rsidR="008272DB">
              <w:rPr>
                <w:webHidden/>
              </w:rPr>
              <w:fldChar w:fldCharType="end"/>
            </w:r>
          </w:hyperlink>
        </w:p>
        <w:p w14:paraId="405A4F2A" w14:textId="65F4A412" w:rsidR="008272DB" w:rsidRDefault="009F04F3">
          <w:pPr>
            <w:pStyle w:val="TOC3"/>
            <w:rPr>
              <w:rFonts w:eastAsiaTheme="minorEastAsia" w:hint="eastAsia"/>
              <w:color w:val="auto"/>
              <w:kern w:val="2"/>
              <w:sz w:val="22"/>
              <w:lang w:val="de-DE" w:eastAsia="de-DE"/>
              <w14:ligatures w14:val="standardContextual"/>
            </w:rPr>
          </w:pPr>
          <w:hyperlink w:anchor="_Toc178672687" w:history="1">
            <w:r w:rsidR="008272DB" w:rsidRPr="00D0725E">
              <w:rPr>
                <w:rStyle w:val="Hyperlink"/>
              </w:rPr>
              <w:t>3.1.4 Energy Modelling</w:t>
            </w:r>
            <w:r w:rsidR="008272DB">
              <w:rPr>
                <w:webHidden/>
              </w:rPr>
              <w:tab/>
            </w:r>
            <w:r w:rsidR="008272DB">
              <w:rPr>
                <w:webHidden/>
              </w:rPr>
              <w:fldChar w:fldCharType="begin"/>
            </w:r>
            <w:r w:rsidR="008272DB">
              <w:rPr>
                <w:webHidden/>
              </w:rPr>
              <w:instrText xml:space="preserve"> PAGEREF _Toc178672687 \h </w:instrText>
            </w:r>
            <w:r w:rsidR="008272DB">
              <w:rPr>
                <w:webHidden/>
              </w:rPr>
            </w:r>
            <w:r w:rsidR="008272DB">
              <w:rPr>
                <w:webHidden/>
              </w:rPr>
              <w:fldChar w:fldCharType="separate"/>
            </w:r>
            <w:r w:rsidR="008272DB">
              <w:rPr>
                <w:webHidden/>
              </w:rPr>
              <w:t>32</w:t>
            </w:r>
            <w:r w:rsidR="008272DB">
              <w:rPr>
                <w:webHidden/>
              </w:rPr>
              <w:fldChar w:fldCharType="end"/>
            </w:r>
          </w:hyperlink>
        </w:p>
        <w:p w14:paraId="639BD94B" w14:textId="35F421D0" w:rsidR="008272DB" w:rsidRDefault="009F04F3">
          <w:pPr>
            <w:pStyle w:val="TOC2"/>
            <w:rPr>
              <w:rFonts w:eastAsiaTheme="minorEastAsia" w:hint="eastAsia"/>
              <w:color w:val="auto"/>
              <w:kern w:val="2"/>
              <w:sz w:val="22"/>
              <w:lang w:val="de-DE" w:eastAsia="de-DE"/>
              <w14:ligatures w14:val="standardContextual"/>
            </w:rPr>
          </w:pPr>
          <w:hyperlink w:anchor="_Toc178672688" w:history="1">
            <w:r w:rsidR="008272DB" w:rsidRPr="00D0725E">
              <w:rPr>
                <w:rStyle w:val="Hyperlink"/>
              </w:rPr>
              <w:t>3.2 Parts Production &amp; Vehicle Assembly</w:t>
            </w:r>
            <w:r w:rsidR="008272DB">
              <w:rPr>
                <w:webHidden/>
              </w:rPr>
              <w:tab/>
            </w:r>
            <w:r w:rsidR="008272DB">
              <w:rPr>
                <w:webHidden/>
              </w:rPr>
              <w:fldChar w:fldCharType="begin"/>
            </w:r>
            <w:r w:rsidR="008272DB">
              <w:rPr>
                <w:webHidden/>
              </w:rPr>
              <w:instrText xml:space="preserve"> PAGEREF _Toc178672688 \h </w:instrText>
            </w:r>
            <w:r w:rsidR="008272DB">
              <w:rPr>
                <w:webHidden/>
              </w:rPr>
            </w:r>
            <w:r w:rsidR="008272DB">
              <w:rPr>
                <w:webHidden/>
              </w:rPr>
              <w:fldChar w:fldCharType="separate"/>
            </w:r>
            <w:r w:rsidR="008272DB">
              <w:rPr>
                <w:webHidden/>
              </w:rPr>
              <w:t>32</w:t>
            </w:r>
            <w:r w:rsidR="008272DB">
              <w:rPr>
                <w:webHidden/>
              </w:rPr>
              <w:fldChar w:fldCharType="end"/>
            </w:r>
          </w:hyperlink>
        </w:p>
        <w:p w14:paraId="6CEC06AF" w14:textId="257D3F8C" w:rsidR="008272DB" w:rsidRDefault="009F04F3">
          <w:pPr>
            <w:pStyle w:val="TOC3"/>
            <w:rPr>
              <w:rFonts w:eastAsiaTheme="minorEastAsia" w:hint="eastAsia"/>
              <w:color w:val="auto"/>
              <w:kern w:val="2"/>
              <w:sz w:val="22"/>
              <w:lang w:val="de-DE" w:eastAsia="de-DE"/>
              <w14:ligatures w14:val="standardContextual"/>
            </w:rPr>
          </w:pPr>
          <w:hyperlink w:anchor="_Toc178672689" w:history="1">
            <w:r w:rsidR="008272DB" w:rsidRPr="00D0725E">
              <w:rPr>
                <w:rStyle w:val="Hyperlink"/>
              </w:rPr>
              <w:t>3.2.1 LCA Levels in Parts Production and Vehicle Assembly</w:t>
            </w:r>
            <w:r w:rsidR="008272DB">
              <w:rPr>
                <w:webHidden/>
              </w:rPr>
              <w:tab/>
            </w:r>
            <w:r w:rsidR="008272DB">
              <w:rPr>
                <w:webHidden/>
              </w:rPr>
              <w:fldChar w:fldCharType="begin"/>
            </w:r>
            <w:r w:rsidR="008272DB">
              <w:rPr>
                <w:webHidden/>
              </w:rPr>
              <w:instrText xml:space="preserve"> PAGEREF _Toc178672689 \h </w:instrText>
            </w:r>
            <w:r w:rsidR="008272DB">
              <w:rPr>
                <w:webHidden/>
              </w:rPr>
            </w:r>
            <w:r w:rsidR="008272DB">
              <w:rPr>
                <w:webHidden/>
              </w:rPr>
              <w:fldChar w:fldCharType="separate"/>
            </w:r>
            <w:r w:rsidR="008272DB">
              <w:rPr>
                <w:webHidden/>
              </w:rPr>
              <w:t>32</w:t>
            </w:r>
            <w:r w:rsidR="008272DB">
              <w:rPr>
                <w:webHidden/>
              </w:rPr>
              <w:fldChar w:fldCharType="end"/>
            </w:r>
          </w:hyperlink>
        </w:p>
        <w:p w14:paraId="35C94BC1" w14:textId="7BCAB1DA" w:rsidR="008272DB" w:rsidRDefault="009F04F3">
          <w:pPr>
            <w:pStyle w:val="TOC3"/>
            <w:rPr>
              <w:rFonts w:eastAsiaTheme="minorEastAsia" w:hint="eastAsia"/>
              <w:color w:val="auto"/>
              <w:kern w:val="2"/>
              <w:sz w:val="22"/>
              <w:lang w:val="de-DE" w:eastAsia="de-DE"/>
              <w14:ligatures w14:val="standardContextual"/>
            </w:rPr>
          </w:pPr>
          <w:hyperlink w:anchor="_Toc178672690" w:history="1">
            <w:r w:rsidR="008272DB" w:rsidRPr="00D0725E">
              <w:rPr>
                <w:rStyle w:val="Hyperlink"/>
              </w:rPr>
              <w:t>3.2.2 Declared Unit</w:t>
            </w:r>
            <w:r w:rsidR="008272DB">
              <w:rPr>
                <w:webHidden/>
              </w:rPr>
              <w:tab/>
            </w:r>
            <w:r w:rsidR="008272DB">
              <w:rPr>
                <w:webHidden/>
              </w:rPr>
              <w:fldChar w:fldCharType="begin"/>
            </w:r>
            <w:r w:rsidR="008272DB">
              <w:rPr>
                <w:webHidden/>
              </w:rPr>
              <w:instrText xml:space="preserve"> PAGEREF _Toc178672690 \h </w:instrText>
            </w:r>
            <w:r w:rsidR="008272DB">
              <w:rPr>
                <w:webHidden/>
              </w:rPr>
            </w:r>
            <w:r w:rsidR="008272DB">
              <w:rPr>
                <w:webHidden/>
              </w:rPr>
              <w:fldChar w:fldCharType="separate"/>
            </w:r>
            <w:r w:rsidR="008272DB">
              <w:rPr>
                <w:webHidden/>
              </w:rPr>
              <w:t>34</w:t>
            </w:r>
            <w:r w:rsidR="008272DB">
              <w:rPr>
                <w:webHidden/>
              </w:rPr>
              <w:fldChar w:fldCharType="end"/>
            </w:r>
          </w:hyperlink>
        </w:p>
        <w:p w14:paraId="066BFF69" w14:textId="3703920A" w:rsidR="008272DB" w:rsidRDefault="009F04F3">
          <w:pPr>
            <w:pStyle w:val="TOC3"/>
            <w:rPr>
              <w:rFonts w:eastAsiaTheme="minorEastAsia" w:hint="eastAsia"/>
              <w:color w:val="auto"/>
              <w:kern w:val="2"/>
              <w:sz w:val="22"/>
              <w:lang w:val="de-DE" w:eastAsia="de-DE"/>
              <w14:ligatures w14:val="standardContextual"/>
            </w:rPr>
          </w:pPr>
          <w:hyperlink w:anchor="_Toc178672691" w:history="1">
            <w:r w:rsidR="008272DB" w:rsidRPr="00D0725E">
              <w:rPr>
                <w:rStyle w:val="Hyperlink"/>
              </w:rPr>
              <w:t>3.2.3 System Boundaries</w:t>
            </w:r>
            <w:r w:rsidR="008272DB">
              <w:rPr>
                <w:webHidden/>
              </w:rPr>
              <w:tab/>
            </w:r>
            <w:r w:rsidR="008272DB">
              <w:rPr>
                <w:webHidden/>
              </w:rPr>
              <w:fldChar w:fldCharType="begin"/>
            </w:r>
            <w:r w:rsidR="008272DB">
              <w:rPr>
                <w:webHidden/>
              </w:rPr>
              <w:instrText xml:space="preserve"> PAGEREF _Toc178672691 \h </w:instrText>
            </w:r>
            <w:r w:rsidR="008272DB">
              <w:rPr>
                <w:webHidden/>
              </w:rPr>
            </w:r>
            <w:r w:rsidR="008272DB">
              <w:rPr>
                <w:webHidden/>
              </w:rPr>
              <w:fldChar w:fldCharType="separate"/>
            </w:r>
            <w:r w:rsidR="008272DB">
              <w:rPr>
                <w:webHidden/>
              </w:rPr>
              <w:t>35</w:t>
            </w:r>
            <w:r w:rsidR="008272DB">
              <w:rPr>
                <w:webHidden/>
              </w:rPr>
              <w:fldChar w:fldCharType="end"/>
            </w:r>
          </w:hyperlink>
        </w:p>
        <w:p w14:paraId="78321FE1" w14:textId="277282EE" w:rsidR="008272DB" w:rsidRDefault="009F04F3">
          <w:pPr>
            <w:pStyle w:val="TOC3"/>
            <w:rPr>
              <w:rFonts w:eastAsiaTheme="minorEastAsia" w:hint="eastAsia"/>
              <w:color w:val="auto"/>
              <w:kern w:val="2"/>
              <w:sz w:val="22"/>
              <w:lang w:val="de-DE" w:eastAsia="de-DE"/>
              <w14:ligatures w14:val="standardContextual"/>
            </w:rPr>
          </w:pPr>
          <w:hyperlink w:anchor="_Toc178672692" w:history="1">
            <w:r w:rsidR="008272DB" w:rsidRPr="00D0725E">
              <w:rPr>
                <w:rStyle w:val="Hyperlink"/>
              </w:rPr>
              <w:t>3.2.4 Data collection &amp; type</w:t>
            </w:r>
            <w:r w:rsidR="008272DB">
              <w:rPr>
                <w:webHidden/>
              </w:rPr>
              <w:tab/>
            </w:r>
            <w:r w:rsidR="008272DB">
              <w:rPr>
                <w:webHidden/>
              </w:rPr>
              <w:fldChar w:fldCharType="begin"/>
            </w:r>
            <w:r w:rsidR="008272DB">
              <w:rPr>
                <w:webHidden/>
              </w:rPr>
              <w:instrText xml:space="preserve"> PAGEREF _Toc178672692 \h </w:instrText>
            </w:r>
            <w:r w:rsidR="008272DB">
              <w:rPr>
                <w:webHidden/>
              </w:rPr>
            </w:r>
            <w:r w:rsidR="008272DB">
              <w:rPr>
                <w:webHidden/>
              </w:rPr>
              <w:fldChar w:fldCharType="separate"/>
            </w:r>
            <w:r w:rsidR="008272DB">
              <w:rPr>
                <w:webHidden/>
              </w:rPr>
              <w:t>35</w:t>
            </w:r>
            <w:r w:rsidR="008272DB">
              <w:rPr>
                <w:webHidden/>
              </w:rPr>
              <w:fldChar w:fldCharType="end"/>
            </w:r>
          </w:hyperlink>
        </w:p>
        <w:p w14:paraId="35FDF88B" w14:textId="4B1EAEAB" w:rsidR="008272DB" w:rsidRDefault="009F04F3">
          <w:pPr>
            <w:pStyle w:val="TOC3"/>
            <w:rPr>
              <w:rFonts w:eastAsiaTheme="minorEastAsia" w:hint="eastAsia"/>
              <w:color w:val="auto"/>
              <w:kern w:val="2"/>
              <w:sz w:val="22"/>
              <w:lang w:val="de-DE" w:eastAsia="de-DE"/>
              <w14:ligatures w14:val="standardContextual"/>
            </w:rPr>
          </w:pPr>
          <w:hyperlink w:anchor="_Toc178672693" w:history="1">
            <w:r w:rsidR="008272DB" w:rsidRPr="00D0725E">
              <w:rPr>
                <w:rStyle w:val="Hyperlink"/>
              </w:rPr>
              <w:t>3.2.5 Logistics</w:t>
            </w:r>
            <w:r w:rsidR="008272DB">
              <w:rPr>
                <w:webHidden/>
              </w:rPr>
              <w:tab/>
            </w:r>
            <w:r w:rsidR="008272DB">
              <w:rPr>
                <w:webHidden/>
              </w:rPr>
              <w:fldChar w:fldCharType="begin"/>
            </w:r>
            <w:r w:rsidR="008272DB">
              <w:rPr>
                <w:webHidden/>
              </w:rPr>
              <w:instrText xml:space="preserve"> PAGEREF _Toc178672693 \h </w:instrText>
            </w:r>
            <w:r w:rsidR="008272DB">
              <w:rPr>
                <w:webHidden/>
              </w:rPr>
            </w:r>
            <w:r w:rsidR="008272DB">
              <w:rPr>
                <w:webHidden/>
              </w:rPr>
              <w:fldChar w:fldCharType="separate"/>
            </w:r>
            <w:r w:rsidR="008272DB">
              <w:rPr>
                <w:webHidden/>
              </w:rPr>
              <w:t>40</w:t>
            </w:r>
            <w:r w:rsidR="008272DB">
              <w:rPr>
                <w:webHidden/>
              </w:rPr>
              <w:fldChar w:fldCharType="end"/>
            </w:r>
          </w:hyperlink>
        </w:p>
        <w:p w14:paraId="6B34C56F" w14:textId="0D4BCD38" w:rsidR="008272DB" w:rsidRDefault="009F04F3">
          <w:pPr>
            <w:pStyle w:val="TOC3"/>
            <w:rPr>
              <w:rFonts w:eastAsiaTheme="minorEastAsia" w:hint="eastAsia"/>
              <w:color w:val="auto"/>
              <w:kern w:val="2"/>
              <w:sz w:val="22"/>
              <w:lang w:val="de-DE" w:eastAsia="de-DE"/>
              <w14:ligatures w14:val="standardContextual"/>
            </w:rPr>
          </w:pPr>
          <w:hyperlink w:anchor="_Toc178672694" w:history="1">
            <w:r w:rsidR="008272DB" w:rsidRPr="00D0725E">
              <w:rPr>
                <w:rStyle w:val="Hyperlink"/>
              </w:rPr>
              <w:t>3.2.6 Energy Modelling</w:t>
            </w:r>
            <w:r w:rsidR="008272DB">
              <w:rPr>
                <w:webHidden/>
              </w:rPr>
              <w:tab/>
            </w:r>
            <w:r w:rsidR="008272DB">
              <w:rPr>
                <w:webHidden/>
              </w:rPr>
              <w:fldChar w:fldCharType="begin"/>
            </w:r>
            <w:r w:rsidR="008272DB">
              <w:rPr>
                <w:webHidden/>
              </w:rPr>
              <w:instrText xml:space="preserve"> PAGEREF _Toc178672694 \h </w:instrText>
            </w:r>
            <w:r w:rsidR="008272DB">
              <w:rPr>
                <w:webHidden/>
              </w:rPr>
            </w:r>
            <w:r w:rsidR="008272DB">
              <w:rPr>
                <w:webHidden/>
              </w:rPr>
              <w:fldChar w:fldCharType="separate"/>
            </w:r>
            <w:r w:rsidR="008272DB">
              <w:rPr>
                <w:webHidden/>
              </w:rPr>
              <w:t>42</w:t>
            </w:r>
            <w:r w:rsidR="008272DB">
              <w:rPr>
                <w:webHidden/>
              </w:rPr>
              <w:fldChar w:fldCharType="end"/>
            </w:r>
          </w:hyperlink>
        </w:p>
        <w:p w14:paraId="62872477" w14:textId="67477917" w:rsidR="008272DB" w:rsidRDefault="009F04F3">
          <w:pPr>
            <w:pStyle w:val="TOC2"/>
            <w:rPr>
              <w:rFonts w:eastAsiaTheme="minorEastAsia" w:hint="eastAsia"/>
              <w:color w:val="auto"/>
              <w:kern w:val="2"/>
              <w:sz w:val="22"/>
              <w:lang w:val="de-DE" w:eastAsia="de-DE"/>
              <w14:ligatures w14:val="standardContextual"/>
            </w:rPr>
          </w:pPr>
          <w:hyperlink w:anchor="_Toc178672695" w:history="1">
            <w:r w:rsidR="008272DB" w:rsidRPr="00D0725E">
              <w:rPr>
                <w:rStyle w:val="Hyperlink"/>
              </w:rPr>
              <w:t>3.3 Use Stage</w:t>
            </w:r>
            <w:r w:rsidR="008272DB">
              <w:rPr>
                <w:webHidden/>
              </w:rPr>
              <w:tab/>
            </w:r>
            <w:r w:rsidR="008272DB">
              <w:rPr>
                <w:webHidden/>
              </w:rPr>
              <w:fldChar w:fldCharType="begin"/>
            </w:r>
            <w:r w:rsidR="008272DB">
              <w:rPr>
                <w:webHidden/>
              </w:rPr>
              <w:instrText xml:space="preserve"> PAGEREF _Toc178672695 \h </w:instrText>
            </w:r>
            <w:r w:rsidR="008272DB">
              <w:rPr>
                <w:webHidden/>
              </w:rPr>
            </w:r>
            <w:r w:rsidR="008272DB">
              <w:rPr>
                <w:webHidden/>
              </w:rPr>
              <w:fldChar w:fldCharType="separate"/>
            </w:r>
            <w:r w:rsidR="008272DB">
              <w:rPr>
                <w:webHidden/>
              </w:rPr>
              <w:t>42</w:t>
            </w:r>
            <w:r w:rsidR="008272DB">
              <w:rPr>
                <w:webHidden/>
              </w:rPr>
              <w:fldChar w:fldCharType="end"/>
            </w:r>
          </w:hyperlink>
        </w:p>
        <w:p w14:paraId="758ECDDB" w14:textId="24207885" w:rsidR="008272DB" w:rsidRDefault="009F04F3">
          <w:pPr>
            <w:pStyle w:val="TOC2"/>
            <w:rPr>
              <w:rFonts w:eastAsiaTheme="minorEastAsia" w:hint="eastAsia"/>
              <w:color w:val="auto"/>
              <w:kern w:val="2"/>
              <w:sz w:val="22"/>
              <w:lang w:val="de-DE" w:eastAsia="de-DE"/>
              <w14:ligatures w14:val="standardContextual"/>
            </w:rPr>
          </w:pPr>
          <w:hyperlink w:anchor="_Toc178672696" w:history="1">
            <w:r w:rsidR="008272DB" w:rsidRPr="00D0725E">
              <w:rPr>
                <w:rStyle w:val="Hyperlink"/>
              </w:rPr>
              <w:t>3.4 End of Life</w:t>
            </w:r>
            <w:r w:rsidR="008272DB">
              <w:rPr>
                <w:webHidden/>
              </w:rPr>
              <w:tab/>
            </w:r>
            <w:r w:rsidR="008272DB">
              <w:rPr>
                <w:webHidden/>
              </w:rPr>
              <w:fldChar w:fldCharType="begin"/>
            </w:r>
            <w:r w:rsidR="008272DB">
              <w:rPr>
                <w:webHidden/>
              </w:rPr>
              <w:instrText xml:space="preserve"> PAGEREF _Toc178672696 \h </w:instrText>
            </w:r>
            <w:r w:rsidR="008272DB">
              <w:rPr>
                <w:webHidden/>
              </w:rPr>
            </w:r>
            <w:r w:rsidR="008272DB">
              <w:rPr>
                <w:webHidden/>
              </w:rPr>
              <w:fldChar w:fldCharType="separate"/>
            </w:r>
            <w:r w:rsidR="008272DB">
              <w:rPr>
                <w:webHidden/>
              </w:rPr>
              <w:t>42</w:t>
            </w:r>
            <w:r w:rsidR="008272DB">
              <w:rPr>
                <w:webHidden/>
              </w:rPr>
              <w:fldChar w:fldCharType="end"/>
            </w:r>
          </w:hyperlink>
        </w:p>
        <w:p w14:paraId="027C4898" w14:textId="16407240"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97" w:history="1">
            <w:r w:rsidR="008272DB" w:rsidRPr="00D0725E">
              <w:rPr>
                <w:rStyle w:val="Hyperlink"/>
              </w:rPr>
              <w:t>4. Reporting</w:t>
            </w:r>
            <w:r w:rsidR="008272DB">
              <w:rPr>
                <w:webHidden/>
              </w:rPr>
              <w:tab/>
            </w:r>
            <w:r w:rsidR="008272DB">
              <w:rPr>
                <w:webHidden/>
              </w:rPr>
              <w:fldChar w:fldCharType="begin"/>
            </w:r>
            <w:r w:rsidR="008272DB">
              <w:rPr>
                <w:webHidden/>
              </w:rPr>
              <w:instrText xml:space="preserve"> PAGEREF _Toc178672697 \h </w:instrText>
            </w:r>
            <w:r w:rsidR="008272DB">
              <w:rPr>
                <w:webHidden/>
              </w:rPr>
            </w:r>
            <w:r w:rsidR="008272DB">
              <w:rPr>
                <w:webHidden/>
              </w:rPr>
              <w:fldChar w:fldCharType="separate"/>
            </w:r>
            <w:r w:rsidR="008272DB">
              <w:rPr>
                <w:webHidden/>
              </w:rPr>
              <w:t>43</w:t>
            </w:r>
            <w:r w:rsidR="008272DB">
              <w:rPr>
                <w:webHidden/>
              </w:rPr>
              <w:fldChar w:fldCharType="end"/>
            </w:r>
          </w:hyperlink>
        </w:p>
        <w:p w14:paraId="74F99069" w14:textId="2EC16F5E"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98" w:history="1">
            <w:r w:rsidR="008272DB" w:rsidRPr="00D0725E">
              <w:rPr>
                <w:rStyle w:val="Hyperlink"/>
              </w:rPr>
              <w:t>5. Verification</w:t>
            </w:r>
            <w:r w:rsidR="008272DB">
              <w:rPr>
                <w:webHidden/>
              </w:rPr>
              <w:tab/>
            </w:r>
            <w:r w:rsidR="008272DB">
              <w:rPr>
                <w:webHidden/>
              </w:rPr>
              <w:fldChar w:fldCharType="begin"/>
            </w:r>
            <w:r w:rsidR="008272DB">
              <w:rPr>
                <w:webHidden/>
              </w:rPr>
              <w:instrText xml:space="preserve"> PAGEREF _Toc178672698 \h </w:instrText>
            </w:r>
            <w:r w:rsidR="008272DB">
              <w:rPr>
                <w:webHidden/>
              </w:rPr>
            </w:r>
            <w:r w:rsidR="008272DB">
              <w:rPr>
                <w:webHidden/>
              </w:rPr>
              <w:fldChar w:fldCharType="separate"/>
            </w:r>
            <w:r w:rsidR="008272DB">
              <w:rPr>
                <w:webHidden/>
              </w:rPr>
              <w:t>44</w:t>
            </w:r>
            <w:r w:rsidR="008272DB">
              <w:rPr>
                <w:webHidden/>
              </w:rPr>
              <w:fldChar w:fldCharType="end"/>
            </w:r>
          </w:hyperlink>
        </w:p>
        <w:p w14:paraId="2525F7E5" w14:textId="7633CE01" w:rsidR="008272DB" w:rsidRDefault="009F04F3">
          <w:pPr>
            <w:pStyle w:val="TOC1"/>
            <w:rPr>
              <w:rFonts w:asciiTheme="minorHAnsi" w:eastAsiaTheme="minorEastAsia" w:hAnsiTheme="minorHAnsi" w:hint="eastAsia"/>
              <w:color w:val="auto"/>
              <w:kern w:val="2"/>
              <w:sz w:val="22"/>
              <w:lang w:val="de-DE" w:eastAsia="de-DE"/>
              <w14:ligatures w14:val="standardContextual"/>
            </w:rPr>
          </w:pPr>
          <w:hyperlink w:anchor="_Toc178672699" w:history="1">
            <w:r w:rsidR="008272DB" w:rsidRPr="00D0725E">
              <w:rPr>
                <w:rStyle w:val="Hyperlink"/>
                <w:rFonts w:asciiTheme="majorHAnsi" w:hAnsiTheme="majorHAnsi"/>
              </w:rPr>
              <w:t>Annex</w:t>
            </w:r>
            <w:r w:rsidR="008272DB">
              <w:rPr>
                <w:webHidden/>
              </w:rPr>
              <w:tab/>
            </w:r>
            <w:r w:rsidR="008272DB">
              <w:rPr>
                <w:webHidden/>
              </w:rPr>
              <w:fldChar w:fldCharType="begin"/>
            </w:r>
            <w:r w:rsidR="008272DB">
              <w:rPr>
                <w:webHidden/>
              </w:rPr>
              <w:instrText xml:space="preserve"> PAGEREF _Toc178672699 \h </w:instrText>
            </w:r>
            <w:r w:rsidR="008272DB">
              <w:rPr>
                <w:webHidden/>
              </w:rPr>
            </w:r>
            <w:r w:rsidR="008272DB">
              <w:rPr>
                <w:webHidden/>
              </w:rPr>
              <w:fldChar w:fldCharType="separate"/>
            </w:r>
            <w:r w:rsidR="008272DB">
              <w:rPr>
                <w:webHidden/>
              </w:rPr>
              <w:t>45</w:t>
            </w:r>
            <w:r w:rsidR="008272DB">
              <w:rPr>
                <w:webHidden/>
              </w:rPr>
              <w:fldChar w:fldCharType="end"/>
            </w:r>
          </w:hyperlink>
        </w:p>
        <w:p w14:paraId="3CA3DE63" w14:textId="0B88802D" w:rsidR="008272DB" w:rsidRDefault="009F04F3">
          <w:pPr>
            <w:pStyle w:val="TOC2"/>
            <w:rPr>
              <w:rFonts w:eastAsiaTheme="minorEastAsia" w:hint="eastAsia"/>
              <w:color w:val="auto"/>
              <w:kern w:val="2"/>
              <w:sz w:val="22"/>
              <w:lang w:val="de-DE" w:eastAsia="de-DE"/>
              <w14:ligatures w14:val="standardContextual"/>
            </w:rPr>
          </w:pPr>
          <w:hyperlink w:anchor="_Toc178672700" w:history="1">
            <w:r w:rsidR="008272DB" w:rsidRPr="00D0725E">
              <w:rPr>
                <w:rStyle w:val="Hyperlink"/>
                <w:rFonts w:cs="Calibri"/>
                <w:lang w:val="en-GB"/>
              </w:rPr>
              <w:t>A 1.</w:t>
            </w:r>
            <w:r w:rsidR="008272DB" w:rsidRPr="00D0725E">
              <w:rPr>
                <w:rStyle w:val="Hyperlink"/>
                <w:rFonts w:asciiTheme="majorHAnsi" w:hAnsiTheme="majorHAnsi"/>
                <w:lang w:val="en-GB"/>
              </w:rPr>
              <w:t xml:space="preserve"> Additional Guidance on Classifying Waste </w:t>
            </w:r>
            <w:r w:rsidR="008272DB" w:rsidRPr="00D0725E">
              <w:rPr>
                <w:rStyle w:val="Hyperlink"/>
                <w:rFonts w:asciiTheme="majorHAnsi" w:hAnsiTheme="majorHAnsi"/>
              </w:rPr>
              <w:t>vs</w:t>
            </w:r>
            <w:r w:rsidR="008272DB" w:rsidRPr="00D0725E">
              <w:rPr>
                <w:rStyle w:val="Hyperlink"/>
                <w:rFonts w:asciiTheme="majorHAnsi" w:hAnsiTheme="majorHAnsi"/>
                <w:lang w:val="en-GB"/>
              </w:rPr>
              <w:t xml:space="preserve"> Co-product</w:t>
            </w:r>
            <w:r w:rsidR="008272DB">
              <w:rPr>
                <w:webHidden/>
              </w:rPr>
              <w:tab/>
            </w:r>
            <w:r w:rsidR="008272DB">
              <w:rPr>
                <w:webHidden/>
              </w:rPr>
              <w:fldChar w:fldCharType="begin"/>
            </w:r>
            <w:r w:rsidR="008272DB">
              <w:rPr>
                <w:webHidden/>
              </w:rPr>
              <w:instrText xml:space="preserve"> PAGEREF _Toc178672700 \h </w:instrText>
            </w:r>
            <w:r w:rsidR="008272DB">
              <w:rPr>
                <w:webHidden/>
              </w:rPr>
            </w:r>
            <w:r w:rsidR="008272DB">
              <w:rPr>
                <w:webHidden/>
              </w:rPr>
              <w:fldChar w:fldCharType="separate"/>
            </w:r>
            <w:r w:rsidR="008272DB">
              <w:rPr>
                <w:webHidden/>
              </w:rPr>
              <w:t>45</w:t>
            </w:r>
            <w:r w:rsidR="008272DB">
              <w:rPr>
                <w:webHidden/>
              </w:rPr>
              <w:fldChar w:fldCharType="end"/>
            </w:r>
          </w:hyperlink>
        </w:p>
        <w:p w14:paraId="20EF557A" w14:textId="75975FC4" w:rsidR="0034409B" w:rsidRDefault="0034409B">
          <w:r>
            <w:rPr>
              <w:b/>
              <w:bCs/>
            </w:rPr>
            <w:fldChar w:fldCharType="end"/>
          </w:r>
        </w:p>
      </w:sdtContent>
    </w:sdt>
    <w:p w14:paraId="135F18E5" w14:textId="77777777" w:rsidR="0034409B" w:rsidRPr="0034409B" w:rsidRDefault="0034409B" w:rsidP="0034409B">
      <w:pPr>
        <w:rPr>
          <w:color w:val="046B99" w:themeColor="accent5"/>
        </w:rPr>
      </w:pPr>
    </w:p>
    <w:p w14:paraId="49CCBF8D" w14:textId="785A2696" w:rsidR="009D6665" w:rsidRDefault="009D6665" w:rsidP="009D6665">
      <w:pPr>
        <w:pStyle w:val="TOCHeading"/>
        <w:pageBreakBefore w:val="0"/>
        <w:rPr>
          <w:rFonts w:cs="Calibri"/>
        </w:rPr>
      </w:pPr>
      <w:r w:rsidRPr="00464690">
        <w:rPr>
          <w:rFonts w:cs="Calibri"/>
        </w:rPr>
        <w:t xml:space="preserve">Table of </w:t>
      </w:r>
      <w:r w:rsidR="0034409B">
        <w:rPr>
          <w:rFonts w:cs="Calibri"/>
        </w:rPr>
        <w:t>F</w:t>
      </w:r>
      <w:r w:rsidRPr="00464690">
        <w:rPr>
          <w:rFonts w:cs="Calibri"/>
        </w:rPr>
        <w:t>igures</w:t>
      </w:r>
    </w:p>
    <w:p w14:paraId="134584DB" w14:textId="26559698" w:rsidR="008272DB" w:rsidRDefault="0034409B">
      <w:pPr>
        <w:pStyle w:val="TableofFigures"/>
        <w:tabs>
          <w:tab w:val="right" w:leader="dot" w:pos="9062"/>
        </w:tabs>
        <w:rPr>
          <w:rFonts w:eastAsiaTheme="minorEastAsia" w:hint="eastAsia"/>
          <w:noProof/>
          <w:color w:val="auto"/>
          <w:kern w:val="2"/>
          <w:sz w:val="22"/>
          <w:lang w:val="de-DE" w:eastAsia="de-DE"/>
          <w14:ligatures w14:val="standardContextual"/>
        </w:rPr>
      </w:pPr>
      <w:r>
        <w:fldChar w:fldCharType="begin"/>
      </w:r>
      <w:r>
        <w:instrText xml:space="preserve"> TOC \h \z \c "Figure" </w:instrText>
      </w:r>
      <w:r>
        <w:fldChar w:fldCharType="separate"/>
      </w:r>
      <w:hyperlink w:anchor="_Toc178673559" w:history="1">
        <w:r w:rsidR="008272DB" w:rsidRPr="00573FC5">
          <w:rPr>
            <w:rStyle w:val="Hyperlink"/>
            <w:rFonts w:asciiTheme="majorHAnsi" w:hAnsiTheme="majorHAnsi"/>
            <w:noProof/>
          </w:rPr>
          <w:t>Figure 1: Relationship of standards</w:t>
        </w:r>
        <w:r w:rsidR="008272DB">
          <w:rPr>
            <w:noProof/>
            <w:webHidden/>
          </w:rPr>
          <w:tab/>
        </w:r>
        <w:r w:rsidR="008272DB">
          <w:rPr>
            <w:noProof/>
            <w:webHidden/>
          </w:rPr>
          <w:fldChar w:fldCharType="begin"/>
        </w:r>
        <w:r w:rsidR="008272DB">
          <w:rPr>
            <w:noProof/>
            <w:webHidden/>
          </w:rPr>
          <w:instrText xml:space="preserve"> PAGEREF _Toc178673559 \h </w:instrText>
        </w:r>
        <w:r w:rsidR="008272DB">
          <w:rPr>
            <w:noProof/>
            <w:webHidden/>
          </w:rPr>
        </w:r>
        <w:r w:rsidR="008272DB">
          <w:rPr>
            <w:noProof/>
            <w:webHidden/>
          </w:rPr>
          <w:fldChar w:fldCharType="separate"/>
        </w:r>
        <w:r w:rsidR="008272DB">
          <w:rPr>
            <w:noProof/>
            <w:webHidden/>
          </w:rPr>
          <w:t>8</w:t>
        </w:r>
        <w:r w:rsidR="008272DB">
          <w:rPr>
            <w:noProof/>
            <w:webHidden/>
          </w:rPr>
          <w:fldChar w:fldCharType="end"/>
        </w:r>
      </w:hyperlink>
    </w:p>
    <w:p w14:paraId="6D067908" w14:textId="44DEDA00"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0" w:history="1">
        <w:r w:rsidR="008272DB" w:rsidRPr="00573FC5">
          <w:rPr>
            <w:rStyle w:val="Hyperlink"/>
            <w:noProof/>
          </w:rPr>
          <w:t>Figure 2: General structure of Life Cycle Assessment according to ISO 14040</w:t>
        </w:r>
        <w:r w:rsidR="008272DB">
          <w:rPr>
            <w:noProof/>
            <w:webHidden/>
          </w:rPr>
          <w:tab/>
        </w:r>
        <w:r w:rsidR="008272DB">
          <w:rPr>
            <w:noProof/>
            <w:webHidden/>
          </w:rPr>
          <w:fldChar w:fldCharType="begin"/>
        </w:r>
        <w:r w:rsidR="008272DB">
          <w:rPr>
            <w:noProof/>
            <w:webHidden/>
          </w:rPr>
          <w:instrText xml:space="preserve"> PAGEREF _Toc178673560 \h </w:instrText>
        </w:r>
        <w:r w:rsidR="008272DB">
          <w:rPr>
            <w:noProof/>
            <w:webHidden/>
          </w:rPr>
        </w:r>
        <w:r w:rsidR="008272DB">
          <w:rPr>
            <w:noProof/>
            <w:webHidden/>
          </w:rPr>
          <w:fldChar w:fldCharType="separate"/>
        </w:r>
        <w:r w:rsidR="008272DB">
          <w:rPr>
            <w:noProof/>
            <w:webHidden/>
          </w:rPr>
          <w:t>9</w:t>
        </w:r>
        <w:r w:rsidR="008272DB">
          <w:rPr>
            <w:noProof/>
            <w:webHidden/>
          </w:rPr>
          <w:fldChar w:fldCharType="end"/>
        </w:r>
      </w:hyperlink>
    </w:p>
    <w:p w14:paraId="2C5E1FF1" w14:textId="6337036D"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1" w:history="1">
        <w:r w:rsidR="008272DB" w:rsidRPr="00573FC5">
          <w:rPr>
            <w:rStyle w:val="Hyperlink"/>
            <w:noProof/>
          </w:rPr>
          <w:t>Figure 3: Evolution of implementation areas for vehicle LCAs and involved stakeholders</w:t>
        </w:r>
        <w:r w:rsidR="008272DB">
          <w:rPr>
            <w:noProof/>
            <w:webHidden/>
          </w:rPr>
          <w:tab/>
        </w:r>
        <w:r w:rsidR="008272DB">
          <w:rPr>
            <w:noProof/>
            <w:webHidden/>
          </w:rPr>
          <w:fldChar w:fldCharType="begin"/>
        </w:r>
        <w:r w:rsidR="008272DB">
          <w:rPr>
            <w:noProof/>
            <w:webHidden/>
          </w:rPr>
          <w:instrText xml:space="preserve"> PAGEREF _Toc178673561 \h </w:instrText>
        </w:r>
        <w:r w:rsidR="008272DB">
          <w:rPr>
            <w:noProof/>
            <w:webHidden/>
          </w:rPr>
        </w:r>
        <w:r w:rsidR="008272DB">
          <w:rPr>
            <w:noProof/>
            <w:webHidden/>
          </w:rPr>
          <w:fldChar w:fldCharType="separate"/>
        </w:r>
        <w:r w:rsidR="008272DB">
          <w:rPr>
            <w:noProof/>
            <w:webHidden/>
          </w:rPr>
          <w:t>10</w:t>
        </w:r>
        <w:r w:rsidR="008272DB">
          <w:rPr>
            <w:noProof/>
            <w:webHidden/>
          </w:rPr>
          <w:fldChar w:fldCharType="end"/>
        </w:r>
      </w:hyperlink>
    </w:p>
    <w:p w14:paraId="31FC3A17" w14:textId="52BB2C85"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2" w:history="1">
        <w:r w:rsidR="008272DB" w:rsidRPr="00573FC5">
          <w:rPr>
            <w:rStyle w:val="Hyperlink"/>
            <w:noProof/>
          </w:rPr>
          <w:t>Figure 4: Examples of high quality LCAs in different levels</w:t>
        </w:r>
        <w:r w:rsidR="008272DB">
          <w:rPr>
            <w:noProof/>
            <w:webHidden/>
          </w:rPr>
          <w:tab/>
        </w:r>
        <w:r w:rsidR="008272DB">
          <w:rPr>
            <w:noProof/>
            <w:webHidden/>
          </w:rPr>
          <w:fldChar w:fldCharType="begin"/>
        </w:r>
        <w:r w:rsidR="008272DB">
          <w:rPr>
            <w:noProof/>
            <w:webHidden/>
          </w:rPr>
          <w:instrText xml:space="preserve"> PAGEREF _Toc178673562 \h </w:instrText>
        </w:r>
        <w:r w:rsidR="008272DB">
          <w:rPr>
            <w:noProof/>
            <w:webHidden/>
          </w:rPr>
        </w:r>
        <w:r w:rsidR="008272DB">
          <w:rPr>
            <w:noProof/>
            <w:webHidden/>
          </w:rPr>
          <w:fldChar w:fldCharType="separate"/>
        </w:r>
        <w:r w:rsidR="008272DB">
          <w:rPr>
            <w:noProof/>
            <w:webHidden/>
          </w:rPr>
          <w:t>12</w:t>
        </w:r>
        <w:r w:rsidR="008272DB">
          <w:rPr>
            <w:noProof/>
            <w:webHidden/>
          </w:rPr>
          <w:fldChar w:fldCharType="end"/>
        </w:r>
      </w:hyperlink>
    </w:p>
    <w:p w14:paraId="344D6085" w14:textId="29AB5BC1"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3" w:history="1">
        <w:r w:rsidR="008272DB" w:rsidRPr="00573FC5">
          <w:rPr>
            <w:rStyle w:val="Hyperlink"/>
            <w:rFonts w:asciiTheme="majorHAnsi" w:hAnsiTheme="majorHAnsi"/>
            <w:noProof/>
          </w:rPr>
          <w:t>Figure 5: System boundaries</w:t>
        </w:r>
        <w:r w:rsidR="008272DB">
          <w:rPr>
            <w:noProof/>
            <w:webHidden/>
          </w:rPr>
          <w:tab/>
        </w:r>
        <w:r w:rsidR="008272DB">
          <w:rPr>
            <w:noProof/>
            <w:webHidden/>
          </w:rPr>
          <w:fldChar w:fldCharType="begin"/>
        </w:r>
        <w:r w:rsidR="008272DB">
          <w:rPr>
            <w:noProof/>
            <w:webHidden/>
          </w:rPr>
          <w:instrText xml:space="preserve"> PAGEREF _Toc178673563 \h </w:instrText>
        </w:r>
        <w:r w:rsidR="008272DB">
          <w:rPr>
            <w:noProof/>
            <w:webHidden/>
          </w:rPr>
        </w:r>
        <w:r w:rsidR="008272DB">
          <w:rPr>
            <w:noProof/>
            <w:webHidden/>
          </w:rPr>
          <w:fldChar w:fldCharType="separate"/>
        </w:r>
        <w:r w:rsidR="008272DB">
          <w:rPr>
            <w:noProof/>
            <w:webHidden/>
          </w:rPr>
          <w:t>13</w:t>
        </w:r>
        <w:r w:rsidR="008272DB">
          <w:rPr>
            <w:noProof/>
            <w:webHidden/>
          </w:rPr>
          <w:fldChar w:fldCharType="end"/>
        </w:r>
      </w:hyperlink>
    </w:p>
    <w:p w14:paraId="177C91D4" w14:textId="541250BD"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4" w:history="1">
        <w:r w:rsidR="008272DB" w:rsidRPr="00573FC5">
          <w:rPr>
            <w:rStyle w:val="Hyperlink"/>
            <w:noProof/>
          </w:rPr>
          <w:t xml:space="preserve">Figure 6: </w:t>
        </w:r>
        <w:r w:rsidR="008272DB" w:rsidRPr="00573FC5">
          <w:rPr>
            <w:rStyle w:val="Hyperlink"/>
            <w:rFonts w:asciiTheme="majorHAnsi" w:hAnsiTheme="majorHAnsi"/>
            <w:noProof/>
          </w:rPr>
          <w:t>Product, Co-Product or Waste</w:t>
        </w:r>
        <w:r w:rsidR="008272DB">
          <w:rPr>
            <w:noProof/>
            <w:webHidden/>
          </w:rPr>
          <w:tab/>
        </w:r>
        <w:r w:rsidR="008272DB">
          <w:rPr>
            <w:noProof/>
            <w:webHidden/>
          </w:rPr>
          <w:fldChar w:fldCharType="begin"/>
        </w:r>
        <w:r w:rsidR="008272DB">
          <w:rPr>
            <w:noProof/>
            <w:webHidden/>
          </w:rPr>
          <w:instrText xml:space="preserve"> PAGEREF _Toc178673564 \h </w:instrText>
        </w:r>
        <w:r w:rsidR="008272DB">
          <w:rPr>
            <w:noProof/>
            <w:webHidden/>
          </w:rPr>
        </w:r>
        <w:r w:rsidR="008272DB">
          <w:rPr>
            <w:noProof/>
            <w:webHidden/>
          </w:rPr>
          <w:fldChar w:fldCharType="separate"/>
        </w:r>
        <w:r w:rsidR="008272DB">
          <w:rPr>
            <w:noProof/>
            <w:webHidden/>
          </w:rPr>
          <w:t>17</w:t>
        </w:r>
        <w:r w:rsidR="008272DB">
          <w:rPr>
            <w:noProof/>
            <w:webHidden/>
          </w:rPr>
          <w:fldChar w:fldCharType="end"/>
        </w:r>
      </w:hyperlink>
    </w:p>
    <w:p w14:paraId="20F33EBF" w14:textId="6C44E5CF"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5" w:history="1">
        <w:r w:rsidR="008272DB" w:rsidRPr="00573FC5">
          <w:rPr>
            <w:rStyle w:val="Hyperlink"/>
            <w:noProof/>
          </w:rPr>
          <w:t>Figure 7</w:t>
        </w:r>
        <w:r w:rsidR="008272DB" w:rsidRPr="00573FC5">
          <w:rPr>
            <w:rStyle w:val="Hyperlink"/>
            <w:rFonts w:asciiTheme="majorHAnsi" w:hAnsiTheme="majorHAnsi"/>
            <w:noProof/>
          </w:rPr>
          <w:t>: Waste vs. co-product classification hierarchy based on EU Waste Framework Directive</w:t>
        </w:r>
        <w:r w:rsidR="008272DB">
          <w:rPr>
            <w:noProof/>
            <w:webHidden/>
          </w:rPr>
          <w:tab/>
        </w:r>
        <w:r w:rsidR="008272DB">
          <w:rPr>
            <w:noProof/>
            <w:webHidden/>
          </w:rPr>
          <w:fldChar w:fldCharType="begin"/>
        </w:r>
        <w:r w:rsidR="008272DB">
          <w:rPr>
            <w:noProof/>
            <w:webHidden/>
          </w:rPr>
          <w:instrText xml:space="preserve"> PAGEREF _Toc178673565 \h </w:instrText>
        </w:r>
        <w:r w:rsidR="008272DB">
          <w:rPr>
            <w:noProof/>
            <w:webHidden/>
          </w:rPr>
        </w:r>
        <w:r w:rsidR="008272DB">
          <w:rPr>
            <w:noProof/>
            <w:webHidden/>
          </w:rPr>
          <w:fldChar w:fldCharType="separate"/>
        </w:r>
        <w:r w:rsidR="008272DB">
          <w:rPr>
            <w:noProof/>
            <w:webHidden/>
          </w:rPr>
          <w:t>18</w:t>
        </w:r>
        <w:r w:rsidR="008272DB">
          <w:rPr>
            <w:noProof/>
            <w:webHidden/>
          </w:rPr>
          <w:fldChar w:fldCharType="end"/>
        </w:r>
      </w:hyperlink>
    </w:p>
    <w:p w14:paraId="2EBAD8DD" w14:textId="0358EBE2"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6" w:history="1">
        <w:r w:rsidR="008272DB" w:rsidRPr="00573FC5">
          <w:rPr>
            <w:rStyle w:val="Hyperlink"/>
            <w:noProof/>
          </w:rPr>
          <w:t>Figure 8</w:t>
        </w:r>
        <w:r w:rsidR="008272DB" w:rsidRPr="00573FC5">
          <w:rPr>
            <w:rStyle w:val="Hyperlink"/>
            <w:rFonts w:asciiTheme="majorHAnsi" w:hAnsiTheme="majorHAnsi"/>
            <w:noProof/>
          </w:rPr>
          <w:t>: Multi-output allocation decision procedure</w:t>
        </w:r>
        <w:r w:rsidR="008272DB">
          <w:rPr>
            <w:noProof/>
            <w:webHidden/>
          </w:rPr>
          <w:tab/>
        </w:r>
        <w:r w:rsidR="008272DB">
          <w:rPr>
            <w:noProof/>
            <w:webHidden/>
          </w:rPr>
          <w:fldChar w:fldCharType="begin"/>
        </w:r>
        <w:r w:rsidR="008272DB">
          <w:rPr>
            <w:noProof/>
            <w:webHidden/>
          </w:rPr>
          <w:instrText xml:space="preserve"> PAGEREF _Toc178673566 \h </w:instrText>
        </w:r>
        <w:r w:rsidR="008272DB">
          <w:rPr>
            <w:noProof/>
            <w:webHidden/>
          </w:rPr>
        </w:r>
        <w:r w:rsidR="008272DB">
          <w:rPr>
            <w:noProof/>
            <w:webHidden/>
          </w:rPr>
          <w:fldChar w:fldCharType="separate"/>
        </w:r>
        <w:r w:rsidR="008272DB">
          <w:rPr>
            <w:noProof/>
            <w:webHidden/>
          </w:rPr>
          <w:t>19</w:t>
        </w:r>
        <w:r w:rsidR="008272DB">
          <w:rPr>
            <w:noProof/>
            <w:webHidden/>
          </w:rPr>
          <w:fldChar w:fldCharType="end"/>
        </w:r>
      </w:hyperlink>
    </w:p>
    <w:p w14:paraId="511E67F5" w14:textId="33F939BC"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7" w:history="1">
        <w:r w:rsidR="008272DB" w:rsidRPr="00573FC5">
          <w:rPr>
            <w:rStyle w:val="Hyperlink"/>
            <w:rFonts w:asciiTheme="majorHAnsi" w:hAnsiTheme="majorHAnsi"/>
            <w:noProof/>
          </w:rPr>
          <w:t>Figure 9: System boundaries for transportation.</w:t>
        </w:r>
        <w:r w:rsidR="008272DB">
          <w:rPr>
            <w:noProof/>
            <w:webHidden/>
          </w:rPr>
          <w:tab/>
        </w:r>
        <w:r w:rsidR="008272DB">
          <w:rPr>
            <w:noProof/>
            <w:webHidden/>
          </w:rPr>
          <w:fldChar w:fldCharType="begin"/>
        </w:r>
        <w:r w:rsidR="008272DB">
          <w:rPr>
            <w:noProof/>
            <w:webHidden/>
          </w:rPr>
          <w:instrText xml:space="preserve"> PAGEREF _Toc178673567 \h </w:instrText>
        </w:r>
        <w:r w:rsidR="008272DB">
          <w:rPr>
            <w:noProof/>
            <w:webHidden/>
          </w:rPr>
        </w:r>
        <w:r w:rsidR="008272DB">
          <w:rPr>
            <w:noProof/>
            <w:webHidden/>
          </w:rPr>
          <w:fldChar w:fldCharType="separate"/>
        </w:r>
        <w:r w:rsidR="008272DB">
          <w:rPr>
            <w:noProof/>
            <w:webHidden/>
          </w:rPr>
          <w:t>21</w:t>
        </w:r>
        <w:r w:rsidR="008272DB">
          <w:rPr>
            <w:noProof/>
            <w:webHidden/>
          </w:rPr>
          <w:fldChar w:fldCharType="end"/>
        </w:r>
      </w:hyperlink>
    </w:p>
    <w:p w14:paraId="1686FB65" w14:textId="267936A0"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8" w:history="1">
        <w:r w:rsidR="008272DB" w:rsidRPr="00573FC5">
          <w:rPr>
            <w:rStyle w:val="Hyperlink"/>
            <w:rFonts w:asciiTheme="majorHAnsi" w:hAnsiTheme="majorHAnsi"/>
            <w:noProof/>
          </w:rPr>
          <w:t>Figure 10: Overview of chain of custody models</w:t>
        </w:r>
        <w:r w:rsidR="008272DB">
          <w:rPr>
            <w:noProof/>
            <w:webHidden/>
          </w:rPr>
          <w:tab/>
        </w:r>
        <w:r w:rsidR="008272DB">
          <w:rPr>
            <w:noProof/>
            <w:webHidden/>
          </w:rPr>
          <w:fldChar w:fldCharType="begin"/>
        </w:r>
        <w:r w:rsidR="008272DB">
          <w:rPr>
            <w:noProof/>
            <w:webHidden/>
          </w:rPr>
          <w:instrText xml:space="preserve"> PAGEREF _Toc178673568 \h </w:instrText>
        </w:r>
        <w:r w:rsidR="008272DB">
          <w:rPr>
            <w:noProof/>
            <w:webHidden/>
          </w:rPr>
        </w:r>
        <w:r w:rsidR="008272DB">
          <w:rPr>
            <w:noProof/>
            <w:webHidden/>
          </w:rPr>
          <w:fldChar w:fldCharType="separate"/>
        </w:r>
        <w:r w:rsidR="008272DB">
          <w:rPr>
            <w:noProof/>
            <w:webHidden/>
          </w:rPr>
          <w:t>22</w:t>
        </w:r>
        <w:r w:rsidR="008272DB">
          <w:rPr>
            <w:noProof/>
            <w:webHidden/>
          </w:rPr>
          <w:fldChar w:fldCharType="end"/>
        </w:r>
      </w:hyperlink>
    </w:p>
    <w:p w14:paraId="53671FEA" w14:textId="5D617207"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69" w:history="1">
        <w:r w:rsidR="008272DB" w:rsidRPr="00573FC5">
          <w:rPr>
            <w:rStyle w:val="Hyperlink"/>
            <w:noProof/>
          </w:rPr>
          <w:t>Figure 11: System boundaries in production.</w:t>
        </w:r>
        <w:r w:rsidR="008272DB">
          <w:rPr>
            <w:noProof/>
            <w:webHidden/>
          </w:rPr>
          <w:tab/>
        </w:r>
        <w:r w:rsidR="008272DB">
          <w:rPr>
            <w:noProof/>
            <w:webHidden/>
          </w:rPr>
          <w:fldChar w:fldCharType="begin"/>
        </w:r>
        <w:r w:rsidR="008272DB">
          <w:rPr>
            <w:noProof/>
            <w:webHidden/>
          </w:rPr>
          <w:instrText xml:space="preserve"> PAGEREF _Toc178673569 \h </w:instrText>
        </w:r>
        <w:r w:rsidR="008272DB">
          <w:rPr>
            <w:noProof/>
            <w:webHidden/>
          </w:rPr>
        </w:r>
        <w:r w:rsidR="008272DB">
          <w:rPr>
            <w:noProof/>
            <w:webHidden/>
          </w:rPr>
          <w:fldChar w:fldCharType="separate"/>
        </w:r>
        <w:r w:rsidR="008272DB">
          <w:rPr>
            <w:noProof/>
            <w:webHidden/>
          </w:rPr>
          <w:t>35</w:t>
        </w:r>
        <w:r w:rsidR="008272DB">
          <w:rPr>
            <w:noProof/>
            <w:webHidden/>
          </w:rPr>
          <w:fldChar w:fldCharType="end"/>
        </w:r>
      </w:hyperlink>
    </w:p>
    <w:p w14:paraId="36404620" w14:textId="001D5319"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0" w:history="1">
        <w:r w:rsidR="008272DB" w:rsidRPr="00573FC5">
          <w:rPr>
            <w:rStyle w:val="Hyperlink"/>
            <w:noProof/>
          </w:rPr>
          <w:t>Figure 12: Definition of PCF</w:t>
        </w:r>
        <w:r w:rsidR="008272DB" w:rsidRPr="00573FC5">
          <w:rPr>
            <w:rStyle w:val="Hyperlink"/>
            <w:noProof/>
            <w:vertAlign w:val="subscript"/>
          </w:rPr>
          <w:t>as</w:t>
        </w:r>
        <w:r w:rsidR="008272DB">
          <w:rPr>
            <w:noProof/>
            <w:webHidden/>
          </w:rPr>
          <w:tab/>
        </w:r>
        <w:r w:rsidR="008272DB">
          <w:rPr>
            <w:noProof/>
            <w:webHidden/>
          </w:rPr>
          <w:fldChar w:fldCharType="begin"/>
        </w:r>
        <w:r w:rsidR="008272DB">
          <w:rPr>
            <w:noProof/>
            <w:webHidden/>
          </w:rPr>
          <w:instrText xml:space="preserve"> PAGEREF _Toc178673570 \h </w:instrText>
        </w:r>
        <w:r w:rsidR="008272DB">
          <w:rPr>
            <w:noProof/>
            <w:webHidden/>
          </w:rPr>
        </w:r>
        <w:r w:rsidR="008272DB">
          <w:rPr>
            <w:noProof/>
            <w:webHidden/>
          </w:rPr>
          <w:fldChar w:fldCharType="separate"/>
        </w:r>
        <w:r w:rsidR="008272DB">
          <w:rPr>
            <w:noProof/>
            <w:webHidden/>
          </w:rPr>
          <w:t>36</w:t>
        </w:r>
        <w:r w:rsidR="008272DB">
          <w:rPr>
            <w:noProof/>
            <w:webHidden/>
          </w:rPr>
          <w:fldChar w:fldCharType="end"/>
        </w:r>
      </w:hyperlink>
    </w:p>
    <w:p w14:paraId="5ACF059A" w14:textId="65F51DC3"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1" w:history="1">
        <w:r w:rsidR="008272DB" w:rsidRPr="00573FC5">
          <w:rPr>
            <w:rStyle w:val="Hyperlink"/>
            <w:noProof/>
          </w:rPr>
          <w:t>Figure 13: PCF cascade of primary data for an exemplary supply chain</w:t>
        </w:r>
        <w:r w:rsidR="008272DB">
          <w:rPr>
            <w:noProof/>
            <w:webHidden/>
          </w:rPr>
          <w:tab/>
        </w:r>
        <w:r w:rsidR="008272DB">
          <w:rPr>
            <w:noProof/>
            <w:webHidden/>
          </w:rPr>
          <w:fldChar w:fldCharType="begin"/>
        </w:r>
        <w:r w:rsidR="008272DB">
          <w:rPr>
            <w:noProof/>
            <w:webHidden/>
          </w:rPr>
          <w:instrText xml:space="preserve"> PAGEREF _Toc178673571 \h </w:instrText>
        </w:r>
        <w:r w:rsidR="008272DB">
          <w:rPr>
            <w:noProof/>
            <w:webHidden/>
          </w:rPr>
        </w:r>
        <w:r w:rsidR="008272DB">
          <w:rPr>
            <w:noProof/>
            <w:webHidden/>
          </w:rPr>
          <w:fldChar w:fldCharType="separate"/>
        </w:r>
        <w:r w:rsidR="008272DB">
          <w:rPr>
            <w:noProof/>
            <w:webHidden/>
          </w:rPr>
          <w:t>37</w:t>
        </w:r>
        <w:r w:rsidR="008272DB">
          <w:rPr>
            <w:noProof/>
            <w:webHidden/>
          </w:rPr>
          <w:fldChar w:fldCharType="end"/>
        </w:r>
      </w:hyperlink>
    </w:p>
    <w:p w14:paraId="5316C5D4" w14:textId="78BC3819"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2" w:history="1">
        <w:r w:rsidR="008272DB" w:rsidRPr="00573FC5">
          <w:rPr>
            <w:rStyle w:val="Hyperlink"/>
            <w:noProof/>
          </w:rPr>
          <w:t>Figure 14:Calculation of an aggregated DQR</w:t>
        </w:r>
        <w:r w:rsidR="008272DB">
          <w:rPr>
            <w:noProof/>
            <w:webHidden/>
          </w:rPr>
          <w:tab/>
        </w:r>
        <w:r w:rsidR="008272DB">
          <w:rPr>
            <w:noProof/>
            <w:webHidden/>
          </w:rPr>
          <w:fldChar w:fldCharType="begin"/>
        </w:r>
        <w:r w:rsidR="008272DB">
          <w:rPr>
            <w:noProof/>
            <w:webHidden/>
          </w:rPr>
          <w:instrText xml:space="preserve"> PAGEREF _Toc178673572 \h </w:instrText>
        </w:r>
        <w:r w:rsidR="008272DB">
          <w:rPr>
            <w:noProof/>
            <w:webHidden/>
          </w:rPr>
        </w:r>
        <w:r w:rsidR="008272DB">
          <w:rPr>
            <w:noProof/>
            <w:webHidden/>
          </w:rPr>
          <w:fldChar w:fldCharType="separate"/>
        </w:r>
        <w:r w:rsidR="008272DB">
          <w:rPr>
            <w:noProof/>
            <w:webHidden/>
          </w:rPr>
          <w:t>40</w:t>
        </w:r>
        <w:r w:rsidR="008272DB">
          <w:rPr>
            <w:noProof/>
            <w:webHidden/>
          </w:rPr>
          <w:fldChar w:fldCharType="end"/>
        </w:r>
      </w:hyperlink>
    </w:p>
    <w:p w14:paraId="2BB02A89" w14:textId="2EB62A51"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3" w:history="1">
        <w:r w:rsidR="008272DB" w:rsidRPr="00573FC5">
          <w:rPr>
            <w:rStyle w:val="Hyperlink"/>
            <w:rFonts w:asciiTheme="majorHAnsi" w:hAnsiTheme="majorHAnsi"/>
            <w:noProof/>
          </w:rPr>
          <w:t>Figure 15: Definition of Scopes.</w:t>
        </w:r>
        <w:r w:rsidR="008272DB">
          <w:rPr>
            <w:noProof/>
            <w:webHidden/>
          </w:rPr>
          <w:tab/>
        </w:r>
        <w:r w:rsidR="008272DB">
          <w:rPr>
            <w:noProof/>
            <w:webHidden/>
          </w:rPr>
          <w:fldChar w:fldCharType="begin"/>
        </w:r>
        <w:r w:rsidR="008272DB">
          <w:rPr>
            <w:noProof/>
            <w:webHidden/>
          </w:rPr>
          <w:instrText xml:space="preserve"> PAGEREF _Toc178673573 \h </w:instrText>
        </w:r>
        <w:r w:rsidR="008272DB">
          <w:rPr>
            <w:noProof/>
            <w:webHidden/>
          </w:rPr>
        </w:r>
        <w:r w:rsidR="008272DB">
          <w:rPr>
            <w:noProof/>
            <w:webHidden/>
          </w:rPr>
          <w:fldChar w:fldCharType="separate"/>
        </w:r>
        <w:r w:rsidR="008272DB">
          <w:rPr>
            <w:noProof/>
            <w:webHidden/>
          </w:rPr>
          <w:t>40</w:t>
        </w:r>
        <w:r w:rsidR="008272DB">
          <w:rPr>
            <w:noProof/>
            <w:webHidden/>
          </w:rPr>
          <w:fldChar w:fldCharType="end"/>
        </w:r>
      </w:hyperlink>
    </w:p>
    <w:p w14:paraId="205C9F6A" w14:textId="31896D44"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4" w:history="1">
        <w:r w:rsidR="008272DB" w:rsidRPr="00573FC5">
          <w:rPr>
            <w:rStyle w:val="Hyperlink"/>
            <w:rFonts w:asciiTheme="majorHAnsi" w:hAnsiTheme="majorHAnsi"/>
            <w:noProof/>
          </w:rPr>
          <w:t>Figure 16: Distribution center on supplier side.</w:t>
        </w:r>
        <w:r w:rsidR="008272DB">
          <w:rPr>
            <w:noProof/>
            <w:webHidden/>
          </w:rPr>
          <w:tab/>
        </w:r>
        <w:r w:rsidR="008272DB">
          <w:rPr>
            <w:noProof/>
            <w:webHidden/>
          </w:rPr>
          <w:fldChar w:fldCharType="begin"/>
        </w:r>
        <w:r w:rsidR="008272DB">
          <w:rPr>
            <w:noProof/>
            <w:webHidden/>
          </w:rPr>
          <w:instrText xml:space="preserve"> PAGEREF _Toc178673574 \h </w:instrText>
        </w:r>
        <w:r w:rsidR="008272DB">
          <w:rPr>
            <w:noProof/>
            <w:webHidden/>
          </w:rPr>
        </w:r>
        <w:r w:rsidR="008272DB">
          <w:rPr>
            <w:noProof/>
            <w:webHidden/>
          </w:rPr>
          <w:fldChar w:fldCharType="separate"/>
        </w:r>
        <w:r w:rsidR="008272DB">
          <w:rPr>
            <w:noProof/>
            <w:webHidden/>
          </w:rPr>
          <w:t>42</w:t>
        </w:r>
        <w:r w:rsidR="008272DB">
          <w:rPr>
            <w:noProof/>
            <w:webHidden/>
          </w:rPr>
          <w:fldChar w:fldCharType="end"/>
        </w:r>
      </w:hyperlink>
    </w:p>
    <w:p w14:paraId="1C5C7097" w14:textId="199E76F6"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5" w:history="1">
        <w:r w:rsidR="008272DB" w:rsidRPr="00573FC5">
          <w:rPr>
            <w:rStyle w:val="Hyperlink"/>
            <w:rFonts w:asciiTheme="majorHAnsi" w:hAnsiTheme="majorHAnsi"/>
            <w:noProof/>
          </w:rPr>
          <w:t>Figure 17: Distribution center on customer side.</w:t>
        </w:r>
        <w:r w:rsidR="008272DB">
          <w:rPr>
            <w:noProof/>
            <w:webHidden/>
          </w:rPr>
          <w:tab/>
        </w:r>
        <w:r w:rsidR="008272DB">
          <w:rPr>
            <w:noProof/>
            <w:webHidden/>
          </w:rPr>
          <w:fldChar w:fldCharType="begin"/>
        </w:r>
        <w:r w:rsidR="008272DB">
          <w:rPr>
            <w:noProof/>
            <w:webHidden/>
          </w:rPr>
          <w:instrText xml:space="preserve"> PAGEREF _Toc178673575 \h </w:instrText>
        </w:r>
        <w:r w:rsidR="008272DB">
          <w:rPr>
            <w:noProof/>
            <w:webHidden/>
          </w:rPr>
        </w:r>
        <w:r w:rsidR="008272DB">
          <w:rPr>
            <w:noProof/>
            <w:webHidden/>
          </w:rPr>
          <w:fldChar w:fldCharType="separate"/>
        </w:r>
        <w:r w:rsidR="008272DB">
          <w:rPr>
            <w:noProof/>
            <w:webHidden/>
          </w:rPr>
          <w:t>42</w:t>
        </w:r>
        <w:r w:rsidR="008272DB">
          <w:rPr>
            <w:noProof/>
            <w:webHidden/>
          </w:rPr>
          <w:fldChar w:fldCharType="end"/>
        </w:r>
      </w:hyperlink>
    </w:p>
    <w:p w14:paraId="20A0D623" w14:textId="2158047C" w:rsidR="0034409B" w:rsidRPr="0034409B" w:rsidRDefault="0034409B" w:rsidP="0034409B">
      <w:r>
        <w:fldChar w:fldCharType="end"/>
      </w:r>
    </w:p>
    <w:p w14:paraId="46C42C0E" w14:textId="64852C73" w:rsidR="00C91C48" w:rsidRDefault="00C91C48" w:rsidP="00C91C48">
      <w:pPr>
        <w:pStyle w:val="TOCHeading"/>
        <w:pageBreakBefore w:val="0"/>
        <w:rPr>
          <w:rFonts w:cs="Calibri"/>
        </w:rPr>
      </w:pPr>
      <w:r w:rsidRPr="00464690">
        <w:rPr>
          <w:rFonts w:cs="Calibri"/>
        </w:rPr>
        <w:t>Table of tables</w:t>
      </w:r>
    </w:p>
    <w:p w14:paraId="551035E2" w14:textId="385D90AF" w:rsidR="008272DB" w:rsidRDefault="00EB1550">
      <w:pPr>
        <w:pStyle w:val="TableofFigures"/>
        <w:tabs>
          <w:tab w:val="right" w:leader="dot" w:pos="9062"/>
        </w:tabs>
        <w:rPr>
          <w:rFonts w:eastAsiaTheme="minorEastAsia" w:hint="eastAsia"/>
          <w:noProof/>
          <w:color w:val="auto"/>
          <w:kern w:val="2"/>
          <w:sz w:val="22"/>
          <w:lang w:val="de-DE" w:eastAsia="de-DE"/>
          <w14:ligatures w14:val="standardContextual"/>
        </w:rPr>
      </w:pPr>
      <w:r>
        <w:fldChar w:fldCharType="begin"/>
      </w:r>
      <w:r>
        <w:instrText xml:space="preserve"> TOC \h \z \c "Table" </w:instrText>
      </w:r>
      <w:r>
        <w:fldChar w:fldCharType="separate"/>
      </w:r>
      <w:hyperlink w:anchor="_Toc178673576" w:history="1">
        <w:r w:rsidR="008272DB" w:rsidRPr="000071D2">
          <w:rPr>
            <w:rStyle w:val="Hyperlink"/>
            <w:noProof/>
          </w:rPr>
          <w:t>Table 1: General structure of the level concept</w:t>
        </w:r>
        <w:r w:rsidR="008272DB">
          <w:rPr>
            <w:noProof/>
            <w:webHidden/>
          </w:rPr>
          <w:tab/>
        </w:r>
        <w:r w:rsidR="008272DB">
          <w:rPr>
            <w:noProof/>
            <w:webHidden/>
          </w:rPr>
          <w:fldChar w:fldCharType="begin"/>
        </w:r>
        <w:r w:rsidR="008272DB">
          <w:rPr>
            <w:noProof/>
            <w:webHidden/>
          </w:rPr>
          <w:instrText xml:space="preserve"> PAGEREF _Toc178673576 \h </w:instrText>
        </w:r>
        <w:r w:rsidR="008272DB">
          <w:rPr>
            <w:noProof/>
            <w:webHidden/>
          </w:rPr>
        </w:r>
        <w:r w:rsidR="008272DB">
          <w:rPr>
            <w:noProof/>
            <w:webHidden/>
          </w:rPr>
          <w:fldChar w:fldCharType="separate"/>
        </w:r>
        <w:r w:rsidR="008272DB">
          <w:rPr>
            <w:noProof/>
            <w:webHidden/>
          </w:rPr>
          <w:t>11</w:t>
        </w:r>
        <w:r w:rsidR="008272DB">
          <w:rPr>
            <w:noProof/>
            <w:webHidden/>
          </w:rPr>
          <w:fldChar w:fldCharType="end"/>
        </w:r>
      </w:hyperlink>
    </w:p>
    <w:p w14:paraId="69F00F6B" w14:textId="14B50952"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7" w:history="1">
        <w:r w:rsidR="008272DB" w:rsidRPr="000071D2">
          <w:rPr>
            <w:rStyle w:val="Hyperlink"/>
            <w:noProof/>
          </w:rPr>
          <w:t>Table 2</w:t>
        </w:r>
        <w:r w:rsidR="008272DB" w:rsidRPr="000071D2">
          <w:rPr>
            <w:rStyle w:val="Hyperlink"/>
            <w:rFonts w:asciiTheme="majorHAnsi" w:hAnsiTheme="majorHAnsi"/>
            <w:noProof/>
          </w:rPr>
          <w:t>: Possible variances of primary and secondary data.</w:t>
        </w:r>
        <w:r w:rsidR="008272DB">
          <w:rPr>
            <w:noProof/>
            <w:webHidden/>
          </w:rPr>
          <w:tab/>
        </w:r>
        <w:r w:rsidR="008272DB">
          <w:rPr>
            <w:noProof/>
            <w:webHidden/>
          </w:rPr>
          <w:fldChar w:fldCharType="begin"/>
        </w:r>
        <w:r w:rsidR="008272DB">
          <w:rPr>
            <w:noProof/>
            <w:webHidden/>
          </w:rPr>
          <w:instrText xml:space="preserve"> PAGEREF _Toc178673577 \h </w:instrText>
        </w:r>
        <w:r w:rsidR="008272DB">
          <w:rPr>
            <w:noProof/>
            <w:webHidden/>
          </w:rPr>
        </w:r>
        <w:r w:rsidR="008272DB">
          <w:rPr>
            <w:noProof/>
            <w:webHidden/>
          </w:rPr>
          <w:fldChar w:fldCharType="separate"/>
        </w:r>
        <w:r w:rsidR="008272DB">
          <w:rPr>
            <w:noProof/>
            <w:webHidden/>
          </w:rPr>
          <w:t>14</w:t>
        </w:r>
        <w:r w:rsidR="008272DB">
          <w:rPr>
            <w:noProof/>
            <w:webHidden/>
          </w:rPr>
          <w:fldChar w:fldCharType="end"/>
        </w:r>
      </w:hyperlink>
    </w:p>
    <w:p w14:paraId="398C606D" w14:textId="142D5054"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8" w:history="1">
        <w:r w:rsidR="008272DB" w:rsidRPr="000071D2">
          <w:rPr>
            <w:rStyle w:val="Hyperlink"/>
            <w:rFonts w:asciiTheme="majorHAnsi" w:hAnsiTheme="majorHAnsi"/>
            <w:noProof/>
          </w:rPr>
          <w:t>Table 3: Explanation chain of custody models</w:t>
        </w:r>
        <w:r w:rsidR="008272DB">
          <w:rPr>
            <w:noProof/>
            <w:webHidden/>
          </w:rPr>
          <w:tab/>
        </w:r>
        <w:r w:rsidR="008272DB">
          <w:rPr>
            <w:noProof/>
            <w:webHidden/>
          </w:rPr>
          <w:fldChar w:fldCharType="begin"/>
        </w:r>
        <w:r w:rsidR="008272DB">
          <w:rPr>
            <w:noProof/>
            <w:webHidden/>
          </w:rPr>
          <w:instrText xml:space="preserve"> PAGEREF _Toc178673578 \h </w:instrText>
        </w:r>
        <w:r w:rsidR="008272DB">
          <w:rPr>
            <w:noProof/>
            <w:webHidden/>
          </w:rPr>
        </w:r>
        <w:r w:rsidR="008272DB">
          <w:rPr>
            <w:noProof/>
            <w:webHidden/>
          </w:rPr>
          <w:fldChar w:fldCharType="separate"/>
        </w:r>
        <w:r w:rsidR="008272DB">
          <w:rPr>
            <w:noProof/>
            <w:webHidden/>
          </w:rPr>
          <w:t>22</w:t>
        </w:r>
        <w:r w:rsidR="008272DB">
          <w:rPr>
            <w:noProof/>
            <w:webHidden/>
          </w:rPr>
          <w:fldChar w:fldCharType="end"/>
        </w:r>
      </w:hyperlink>
    </w:p>
    <w:p w14:paraId="595C064B" w14:textId="571E5980"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79" w:history="1">
        <w:r w:rsidR="008272DB" w:rsidRPr="000071D2">
          <w:rPr>
            <w:rStyle w:val="Hyperlink"/>
            <w:rFonts w:asciiTheme="majorHAnsi" w:hAnsiTheme="majorHAnsi"/>
            <w:noProof/>
          </w:rPr>
          <w:t xml:space="preserve">Table 4: Primary data share of the example as in </w:t>
        </w:r>
        <w:r w:rsidR="008272DB" w:rsidRPr="000071D2">
          <w:rPr>
            <w:rStyle w:val="Hyperlink"/>
            <w:noProof/>
          </w:rPr>
          <w:t>Figure 12</w:t>
        </w:r>
        <w:r w:rsidR="008272DB">
          <w:rPr>
            <w:noProof/>
            <w:webHidden/>
          </w:rPr>
          <w:tab/>
        </w:r>
        <w:r w:rsidR="008272DB">
          <w:rPr>
            <w:noProof/>
            <w:webHidden/>
          </w:rPr>
          <w:fldChar w:fldCharType="begin"/>
        </w:r>
        <w:r w:rsidR="008272DB">
          <w:rPr>
            <w:noProof/>
            <w:webHidden/>
          </w:rPr>
          <w:instrText xml:space="preserve"> PAGEREF _Toc178673579 \h </w:instrText>
        </w:r>
        <w:r w:rsidR="008272DB">
          <w:rPr>
            <w:noProof/>
            <w:webHidden/>
          </w:rPr>
        </w:r>
        <w:r w:rsidR="008272DB">
          <w:rPr>
            <w:noProof/>
            <w:webHidden/>
          </w:rPr>
          <w:fldChar w:fldCharType="separate"/>
        </w:r>
        <w:r w:rsidR="008272DB">
          <w:rPr>
            <w:noProof/>
            <w:webHidden/>
          </w:rPr>
          <w:t>37</w:t>
        </w:r>
        <w:r w:rsidR="008272DB">
          <w:rPr>
            <w:noProof/>
            <w:webHidden/>
          </w:rPr>
          <w:fldChar w:fldCharType="end"/>
        </w:r>
      </w:hyperlink>
    </w:p>
    <w:p w14:paraId="3A6A5D23" w14:textId="66727B12"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80" w:history="1">
        <w:r w:rsidR="008272DB" w:rsidRPr="000071D2">
          <w:rPr>
            <w:rStyle w:val="Hyperlink"/>
            <w:rFonts w:asciiTheme="majorHAnsi" w:hAnsiTheme="majorHAnsi"/>
            <w:noProof/>
          </w:rPr>
          <w:t>Table 5: Sample scoring criteria for performing a qualitative data quality assessment.</w:t>
        </w:r>
        <w:r w:rsidR="008272DB">
          <w:rPr>
            <w:noProof/>
            <w:webHidden/>
          </w:rPr>
          <w:tab/>
        </w:r>
        <w:r w:rsidR="008272DB">
          <w:rPr>
            <w:noProof/>
            <w:webHidden/>
          </w:rPr>
          <w:fldChar w:fldCharType="begin"/>
        </w:r>
        <w:r w:rsidR="008272DB">
          <w:rPr>
            <w:noProof/>
            <w:webHidden/>
          </w:rPr>
          <w:instrText xml:space="preserve"> PAGEREF _Toc178673580 \h </w:instrText>
        </w:r>
        <w:r w:rsidR="008272DB">
          <w:rPr>
            <w:noProof/>
            <w:webHidden/>
          </w:rPr>
        </w:r>
        <w:r w:rsidR="008272DB">
          <w:rPr>
            <w:noProof/>
            <w:webHidden/>
          </w:rPr>
          <w:fldChar w:fldCharType="separate"/>
        </w:r>
        <w:r w:rsidR="008272DB">
          <w:rPr>
            <w:noProof/>
            <w:webHidden/>
          </w:rPr>
          <w:t>38</w:t>
        </w:r>
        <w:r w:rsidR="008272DB">
          <w:rPr>
            <w:noProof/>
            <w:webHidden/>
          </w:rPr>
          <w:fldChar w:fldCharType="end"/>
        </w:r>
      </w:hyperlink>
    </w:p>
    <w:p w14:paraId="1D83E527" w14:textId="4E7F593C" w:rsidR="008272DB" w:rsidRDefault="009F04F3">
      <w:pPr>
        <w:pStyle w:val="TableofFigures"/>
        <w:tabs>
          <w:tab w:val="right" w:leader="dot" w:pos="9062"/>
        </w:tabs>
        <w:rPr>
          <w:rFonts w:eastAsiaTheme="minorEastAsia" w:hint="eastAsia"/>
          <w:noProof/>
          <w:color w:val="auto"/>
          <w:kern w:val="2"/>
          <w:sz w:val="22"/>
          <w:lang w:val="de-DE" w:eastAsia="de-DE"/>
          <w14:ligatures w14:val="standardContextual"/>
        </w:rPr>
      </w:pPr>
      <w:hyperlink w:anchor="_Toc178673581" w:history="1">
        <w:r w:rsidR="008272DB" w:rsidRPr="000071D2">
          <w:rPr>
            <w:rStyle w:val="Hyperlink"/>
            <w:rFonts w:asciiTheme="majorHAnsi" w:hAnsiTheme="majorHAnsi"/>
            <w:noProof/>
          </w:rPr>
          <w:t>Table 6: Transportation between supplier and customer.</w:t>
        </w:r>
        <w:r w:rsidR="008272DB">
          <w:rPr>
            <w:noProof/>
            <w:webHidden/>
          </w:rPr>
          <w:tab/>
        </w:r>
        <w:r w:rsidR="008272DB">
          <w:rPr>
            <w:noProof/>
            <w:webHidden/>
          </w:rPr>
          <w:fldChar w:fldCharType="begin"/>
        </w:r>
        <w:r w:rsidR="008272DB">
          <w:rPr>
            <w:noProof/>
            <w:webHidden/>
          </w:rPr>
          <w:instrText xml:space="preserve"> PAGEREF _Toc178673581 \h </w:instrText>
        </w:r>
        <w:r w:rsidR="008272DB">
          <w:rPr>
            <w:noProof/>
            <w:webHidden/>
          </w:rPr>
        </w:r>
        <w:r w:rsidR="008272DB">
          <w:rPr>
            <w:noProof/>
            <w:webHidden/>
          </w:rPr>
          <w:fldChar w:fldCharType="separate"/>
        </w:r>
        <w:r w:rsidR="008272DB">
          <w:rPr>
            <w:noProof/>
            <w:webHidden/>
          </w:rPr>
          <w:t>41</w:t>
        </w:r>
        <w:r w:rsidR="008272DB">
          <w:rPr>
            <w:noProof/>
            <w:webHidden/>
          </w:rPr>
          <w:fldChar w:fldCharType="end"/>
        </w:r>
      </w:hyperlink>
    </w:p>
    <w:p w14:paraId="4C4D2540" w14:textId="67FAD00C" w:rsidR="00EB1550" w:rsidRPr="00EB1550" w:rsidRDefault="00EB1550" w:rsidP="00EB1550">
      <w:r>
        <w:fldChar w:fldCharType="end"/>
      </w:r>
    </w:p>
    <w:p w14:paraId="7E4929A3" w14:textId="5259B18B" w:rsidR="00E85A78" w:rsidRPr="00464690" w:rsidRDefault="00E85A78" w:rsidP="005600AE">
      <w:pPr>
        <w:pStyle w:val="Annex"/>
        <w:rPr>
          <w:rFonts w:cs="Calibri"/>
        </w:rPr>
      </w:pPr>
      <w:bookmarkStart w:id="1" w:name="_Toc178672654"/>
      <w:bookmarkStart w:id="2" w:name="_Toc116295195"/>
      <w:bookmarkStart w:id="3" w:name="_Toc115427929"/>
      <w:bookmarkStart w:id="4" w:name="_Toc114182992"/>
      <w:bookmarkStart w:id="5" w:name="_Toc131590895"/>
      <w:bookmarkStart w:id="6" w:name="_Toc1711653058"/>
      <w:bookmarkStart w:id="7" w:name="_Toc64007567"/>
      <w:bookmarkStart w:id="8" w:name="_Toc167899931"/>
      <w:r w:rsidRPr="00464690">
        <w:rPr>
          <w:rFonts w:cs="Calibri"/>
        </w:rPr>
        <w:lastRenderedPageBreak/>
        <w:t>Preamble</w:t>
      </w:r>
      <w:bookmarkEnd w:id="1"/>
    </w:p>
    <w:p w14:paraId="07E34A9B" w14:textId="6F2EAF64" w:rsidR="00E85A78" w:rsidRDefault="00E85A78" w:rsidP="00E85A78">
      <w:pPr>
        <w:pStyle w:val="Heading1"/>
      </w:pPr>
      <w:bookmarkStart w:id="9" w:name="_Toc178672655"/>
      <w:r w:rsidRPr="00E85A78">
        <w:lastRenderedPageBreak/>
        <w:t>Statement of technical rational and justification</w:t>
      </w:r>
      <w:bookmarkEnd w:id="9"/>
    </w:p>
    <w:p w14:paraId="59BA2493" w14:textId="0E98A0AB" w:rsidR="00E85A78" w:rsidRDefault="00E85A78" w:rsidP="00E85A78">
      <w:pPr>
        <w:pStyle w:val="Heading2"/>
      </w:pPr>
      <w:bookmarkStart w:id="10" w:name="_Toc178672656"/>
      <w:r w:rsidRPr="00E85A78">
        <w:t>Introduction</w:t>
      </w:r>
      <w:bookmarkEnd w:id="10"/>
    </w:p>
    <w:p w14:paraId="09389255" w14:textId="78C6F63E" w:rsidR="00E85A78" w:rsidRDefault="00E85A78">
      <w:pPr>
        <w:pStyle w:val="Heading2"/>
      </w:pPr>
      <w:bookmarkStart w:id="11" w:name="_Toc178672657"/>
      <w:r w:rsidRPr="00E85A78">
        <w:t>Methodology background</w:t>
      </w:r>
      <w:bookmarkEnd w:id="11"/>
    </w:p>
    <w:p w14:paraId="7A1FCD6C" w14:textId="5C66AC69" w:rsidR="00E85A78" w:rsidRDefault="00E85A78">
      <w:pPr>
        <w:pStyle w:val="Heading2"/>
      </w:pPr>
      <w:bookmarkStart w:id="12" w:name="_Toc178672658"/>
      <w:r w:rsidRPr="00E85A78">
        <w:t>Technical rationale and justification</w:t>
      </w:r>
      <w:bookmarkEnd w:id="12"/>
    </w:p>
    <w:p w14:paraId="26A8A79B" w14:textId="40957D93" w:rsidR="00162099" w:rsidRPr="006D7C62" w:rsidRDefault="00E85A78" w:rsidP="00603D04">
      <w:pPr>
        <w:pStyle w:val="Heading1"/>
        <w:rPr>
          <w:rFonts w:asciiTheme="majorHAnsi" w:hAnsiTheme="majorHAnsi" w:hint="eastAsia"/>
        </w:rPr>
      </w:pPr>
      <w:bookmarkStart w:id="13" w:name="_Toc178672659"/>
      <w:bookmarkEnd w:id="2"/>
      <w:bookmarkEnd w:id="3"/>
      <w:bookmarkEnd w:id="4"/>
      <w:bookmarkEnd w:id="5"/>
      <w:bookmarkEnd w:id="6"/>
      <w:bookmarkEnd w:id="7"/>
      <w:bookmarkEnd w:id="8"/>
      <w:r>
        <w:rPr>
          <w:rFonts w:asciiTheme="majorHAnsi" w:hAnsiTheme="majorHAnsi"/>
        </w:rPr>
        <w:lastRenderedPageBreak/>
        <w:t>Mutual Resolution</w:t>
      </w:r>
      <w:bookmarkEnd w:id="13"/>
    </w:p>
    <w:p w14:paraId="578EAC2E" w14:textId="710988C3" w:rsidR="00E85A78" w:rsidRDefault="00E85A78" w:rsidP="00E85A78">
      <w:pPr>
        <w:pStyle w:val="Heading2"/>
      </w:pPr>
      <w:bookmarkStart w:id="14" w:name="_Toc178672660"/>
      <w:bookmarkStart w:id="15" w:name="_Toc115337412"/>
      <w:bookmarkStart w:id="16" w:name="_Toc116295196"/>
      <w:bookmarkStart w:id="17" w:name="_Toc115427930"/>
      <w:bookmarkStart w:id="18" w:name="_Toc131590896"/>
      <w:bookmarkStart w:id="19" w:name="_Toc547538207"/>
      <w:bookmarkStart w:id="20" w:name="_Toc689868432"/>
      <w:bookmarkStart w:id="21" w:name="_Toc167899932"/>
      <w:r>
        <w:t>Introduction</w:t>
      </w:r>
      <w:bookmarkEnd w:id="14"/>
    </w:p>
    <w:p w14:paraId="61DB7CFA" w14:textId="4B75F84F" w:rsidR="005600AE" w:rsidRPr="005600AE" w:rsidRDefault="005600AE" w:rsidP="005600AE">
      <w:pPr>
        <w:rPr>
          <w:rFonts w:asciiTheme="majorHAnsi" w:hAnsiTheme="majorHAnsi"/>
        </w:rPr>
      </w:pPr>
      <w:r w:rsidRPr="006D7C62">
        <w:rPr>
          <w:rFonts w:asciiTheme="majorHAnsi" w:hAnsiTheme="majorHAnsi"/>
        </w:rPr>
        <w:t xml:space="preserve">The </w:t>
      </w:r>
      <w:r>
        <w:rPr>
          <w:rFonts w:asciiTheme="majorHAnsi" w:hAnsiTheme="majorHAnsi"/>
        </w:rPr>
        <w:t>mutual resolution is</w:t>
      </w:r>
      <w:r w:rsidRPr="006D7C62">
        <w:rPr>
          <w:rFonts w:asciiTheme="majorHAnsi" w:hAnsiTheme="majorHAnsi"/>
        </w:rPr>
        <w:t xml:space="preserve"> based on the attributional LCA approach. This approach seeks to determine the environmental impacts associated with a </w:t>
      </w:r>
      <w:r>
        <w:rPr>
          <w:rFonts w:asciiTheme="majorHAnsi" w:hAnsiTheme="majorHAnsi"/>
        </w:rPr>
        <w:t>vehicle</w:t>
      </w:r>
      <w:r w:rsidRPr="006D7C62">
        <w:rPr>
          <w:rFonts w:asciiTheme="majorHAnsi" w:hAnsiTheme="majorHAnsi"/>
        </w:rPr>
        <w:t>’s life cycle. The global warming potential (GWP), ex</w:t>
      </w:r>
      <w:r w:rsidRPr="006D7C62">
        <w:rPr>
          <w:rFonts w:asciiTheme="majorHAnsi" w:hAnsiTheme="majorHAnsi"/>
        </w:rPr>
        <w:softHyphen/>
        <w:t>pressed in CO</w:t>
      </w:r>
      <w:r w:rsidRPr="006D7C62">
        <w:rPr>
          <w:rFonts w:asciiTheme="majorHAnsi" w:hAnsiTheme="majorHAnsi"/>
          <w:vertAlign w:val="subscript"/>
        </w:rPr>
        <w:t>2</w:t>
      </w:r>
      <w:r w:rsidRPr="006D7C62">
        <w:rPr>
          <w:rFonts w:asciiTheme="majorHAnsi" w:hAnsiTheme="majorHAnsi"/>
        </w:rPr>
        <w:t xml:space="preserve"> equivalents, is attributed to a specific unit of a product by adding up the CO</w:t>
      </w:r>
      <w:r w:rsidRPr="006D7C62">
        <w:rPr>
          <w:rFonts w:asciiTheme="majorHAnsi" w:hAnsiTheme="majorHAnsi"/>
          <w:vertAlign w:val="subscript"/>
        </w:rPr>
        <w:t>2</w:t>
      </w:r>
      <w:r w:rsidRPr="006D7C62">
        <w:rPr>
          <w:rFonts w:asciiTheme="majorHAnsi" w:hAnsiTheme="majorHAnsi"/>
        </w:rPr>
        <w:t xml:space="preserve"> equivalents of all attributable processes along its life cycle.</w:t>
      </w:r>
    </w:p>
    <w:p w14:paraId="16E47CCF" w14:textId="77777777" w:rsidR="00E85A78" w:rsidRDefault="00E85A78" w:rsidP="00E85A78">
      <w:pPr>
        <w:pStyle w:val="Heading3"/>
      </w:pPr>
      <w:bookmarkStart w:id="22" w:name="_Toc178672661"/>
      <w:r>
        <w:t>Terminology</w:t>
      </w:r>
      <w:bookmarkEnd w:id="22"/>
    </w:p>
    <w:p w14:paraId="0D8AB32C" w14:textId="77777777" w:rsidR="00E85A78" w:rsidRPr="006D7C62" w:rsidRDefault="00E85A78" w:rsidP="00E85A78">
      <w:pPr>
        <w:rPr>
          <w:rFonts w:asciiTheme="majorHAnsi" w:hAnsiTheme="majorHAnsi"/>
        </w:rPr>
      </w:pPr>
      <w:r w:rsidRPr="006D7C62">
        <w:rPr>
          <w:rFonts w:asciiTheme="majorHAnsi" w:hAnsiTheme="majorHAnsi"/>
        </w:rPr>
        <w:t>Clarification on ISO expressions used in the rulebook</w:t>
      </w:r>
      <w:r>
        <w:rPr>
          <w:rFonts w:asciiTheme="majorHAnsi" w:hAnsiTheme="majorHAnsi"/>
        </w:rPr>
        <w:t>:</w:t>
      </w:r>
    </w:p>
    <w:p w14:paraId="1D086678" w14:textId="77777777" w:rsidR="00E85A78" w:rsidRPr="006D7C62" w:rsidRDefault="00E85A78" w:rsidP="00E85A78">
      <w:pPr>
        <w:rPr>
          <w:rFonts w:asciiTheme="majorHAnsi" w:hAnsiTheme="majorHAnsi"/>
        </w:rPr>
      </w:pPr>
      <w:r w:rsidRPr="006D7C62">
        <w:rPr>
          <w:rFonts w:asciiTheme="majorHAnsi" w:hAnsiTheme="majorHAnsi"/>
        </w:rPr>
        <w:t>The following definitions apply in understanding how to implement an ISO International Standard and other normative ISO deliverables</w:t>
      </w:r>
      <w:r>
        <w:rPr>
          <w:rFonts w:asciiTheme="majorHAnsi" w:hAnsiTheme="majorHAnsi"/>
        </w:rPr>
        <w:t>:</w:t>
      </w:r>
    </w:p>
    <w:p w14:paraId="664FC802" w14:textId="77777777" w:rsidR="00E85A78" w:rsidRPr="00A73486" w:rsidRDefault="00E85A78" w:rsidP="006C1918">
      <w:pPr>
        <w:pStyle w:val="ListParagraph"/>
        <w:numPr>
          <w:ilvl w:val="0"/>
          <w:numId w:val="30"/>
        </w:numPr>
        <w:rPr>
          <w:rFonts w:asciiTheme="majorHAnsi" w:hAnsiTheme="majorHAnsi"/>
        </w:rPr>
      </w:pPr>
      <w:r w:rsidRPr="00A73486">
        <w:rPr>
          <w:rFonts w:asciiTheme="majorHAnsi" w:hAnsiTheme="majorHAnsi"/>
        </w:rPr>
        <w:t>The term “shall” indicate what is required to be compliant with this rulebook.</w:t>
      </w:r>
    </w:p>
    <w:p w14:paraId="1DB8DA55" w14:textId="77777777" w:rsidR="00E85A78" w:rsidRPr="00A73486" w:rsidRDefault="00E85A78" w:rsidP="006C1918">
      <w:pPr>
        <w:pStyle w:val="ListParagraph"/>
        <w:numPr>
          <w:ilvl w:val="0"/>
          <w:numId w:val="30"/>
        </w:numPr>
        <w:rPr>
          <w:rFonts w:asciiTheme="majorHAnsi" w:hAnsiTheme="majorHAnsi"/>
        </w:rPr>
      </w:pPr>
      <w:r w:rsidRPr="00A73486">
        <w:rPr>
          <w:rFonts w:asciiTheme="majorHAnsi" w:hAnsiTheme="majorHAnsi"/>
        </w:rPr>
        <w:t>The term “should” indicate a recommendation rather than a requirement. Any deviation from a “should” recommendation must be justified by the party conducting the study and made transparent.</w:t>
      </w:r>
    </w:p>
    <w:p w14:paraId="579CAE0B" w14:textId="77777777" w:rsidR="00E85A78" w:rsidRPr="00A73486" w:rsidRDefault="00E85A78" w:rsidP="006C1918">
      <w:pPr>
        <w:pStyle w:val="ListParagraph"/>
        <w:numPr>
          <w:ilvl w:val="0"/>
          <w:numId w:val="30"/>
        </w:numPr>
        <w:rPr>
          <w:rFonts w:asciiTheme="majorHAnsi" w:hAnsiTheme="majorHAnsi"/>
        </w:rPr>
      </w:pPr>
      <w:r w:rsidRPr="00A73486">
        <w:rPr>
          <w:rFonts w:asciiTheme="majorHAnsi" w:hAnsiTheme="majorHAnsi"/>
        </w:rPr>
        <w:t>The term “may” indicate an option that is permissible.</w:t>
      </w:r>
    </w:p>
    <w:p w14:paraId="30CDBA8F" w14:textId="77777777" w:rsidR="00E85A78" w:rsidRPr="00A73486" w:rsidRDefault="00E85A78" w:rsidP="006C1918">
      <w:pPr>
        <w:pStyle w:val="ListParagraph"/>
        <w:numPr>
          <w:ilvl w:val="0"/>
          <w:numId w:val="30"/>
        </w:numPr>
        <w:rPr>
          <w:rFonts w:asciiTheme="majorHAnsi" w:hAnsiTheme="majorHAnsi"/>
        </w:rPr>
      </w:pPr>
      <w:r w:rsidRPr="00A73486">
        <w:rPr>
          <w:rFonts w:asciiTheme="majorHAnsi" w:hAnsiTheme="majorHAnsi"/>
        </w:rPr>
        <w:t>The term “can” is used to indicate that something is possible, for example, that an organization or individual is able to do something.</w:t>
      </w:r>
    </w:p>
    <w:p w14:paraId="74D28F02" w14:textId="21464AD7" w:rsidR="00E85A78" w:rsidRPr="00E85A78" w:rsidRDefault="00E85A78" w:rsidP="00E85A78">
      <w:pPr>
        <w:rPr>
          <w:rFonts w:asciiTheme="majorHAnsi" w:hAnsiTheme="majorHAnsi"/>
        </w:rPr>
      </w:pPr>
      <w:r w:rsidRPr="006D7C62">
        <w:rPr>
          <w:rFonts w:asciiTheme="majorHAnsi" w:hAnsiTheme="majorHAnsi"/>
        </w:rPr>
        <w:t>Additional definitions of frequently used terms throughout the rulebook can be found in the Glossary.</w:t>
      </w:r>
    </w:p>
    <w:p w14:paraId="13075494" w14:textId="77777777" w:rsidR="00E85A78" w:rsidRDefault="00E85A78" w:rsidP="00E85A78">
      <w:pPr>
        <w:pStyle w:val="Heading3"/>
      </w:pPr>
      <w:bookmarkStart w:id="23" w:name="_Toc178672662"/>
      <w:r>
        <w:t>Future Reviews</w:t>
      </w:r>
      <w:bookmarkEnd w:id="23"/>
    </w:p>
    <w:p w14:paraId="3BE98697" w14:textId="2750CC76" w:rsidR="00E85A78" w:rsidRDefault="00E85A78">
      <w:pPr>
        <w:pStyle w:val="Heading2"/>
      </w:pPr>
      <w:bookmarkStart w:id="24" w:name="_Toc178672663"/>
      <w:r>
        <w:t>General Methodology</w:t>
      </w:r>
      <w:bookmarkEnd w:id="24"/>
    </w:p>
    <w:p w14:paraId="24ACC4E3" w14:textId="2A80F10D" w:rsidR="00E85A78" w:rsidRPr="006D7C62" w:rsidRDefault="00E85A78" w:rsidP="00E85A78">
      <w:pPr>
        <w:rPr>
          <w:rFonts w:asciiTheme="majorHAnsi" w:hAnsiTheme="majorHAnsi"/>
        </w:rPr>
      </w:pPr>
      <w:r w:rsidRPr="006D7C62">
        <w:rPr>
          <w:rFonts w:asciiTheme="majorHAnsi" w:hAnsiTheme="majorHAnsi"/>
        </w:rPr>
        <w:t xml:space="preserve">The </w:t>
      </w:r>
      <w:r>
        <w:rPr>
          <w:rFonts w:asciiTheme="majorHAnsi" w:hAnsiTheme="majorHAnsi"/>
        </w:rPr>
        <w:t>methodology of this resolution</w:t>
      </w:r>
      <w:r w:rsidRPr="006D7C62">
        <w:rPr>
          <w:rFonts w:asciiTheme="majorHAnsi" w:hAnsiTheme="majorHAnsi"/>
        </w:rPr>
        <w:t xml:space="preserve"> is based on the product carbon footprint standard ISO 14067 and the ISO 14040 and 14044 life cycle assessment standards (</w:t>
      </w:r>
      <w:r w:rsidRPr="006D7C62">
        <w:rPr>
          <w:rFonts w:asciiTheme="majorHAnsi" w:hAnsiTheme="majorHAnsi"/>
          <w:lang w:eastAsia="de-DE"/>
        </w:rPr>
        <w:fldChar w:fldCharType="begin"/>
      </w:r>
      <w:r w:rsidRPr="006D7C62">
        <w:rPr>
          <w:rFonts w:asciiTheme="majorHAnsi" w:hAnsiTheme="majorHAnsi"/>
          <w:lang w:eastAsia="de-DE"/>
        </w:rPr>
        <w:instrText xml:space="preserve"> REF _Ref96093558 \h </w:instrText>
      </w:r>
      <w:r>
        <w:rPr>
          <w:rFonts w:asciiTheme="majorHAnsi" w:hAnsiTheme="majorHAnsi"/>
          <w:lang w:eastAsia="de-DE"/>
        </w:rPr>
        <w:instrText xml:space="preserve"> \* MERGEFORMAT </w:instrText>
      </w:r>
      <w:r w:rsidRPr="006D7C62">
        <w:rPr>
          <w:rFonts w:asciiTheme="majorHAnsi" w:hAnsiTheme="majorHAnsi"/>
          <w:lang w:eastAsia="de-DE"/>
        </w:rPr>
      </w:r>
      <w:r w:rsidRPr="006D7C62">
        <w:rPr>
          <w:rFonts w:asciiTheme="majorHAnsi" w:hAnsiTheme="majorHAnsi"/>
          <w:lang w:eastAsia="de-DE"/>
        </w:rPr>
        <w:fldChar w:fldCharType="separate"/>
      </w:r>
      <w:r w:rsidRPr="006D7C62">
        <w:rPr>
          <w:rFonts w:asciiTheme="majorHAnsi" w:hAnsiTheme="majorHAnsi"/>
        </w:rPr>
        <w:t xml:space="preserve">Figure </w:t>
      </w:r>
      <w:r>
        <w:rPr>
          <w:rFonts w:asciiTheme="majorHAnsi" w:hAnsiTheme="majorHAnsi"/>
          <w:noProof/>
        </w:rPr>
        <w:t>1</w:t>
      </w:r>
      <w:r w:rsidRPr="006D7C62">
        <w:rPr>
          <w:rFonts w:asciiTheme="majorHAnsi" w:hAnsiTheme="majorHAnsi"/>
          <w:lang w:eastAsia="de-DE"/>
        </w:rPr>
        <w:fldChar w:fldCharType="end"/>
      </w:r>
      <w:r w:rsidRPr="006D7C62">
        <w:rPr>
          <w:rFonts w:asciiTheme="majorHAnsi" w:hAnsiTheme="majorHAnsi"/>
        </w:rPr>
        <w:t>).</w:t>
      </w:r>
    </w:p>
    <w:p w14:paraId="1309FFBA" w14:textId="59459980" w:rsidR="00E85A78" w:rsidRPr="006D7C62" w:rsidRDefault="00E85A78" w:rsidP="00E85A78">
      <w:pPr>
        <w:keepNext/>
        <w:jc w:val="left"/>
        <w:rPr>
          <w:rFonts w:asciiTheme="majorHAnsi" w:hAnsiTheme="majorHAnsi"/>
        </w:rPr>
      </w:pPr>
      <w:r>
        <w:rPr>
          <w:rFonts w:asciiTheme="majorHAnsi" w:hAnsiTheme="majorHAnsi"/>
          <w:noProof/>
        </w:rPr>
        <w:lastRenderedPageBreak/>
        <w:drawing>
          <wp:inline distT="0" distB="0" distL="0" distR="0" wp14:anchorId="6C25E283" wp14:editId="4B9CA2C0">
            <wp:extent cx="5316220" cy="4377055"/>
            <wp:effectExtent l="0" t="0" r="0" b="4445"/>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6220" cy="4377055"/>
                    </a:xfrm>
                    <a:prstGeom prst="rect">
                      <a:avLst/>
                    </a:prstGeom>
                    <a:noFill/>
                  </pic:spPr>
                </pic:pic>
              </a:graphicData>
            </a:graphic>
          </wp:inline>
        </w:drawing>
      </w:r>
    </w:p>
    <w:p w14:paraId="01A42C16" w14:textId="0DF8FABB" w:rsidR="00E85A78" w:rsidRPr="006D7C62" w:rsidRDefault="00E85A78" w:rsidP="00E85A78">
      <w:pPr>
        <w:pStyle w:val="Caption"/>
        <w:rPr>
          <w:rFonts w:asciiTheme="majorHAnsi" w:hAnsiTheme="majorHAnsi"/>
        </w:rPr>
      </w:pPr>
      <w:bookmarkStart w:id="25" w:name="_Ref173505836"/>
      <w:bookmarkStart w:id="26" w:name="_Toc178673559"/>
      <w:r w:rsidRPr="006D7C62">
        <w:rPr>
          <w:rFonts w:asciiTheme="majorHAnsi" w:hAnsiTheme="majorHAnsi"/>
        </w:rPr>
        <w:t xml:space="preserve">Figure </w:t>
      </w:r>
      <w:r w:rsidRPr="006D7C62">
        <w:rPr>
          <w:rFonts w:asciiTheme="majorHAnsi" w:hAnsiTheme="majorHAnsi"/>
        </w:rPr>
        <w:fldChar w:fldCharType="begin"/>
      </w:r>
      <w:r w:rsidRPr="006D7C62">
        <w:rPr>
          <w:rFonts w:asciiTheme="majorHAnsi" w:hAnsiTheme="majorHAnsi"/>
        </w:rPr>
        <w:instrText xml:space="preserve"> SEQ Figure \* ARABIC </w:instrText>
      </w:r>
      <w:r w:rsidRPr="006D7C62">
        <w:rPr>
          <w:rFonts w:asciiTheme="majorHAnsi" w:hAnsiTheme="majorHAnsi"/>
        </w:rPr>
        <w:fldChar w:fldCharType="separate"/>
      </w:r>
      <w:r w:rsidR="008272DB">
        <w:rPr>
          <w:rFonts w:asciiTheme="majorHAnsi" w:hAnsiTheme="majorHAnsi"/>
          <w:noProof/>
        </w:rPr>
        <w:t>1</w:t>
      </w:r>
      <w:r w:rsidRPr="006D7C62">
        <w:rPr>
          <w:rFonts w:asciiTheme="majorHAnsi" w:hAnsiTheme="majorHAnsi"/>
        </w:rPr>
        <w:fldChar w:fldCharType="end"/>
      </w:r>
      <w:bookmarkEnd w:id="25"/>
      <w:r w:rsidRPr="006D7C62">
        <w:rPr>
          <w:rFonts w:asciiTheme="majorHAnsi" w:hAnsiTheme="majorHAnsi"/>
        </w:rPr>
        <w:t>: Relationship of standards</w:t>
      </w:r>
      <w:bookmarkEnd w:id="26"/>
    </w:p>
    <w:p w14:paraId="123BED3C" w14:textId="77777777" w:rsidR="00E85A78" w:rsidRPr="006D7C62" w:rsidRDefault="00E85A78" w:rsidP="00E85A78">
      <w:pPr>
        <w:rPr>
          <w:rFonts w:asciiTheme="majorHAnsi" w:hAnsiTheme="majorHAnsi"/>
        </w:rPr>
      </w:pPr>
      <w:r w:rsidRPr="006D7C62">
        <w:rPr>
          <w:rFonts w:asciiTheme="majorHAnsi" w:hAnsiTheme="majorHAnsi"/>
        </w:rPr>
        <w:t>Existing rules shall be applied according to the following hierarchy:</w:t>
      </w:r>
    </w:p>
    <w:p w14:paraId="5B85CCF5" w14:textId="505300F7" w:rsidR="00EB1550" w:rsidRDefault="00EB1550" w:rsidP="00E85A78">
      <w:pPr>
        <w:pStyle w:val="Nummerierung"/>
        <w:rPr>
          <w:rFonts w:asciiTheme="majorHAnsi" w:hAnsiTheme="majorHAnsi"/>
        </w:rPr>
      </w:pPr>
      <w:r>
        <w:rPr>
          <w:rFonts w:asciiTheme="majorHAnsi" w:hAnsiTheme="majorHAnsi"/>
        </w:rPr>
        <w:t>The analysis shall be based on the principles laid down in ISO 14040/44</w:t>
      </w:r>
    </w:p>
    <w:p w14:paraId="2008D4D7" w14:textId="4F1E6141" w:rsidR="00E85A78" w:rsidRPr="006D7C62" w:rsidRDefault="00E85A78" w:rsidP="00E85A78">
      <w:pPr>
        <w:pStyle w:val="Nummerierung"/>
        <w:rPr>
          <w:rFonts w:asciiTheme="majorHAnsi" w:hAnsiTheme="majorHAnsi"/>
        </w:rPr>
      </w:pPr>
      <w:r w:rsidRPr="006D7C62">
        <w:rPr>
          <w:rFonts w:asciiTheme="majorHAnsi" w:hAnsiTheme="majorHAnsi"/>
        </w:rPr>
        <w:t>The product carbon footprints shall be calculated in accordance with ISO 14067.</w:t>
      </w:r>
    </w:p>
    <w:p w14:paraId="0DDA0A5F" w14:textId="19265589" w:rsidR="00E85A78" w:rsidRPr="006D7C62" w:rsidRDefault="00E85A78" w:rsidP="6FCCD3CB">
      <w:pPr>
        <w:pStyle w:val="Nummerierung"/>
        <w:rPr>
          <w:rFonts w:asciiTheme="majorHAnsi" w:hAnsiTheme="majorHAnsi"/>
        </w:rPr>
      </w:pPr>
      <w:r w:rsidRPr="6FCCD3CB">
        <w:rPr>
          <w:rFonts w:asciiTheme="majorHAnsi" w:hAnsiTheme="majorHAnsi"/>
        </w:rPr>
        <w:t>Automotive-specific requirements shall be applied as defined in this document.</w:t>
      </w:r>
    </w:p>
    <w:p w14:paraId="68BDCE61" w14:textId="77777777" w:rsidR="00E85A78" w:rsidRPr="00E85A78" w:rsidRDefault="00E85A78" w:rsidP="00E85A78"/>
    <w:p w14:paraId="6FF09B62" w14:textId="6C155C72" w:rsidR="00E85A78" w:rsidRDefault="00E85A78" w:rsidP="00E85A78">
      <w:pPr>
        <w:pStyle w:val="Heading3"/>
      </w:pPr>
      <w:bookmarkStart w:id="27" w:name="_Ref174517738"/>
      <w:bookmarkStart w:id="28" w:name="_Toc178672664"/>
      <w:r>
        <w:t>Level Concept</w:t>
      </w:r>
      <w:bookmarkEnd w:id="27"/>
      <w:bookmarkEnd w:id="28"/>
    </w:p>
    <w:p w14:paraId="747A2720" w14:textId="41562CDB" w:rsidR="00C9130C" w:rsidRPr="008272DB" w:rsidRDefault="00C9130C" w:rsidP="00C9130C">
      <w:pPr>
        <w:rPr>
          <w:b/>
          <w:bCs/>
          <w:szCs w:val="20"/>
        </w:rPr>
      </w:pPr>
      <w:r w:rsidRPr="008272DB">
        <w:rPr>
          <w:b/>
          <w:bCs/>
          <w:szCs w:val="20"/>
        </w:rPr>
        <w:t>Goal &amp; Scope Definition</w:t>
      </w:r>
    </w:p>
    <w:p w14:paraId="0D3BF94E" w14:textId="77777777" w:rsidR="00C9130C" w:rsidRPr="008272DB" w:rsidRDefault="00C9130C" w:rsidP="00C9130C">
      <w:pPr>
        <w:rPr>
          <w:rFonts w:asciiTheme="majorHAnsi" w:hAnsiTheme="majorHAnsi"/>
        </w:rPr>
      </w:pPr>
      <w:r w:rsidRPr="008272DB">
        <w:rPr>
          <w:rFonts w:asciiTheme="majorHAnsi" w:hAnsiTheme="majorHAnsi"/>
        </w:rPr>
        <w:t>The level concept was developed in UNECE IWG A-LCA to reflect the different motivations and goals to tackle a vehicle LCA. The importance of LCA has grown considerably in recent years and the number and type of use cases for LCA expanded as a result. The Level Concept also takes into account the increasing demand for LCA results based on primary data. By transparently addressing these new forms of vehicle LCAs and their input data variation, the Level Concept helps to ensure a consistent application of the vehicle LCA method and the appropriate selection of a product system model for an intended application.</w:t>
      </w:r>
    </w:p>
    <w:p w14:paraId="50D7D06B" w14:textId="3F3DBD34" w:rsidR="00C9130C" w:rsidRPr="008272DB" w:rsidRDefault="00C9130C" w:rsidP="00C9130C">
      <w:pPr>
        <w:rPr>
          <w:b/>
          <w:bCs/>
          <w:szCs w:val="20"/>
        </w:rPr>
      </w:pPr>
      <w:r w:rsidRPr="008272DB">
        <w:rPr>
          <w:b/>
          <w:bCs/>
          <w:szCs w:val="20"/>
        </w:rPr>
        <w:t>Background</w:t>
      </w:r>
    </w:p>
    <w:p w14:paraId="026383B9" w14:textId="77777777" w:rsidR="00C9130C" w:rsidRPr="008272DB" w:rsidRDefault="00C9130C" w:rsidP="00C9130C">
      <w:pPr>
        <w:rPr>
          <w:rFonts w:asciiTheme="majorHAnsi" w:hAnsiTheme="majorHAnsi"/>
        </w:rPr>
      </w:pPr>
      <w:r w:rsidRPr="008272DB">
        <w:rPr>
          <w:rFonts w:asciiTheme="majorHAnsi" w:hAnsiTheme="majorHAnsi"/>
        </w:rPr>
        <w:t xml:space="preserve">According to ISO 14040 standard, a life cycle assessment (LCA) consists of four steps as visualized in Figure 1. </w:t>
      </w:r>
    </w:p>
    <w:p w14:paraId="3EC1046F" w14:textId="77777777" w:rsidR="00C9130C" w:rsidRDefault="00C9130C" w:rsidP="008272DB">
      <w:pPr>
        <w:keepNext/>
        <w:jc w:val="left"/>
      </w:pPr>
      <w:r>
        <w:rPr>
          <w:noProof/>
        </w:rPr>
        <w:lastRenderedPageBreak/>
        <w:drawing>
          <wp:inline distT="0" distB="0" distL="0" distR="0" wp14:anchorId="32D94D9D" wp14:editId="55834A4A">
            <wp:extent cx="4514850" cy="2768600"/>
            <wp:effectExtent l="0" t="0" r="0" b="0"/>
            <wp:docPr id="1515839610" name="Grafik 1" descr="L'Analyse de Cycle de V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nalyse de Cycle de Vi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14850" cy="2768600"/>
                    </a:xfrm>
                    <a:prstGeom prst="rect">
                      <a:avLst/>
                    </a:prstGeom>
                    <a:noFill/>
                    <a:ln>
                      <a:noFill/>
                    </a:ln>
                  </pic:spPr>
                </pic:pic>
              </a:graphicData>
            </a:graphic>
          </wp:inline>
        </w:drawing>
      </w:r>
    </w:p>
    <w:p w14:paraId="0DD3E0F5" w14:textId="63E88DBD" w:rsidR="00C9130C" w:rsidRPr="008272DB" w:rsidRDefault="008272DB" w:rsidP="008272DB">
      <w:pPr>
        <w:pStyle w:val="Caption"/>
        <w:rPr>
          <w:rFonts w:asciiTheme="majorHAnsi" w:hAnsiTheme="majorHAnsi"/>
        </w:rPr>
      </w:pPr>
      <w:bookmarkStart w:id="29" w:name="_Toc178673560"/>
      <w:r>
        <w:t xml:space="preserve">Figure </w:t>
      </w:r>
      <w:r>
        <w:fldChar w:fldCharType="begin"/>
      </w:r>
      <w:r>
        <w:instrText xml:space="preserve"> SEQ Figure \* ARABIC </w:instrText>
      </w:r>
      <w:r>
        <w:fldChar w:fldCharType="separate"/>
      </w:r>
      <w:r>
        <w:rPr>
          <w:noProof/>
        </w:rPr>
        <w:t>2</w:t>
      </w:r>
      <w:r>
        <w:fldChar w:fldCharType="end"/>
      </w:r>
      <w:r>
        <w:t xml:space="preserve">: </w:t>
      </w:r>
      <w:r w:rsidRPr="002078A5">
        <w:rPr>
          <w:noProof/>
        </w:rPr>
        <w:t>General structure of Life Cycle Assessment according to ISO 14040</w:t>
      </w:r>
      <w:bookmarkEnd w:id="29"/>
    </w:p>
    <w:p w14:paraId="1469DE30" w14:textId="77777777" w:rsidR="00C9130C" w:rsidRPr="008272DB" w:rsidRDefault="00C9130C" w:rsidP="00C9130C">
      <w:pPr>
        <w:rPr>
          <w:rFonts w:asciiTheme="majorHAnsi" w:hAnsiTheme="majorHAnsi"/>
        </w:rPr>
      </w:pPr>
      <w:r w:rsidRPr="008272DB">
        <w:rPr>
          <w:rFonts w:asciiTheme="majorHAnsi" w:hAnsiTheme="majorHAnsi"/>
        </w:rPr>
        <w:t xml:space="preserve">Goal and scope definition is the first step of these four. In this step the study is defined in detail and central choices are made regarding its conduct.  </w:t>
      </w:r>
    </w:p>
    <w:p w14:paraId="3C7DA058" w14:textId="77777777" w:rsidR="00C9130C" w:rsidRPr="008272DB" w:rsidRDefault="00C9130C" w:rsidP="00C9130C">
      <w:pPr>
        <w:rPr>
          <w:rFonts w:asciiTheme="majorHAnsi" w:hAnsiTheme="majorHAnsi"/>
        </w:rPr>
      </w:pPr>
      <w:r w:rsidRPr="008272DB">
        <w:rPr>
          <w:rFonts w:asciiTheme="majorHAnsi" w:hAnsiTheme="majorHAnsi"/>
        </w:rPr>
        <w:t>“The goal definition shall firstly state the intended application(s) of the LCA results in a precise and unambiguous way. … The decision-context is one key criterion for determining the most appropriate methods for the LCI model.” (ILCD handbook)</w:t>
      </w:r>
    </w:p>
    <w:p w14:paraId="3A7D1FB1" w14:textId="77777777" w:rsidR="00C9130C" w:rsidRPr="008272DB" w:rsidRDefault="00C9130C" w:rsidP="00C9130C">
      <w:pPr>
        <w:rPr>
          <w:rFonts w:asciiTheme="majorHAnsi" w:hAnsiTheme="majorHAnsi"/>
        </w:rPr>
      </w:pPr>
      <w:r w:rsidRPr="008272DB">
        <w:rPr>
          <w:rFonts w:asciiTheme="majorHAnsi" w:hAnsiTheme="majorHAnsi"/>
        </w:rPr>
        <w:t>In a nutshell, it is crucial to know the intended purpose and application of an LCA to define appropriate requirements for modelling the product system.</w:t>
      </w:r>
    </w:p>
    <w:p w14:paraId="6D35AD54" w14:textId="77777777" w:rsidR="00C9130C" w:rsidRPr="008272DB" w:rsidRDefault="00C9130C" w:rsidP="00C9130C">
      <w:pPr>
        <w:rPr>
          <w:rFonts w:asciiTheme="majorHAnsi" w:hAnsiTheme="majorHAnsi"/>
        </w:rPr>
      </w:pPr>
      <w:r w:rsidRPr="008272DB">
        <w:rPr>
          <w:rFonts w:asciiTheme="majorHAnsi" w:hAnsiTheme="majorHAnsi"/>
        </w:rPr>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to show that their successor models were more environmentally friendly than the previous ones (continuous improvement). This is also reflected in the list of direct applications in ISO 14040 (compare Fig. 1, box on the right). Currently, an extension of applications towards reduction measure implementation and reporting – especially in the context of decarbonization and circular economy (CE) – can be observed (see Figure 2).</w:t>
      </w:r>
    </w:p>
    <w:p w14:paraId="3F475C29" w14:textId="77777777" w:rsidR="00C9130C" w:rsidRDefault="00C9130C" w:rsidP="00C9130C">
      <w:pPr>
        <w:keepNext/>
      </w:pPr>
      <w:r w:rsidRPr="00E6359F">
        <w:rPr>
          <w:noProof/>
          <w:sz w:val="24"/>
          <w:szCs w:val="24"/>
        </w:rPr>
        <w:lastRenderedPageBreak/>
        <w:drawing>
          <wp:inline distT="0" distB="0" distL="0" distR="0" wp14:anchorId="28C5D2F3" wp14:editId="483A747E">
            <wp:extent cx="5731510" cy="3223895"/>
            <wp:effectExtent l="0" t="0" r="2540" b="0"/>
            <wp:docPr id="5" name="Grafik 4">
              <a:extLst xmlns:a="http://schemas.openxmlformats.org/drawingml/2006/main">
                <a:ext uri="{FF2B5EF4-FFF2-40B4-BE49-F238E27FC236}">
                  <a16:creationId xmlns:a16="http://schemas.microsoft.com/office/drawing/2014/main" id="{42BAEB33-CD1E-792F-DCB4-990FB9B181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42BAEB33-CD1E-792F-DCB4-990FB9B1810E}"/>
                        </a:ext>
                      </a:extLst>
                    </pic:cNvPr>
                    <pic:cNvPicPr>
                      <a:picLocks noChangeAspect="1"/>
                    </pic:cNvPicPr>
                  </pic:nvPicPr>
                  <pic:blipFill>
                    <a:blip r:embed="rId13"/>
                    <a:stretch>
                      <a:fillRect/>
                    </a:stretch>
                  </pic:blipFill>
                  <pic:spPr>
                    <a:xfrm>
                      <a:off x="0" y="0"/>
                      <a:ext cx="5731510" cy="3223895"/>
                    </a:xfrm>
                    <a:prstGeom prst="rect">
                      <a:avLst/>
                    </a:prstGeom>
                    <a:noFill/>
                  </pic:spPr>
                </pic:pic>
              </a:graphicData>
            </a:graphic>
          </wp:inline>
        </w:drawing>
      </w:r>
    </w:p>
    <w:p w14:paraId="6EB96C22" w14:textId="102EB849" w:rsidR="008272DB" w:rsidRDefault="008272DB" w:rsidP="008272DB">
      <w:pPr>
        <w:pStyle w:val="Caption"/>
      </w:pPr>
      <w:bookmarkStart w:id="30" w:name="_Toc178673561"/>
      <w:r>
        <w:t xml:space="preserve">Figure </w:t>
      </w:r>
      <w:r>
        <w:fldChar w:fldCharType="begin"/>
      </w:r>
      <w:r>
        <w:instrText xml:space="preserve"> SEQ Figure \* ARABIC </w:instrText>
      </w:r>
      <w:r>
        <w:fldChar w:fldCharType="separate"/>
      </w:r>
      <w:r>
        <w:rPr>
          <w:noProof/>
        </w:rPr>
        <w:t>3</w:t>
      </w:r>
      <w:r>
        <w:fldChar w:fldCharType="end"/>
      </w:r>
      <w:r w:rsidRPr="00D85668">
        <w:t>: Evolution of implementation areas for vehicle LCAs and involved stakeholders</w:t>
      </w:r>
      <w:bookmarkEnd w:id="30"/>
    </w:p>
    <w:p w14:paraId="46E9E69F" w14:textId="77777777" w:rsidR="00C9130C" w:rsidRPr="008272DB" w:rsidRDefault="00C9130C" w:rsidP="00C9130C">
      <w:pPr>
        <w:rPr>
          <w:rFonts w:asciiTheme="majorHAnsi" w:hAnsiTheme="majorHAnsi"/>
        </w:rPr>
      </w:pPr>
      <w:r w:rsidRPr="008272DB">
        <w:rPr>
          <w:rFonts w:asciiTheme="majorHAnsi" w:hAnsiTheme="majorHAnsi"/>
        </w:rPr>
        <w:t>As a consequence, this resolution on vehicle LCA addresses different types of vehicle LCA use cases and highlights where these require different scope definitions and requirements concerning methodology, quality, reporting, and review.</w:t>
      </w:r>
    </w:p>
    <w:p w14:paraId="1641390E" w14:textId="35A9747F" w:rsidR="00C9130C" w:rsidRPr="008272DB" w:rsidRDefault="00C9130C" w:rsidP="00C9130C">
      <w:pPr>
        <w:rPr>
          <w:b/>
          <w:bCs/>
          <w:szCs w:val="20"/>
        </w:rPr>
      </w:pPr>
      <w:r w:rsidRPr="008272DB">
        <w:rPr>
          <w:b/>
          <w:bCs/>
          <w:szCs w:val="20"/>
        </w:rPr>
        <w:t>Use cases and application of Level Concept</w:t>
      </w:r>
    </w:p>
    <w:p w14:paraId="5F369903" w14:textId="77777777" w:rsidR="00C9130C" w:rsidRPr="008272DB" w:rsidRDefault="00C9130C" w:rsidP="008272DB">
      <w:pPr>
        <w:rPr>
          <w:rFonts w:asciiTheme="majorHAnsi" w:hAnsiTheme="majorHAnsi"/>
        </w:rPr>
      </w:pPr>
      <w:r w:rsidRPr="008272DB">
        <w:rPr>
          <w:rFonts w:asciiTheme="majorHAnsi" w:hAnsiTheme="majorHAnsi"/>
        </w:rPr>
        <w:t>The Level Concept distinguishes four different levels based on the underlying questions of the assessment. This could range from “what is the right mobility concept for a city?”</w:t>
      </w:r>
    </w:p>
    <w:p w14:paraId="4C98FA81" w14:textId="77777777" w:rsidR="00C9130C" w:rsidRPr="008272DB" w:rsidRDefault="00C9130C" w:rsidP="00C9130C">
      <w:pPr>
        <w:rPr>
          <w:rFonts w:asciiTheme="majorHAnsi" w:hAnsiTheme="majorHAnsi"/>
        </w:rPr>
      </w:pPr>
      <w:r w:rsidRPr="008272DB">
        <w:rPr>
          <w:rFonts w:asciiTheme="majorHAnsi" w:hAnsiTheme="majorHAnsi"/>
        </w:rPr>
        <w:t>to “what is the carbon footprint of a certain vehicle model?”. This leads to different requirements for the product system model especially with regard to the upstream life cycle phases in the foreground system (supply chain and vehicle production).</w:t>
      </w:r>
    </w:p>
    <w:p w14:paraId="23CF0EB7" w14:textId="77777777" w:rsidR="00C9130C" w:rsidRDefault="00C9130C" w:rsidP="00C9130C">
      <w:pPr>
        <w:spacing w:after="0"/>
        <w:rPr>
          <w:sz w:val="24"/>
          <w:szCs w:val="24"/>
        </w:rPr>
      </w:pPr>
    </w:p>
    <w:p w14:paraId="597452E1" w14:textId="77777777" w:rsidR="00C9130C" w:rsidRPr="008272DB" w:rsidRDefault="00C9130C" w:rsidP="006C1918">
      <w:pPr>
        <w:pStyle w:val="ListParagraph"/>
        <w:numPr>
          <w:ilvl w:val="0"/>
          <w:numId w:val="36"/>
        </w:numPr>
        <w:spacing w:after="160" w:line="259" w:lineRule="auto"/>
        <w:jc w:val="left"/>
        <w:rPr>
          <w:szCs w:val="20"/>
        </w:rPr>
      </w:pPr>
      <w:r w:rsidRPr="008272DB">
        <w:rPr>
          <w:szCs w:val="20"/>
        </w:rPr>
        <w:t>Level 1 (multiple approaches possible)</w:t>
      </w:r>
    </w:p>
    <w:p w14:paraId="5E9C57C1"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Purpose</w:t>
      </w:r>
    </w:p>
    <w:p w14:paraId="2EDF7509"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General uses, including research and strategic public policy making</w:t>
      </w:r>
    </w:p>
    <w:p w14:paraId="4D999FA7"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Strategic planning: future projection, fleet modeling, etc.</w:t>
      </w:r>
    </w:p>
    <w:p w14:paraId="198EAB27"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Vehicle modeling</w:t>
      </w:r>
    </w:p>
    <w:p w14:paraId="1148B6B6"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Generic fuel-powertrain model normalized by vehicle mass</w:t>
      </w:r>
    </w:p>
    <w:p w14:paraId="2D9618CB"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Generic part and material composition</w:t>
      </w:r>
    </w:p>
    <w:p w14:paraId="7241F1D2"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User-defined vehicle model</w:t>
      </w:r>
    </w:p>
    <w:p w14:paraId="66E6E977"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Approach for the application of the level concept</w:t>
      </w:r>
    </w:p>
    <w:p w14:paraId="439774E3"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Flexible in applying “mix&amp;match” of levels from different life cycle stages, depending on the purpose of the study, availability of data, etc.</w:t>
      </w:r>
    </w:p>
    <w:p w14:paraId="246C0F91"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For comparability and transparency, practitioners should specify the discrete levels (“mix&amp;match”) used for their applications</w:t>
      </w:r>
    </w:p>
    <w:p w14:paraId="609E051E" w14:textId="77777777" w:rsidR="00C9130C" w:rsidRPr="008272DB" w:rsidRDefault="00C9130C" w:rsidP="00C9130C">
      <w:pPr>
        <w:pStyle w:val="ListParagraph"/>
        <w:widowControl w:val="0"/>
        <w:autoSpaceDE w:val="0"/>
        <w:autoSpaceDN w:val="0"/>
        <w:ind w:left="1320"/>
        <w:rPr>
          <w:szCs w:val="20"/>
        </w:rPr>
      </w:pPr>
    </w:p>
    <w:p w14:paraId="293728C4" w14:textId="77777777" w:rsidR="00C9130C" w:rsidRPr="008272DB" w:rsidRDefault="00C9130C" w:rsidP="006C1918">
      <w:pPr>
        <w:pStyle w:val="ListParagraph"/>
        <w:numPr>
          <w:ilvl w:val="0"/>
          <w:numId w:val="36"/>
        </w:numPr>
        <w:spacing w:after="160" w:line="259" w:lineRule="auto"/>
        <w:jc w:val="left"/>
        <w:rPr>
          <w:szCs w:val="20"/>
        </w:rPr>
      </w:pPr>
      <w:r w:rsidRPr="008272DB">
        <w:rPr>
          <w:szCs w:val="20"/>
        </w:rPr>
        <w:t>Level 2 (multiple approaches possible)</w:t>
      </w:r>
    </w:p>
    <w:p w14:paraId="4423AB03"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Purpose</w:t>
      </w:r>
    </w:p>
    <w:p w14:paraId="27647AB1"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OEM’s internal assessment and strategic planning</w:t>
      </w:r>
    </w:p>
    <w:p w14:paraId="54C3A1A8"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Product development and improvement</w:t>
      </w:r>
    </w:p>
    <w:p w14:paraId="701D7D33"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Marketing</w:t>
      </w:r>
    </w:p>
    <w:p w14:paraId="3658FF32"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Vehicle modeling</w:t>
      </w:r>
    </w:p>
    <w:p w14:paraId="0F42E9C6"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Existing vehicle model of choice for assessment</w:t>
      </w:r>
    </w:p>
    <w:p w14:paraId="150F04C8"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Bill of material (BOM) &amp; material information system (IMDS/CMDS) for composition</w:t>
      </w:r>
    </w:p>
    <w:p w14:paraId="7C373ACE"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Approach for the application of the level concept</w:t>
      </w:r>
    </w:p>
    <w:p w14:paraId="6DD7DBFB"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lastRenderedPageBreak/>
        <w:t>Flexible in applying “mix&amp;match” of levels from different life cycle stages, other than vehicle modeling, depending on the purpose of the assessment</w:t>
      </w:r>
    </w:p>
    <w:p w14:paraId="0D1F22CC"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For comparability and transparency, practitioners should specify the discrete levels (“mix&amp;match”) used for their applications</w:t>
      </w:r>
    </w:p>
    <w:p w14:paraId="7E86B443" w14:textId="77777777" w:rsidR="00C9130C" w:rsidRPr="008272DB" w:rsidRDefault="00C9130C" w:rsidP="00C9130C">
      <w:pPr>
        <w:pStyle w:val="ListParagraph"/>
        <w:widowControl w:val="0"/>
        <w:autoSpaceDE w:val="0"/>
        <w:autoSpaceDN w:val="0"/>
        <w:ind w:left="1320"/>
        <w:rPr>
          <w:szCs w:val="20"/>
        </w:rPr>
      </w:pPr>
    </w:p>
    <w:p w14:paraId="10BE6B79" w14:textId="77777777" w:rsidR="00C9130C" w:rsidRPr="008272DB" w:rsidRDefault="00C9130C" w:rsidP="006C1918">
      <w:pPr>
        <w:pStyle w:val="ListParagraph"/>
        <w:numPr>
          <w:ilvl w:val="0"/>
          <w:numId w:val="36"/>
        </w:numPr>
        <w:spacing w:after="160" w:line="259" w:lineRule="auto"/>
        <w:jc w:val="left"/>
        <w:rPr>
          <w:szCs w:val="20"/>
        </w:rPr>
      </w:pPr>
      <w:r w:rsidRPr="008272DB">
        <w:rPr>
          <w:szCs w:val="20"/>
        </w:rPr>
        <w:t>Level 3 (single fixed approach)</w:t>
      </w:r>
    </w:p>
    <w:p w14:paraId="742DC19E"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Purpose</w:t>
      </w:r>
    </w:p>
    <w:p w14:paraId="1A69C13D"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 xml:space="preserve">OEM’s official reporting </w:t>
      </w:r>
    </w:p>
    <w:p w14:paraId="6626F7EE"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Reporting for government programs</w:t>
      </w:r>
    </w:p>
    <w:p w14:paraId="00025D33"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Vehicle modeling</w:t>
      </w:r>
    </w:p>
    <w:p w14:paraId="75BE2B0A"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Representative vehicle for reporting</w:t>
      </w:r>
    </w:p>
    <w:p w14:paraId="1B8623B6"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 xml:space="preserve">Bill of material (BOM) &amp; material information system (IMDS/CMDS) for composition, </w:t>
      </w:r>
    </w:p>
    <w:p w14:paraId="0414AEF3"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for hotspot parts applying “part-by-part” supply-chain modeling instead</w:t>
      </w:r>
    </w:p>
    <w:p w14:paraId="28884BBD"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Harmonized material classification</w:t>
      </w:r>
    </w:p>
    <w:p w14:paraId="0FCE52A0"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Approach for the application of the level concept</w:t>
      </w:r>
    </w:p>
    <w:p w14:paraId="79448A1B"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Each lifecycle stage should specify one fixed, proper level for one harmonized A-LCA approach.</w:t>
      </w:r>
    </w:p>
    <w:p w14:paraId="557320AC" w14:textId="77777777" w:rsidR="00C9130C" w:rsidRPr="008272DB" w:rsidRDefault="00C9130C" w:rsidP="00C9130C">
      <w:pPr>
        <w:pStyle w:val="ListParagraph"/>
        <w:widowControl w:val="0"/>
        <w:autoSpaceDE w:val="0"/>
        <w:autoSpaceDN w:val="0"/>
        <w:ind w:left="1320"/>
        <w:rPr>
          <w:szCs w:val="20"/>
        </w:rPr>
      </w:pPr>
    </w:p>
    <w:p w14:paraId="3CB951DB" w14:textId="77777777" w:rsidR="00C9130C" w:rsidRPr="008272DB" w:rsidRDefault="00C9130C" w:rsidP="006C1918">
      <w:pPr>
        <w:pStyle w:val="ListParagraph"/>
        <w:numPr>
          <w:ilvl w:val="0"/>
          <w:numId w:val="36"/>
        </w:numPr>
        <w:spacing w:after="160" w:line="259" w:lineRule="auto"/>
        <w:jc w:val="left"/>
        <w:rPr>
          <w:szCs w:val="20"/>
        </w:rPr>
      </w:pPr>
      <w:r w:rsidRPr="008272DB">
        <w:rPr>
          <w:szCs w:val="20"/>
        </w:rPr>
        <w:t>Level 4 (single fixed approach)</w:t>
      </w:r>
    </w:p>
    <w:p w14:paraId="2C862390"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 xml:space="preserve">Purpose </w:t>
      </w:r>
    </w:p>
    <w:p w14:paraId="310F1F75"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 xml:space="preserve">OEM’s and supplier’s official reporting </w:t>
      </w:r>
    </w:p>
    <w:p w14:paraId="2C36A4AC"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Reporting for government programs</w:t>
      </w:r>
    </w:p>
    <w:p w14:paraId="475813CE"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Vehicle modeling</w:t>
      </w:r>
    </w:p>
    <w:p w14:paraId="18FC9DF4"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Representative vehicle for reporting</w:t>
      </w:r>
    </w:p>
    <w:p w14:paraId="2E44647F"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Full supply-chain and vehicle production modeling</w:t>
      </w:r>
    </w:p>
    <w:p w14:paraId="10D02139" w14:textId="77777777" w:rsidR="00C9130C" w:rsidRPr="008272DB" w:rsidRDefault="00C9130C" w:rsidP="006C1918">
      <w:pPr>
        <w:pStyle w:val="ListParagraph"/>
        <w:widowControl w:val="0"/>
        <w:numPr>
          <w:ilvl w:val="0"/>
          <w:numId w:val="35"/>
        </w:numPr>
        <w:autoSpaceDE w:val="0"/>
        <w:autoSpaceDN w:val="0"/>
        <w:spacing w:after="160" w:line="259" w:lineRule="auto"/>
        <w:jc w:val="left"/>
        <w:rPr>
          <w:szCs w:val="20"/>
        </w:rPr>
      </w:pPr>
      <w:r w:rsidRPr="008272DB">
        <w:rPr>
          <w:szCs w:val="20"/>
        </w:rPr>
        <w:t>Approach for the application of the level concept</w:t>
      </w:r>
    </w:p>
    <w:p w14:paraId="1B974D51"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Full lifecycle modeling (material production, part &amp; vehicle production, usage, and end-of-life)</w:t>
      </w:r>
    </w:p>
    <w:p w14:paraId="167DEC74" w14:textId="77777777" w:rsidR="00C9130C" w:rsidRPr="008272DB" w:rsidRDefault="00C9130C" w:rsidP="006C1918">
      <w:pPr>
        <w:pStyle w:val="ListParagraph"/>
        <w:widowControl w:val="0"/>
        <w:numPr>
          <w:ilvl w:val="1"/>
          <w:numId w:val="35"/>
        </w:numPr>
        <w:autoSpaceDE w:val="0"/>
        <w:autoSpaceDN w:val="0"/>
        <w:spacing w:after="160" w:line="259" w:lineRule="auto"/>
        <w:jc w:val="left"/>
        <w:rPr>
          <w:szCs w:val="20"/>
        </w:rPr>
      </w:pPr>
      <w:r w:rsidRPr="008272DB">
        <w:rPr>
          <w:szCs w:val="20"/>
        </w:rPr>
        <w:t>Rules required for chain of custody</w:t>
      </w:r>
    </w:p>
    <w:p w14:paraId="77E4D150" w14:textId="77777777" w:rsidR="00C9130C" w:rsidRPr="008272DB" w:rsidRDefault="00C9130C" w:rsidP="00C9130C">
      <w:pPr>
        <w:rPr>
          <w:szCs w:val="20"/>
        </w:rPr>
      </w:pPr>
      <w:r w:rsidRPr="008272DB">
        <w:rPr>
          <w:szCs w:val="20"/>
        </w:rPr>
        <w:t>According to questions of the assessment</w:t>
      </w:r>
      <w:r w:rsidRPr="008272DB" w:rsidDel="00033987">
        <w:rPr>
          <w:szCs w:val="20"/>
        </w:rPr>
        <w:t xml:space="preserve"> </w:t>
      </w:r>
      <w:r w:rsidRPr="008272DB">
        <w:rPr>
          <w:szCs w:val="20"/>
        </w:rPr>
        <w:t xml:space="preserve">granularity, product specificity and scope of foreground and background is chosen. To put it the other way round: Whereas a level 1 study is representative of a broad range of products, e.g. all category 1-1 vehicles, level 4 is more focused on the fine variations of individual vehicle models. </w:t>
      </w:r>
    </w:p>
    <w:p w14:paraId="5BAD1B3D" w14:textId="77777777" w:rsidR="008272DB" w:rsidRDefault="00C9130C" w:rsidP="008272DB">
      <w:pPr>
        <w:pStyle w:val="Caption"/>
        <w:rPr>
          <w:color w:val="auto"/>
        </w:rPr>
      </w:pPr>
      <w:r w:rsidRPr="008272DB">
        <w:rPr>
          <w:szCs w:val="20"/>
        </w:rPr>
        <w:t>The choice of representativity / specificity also concerns downstream life cycle phases (WTW / use phase, EoL) or background system processes (e.g. energy production). Also, for the use phase or EoL the data for a specific vehicle could be used. This implies however that the LCA is done retrospective. For many use cases the analysis (declaration) point in time is the moment the product is put on the market. Consequently, the following life cycle stages can only be analyzed prospectively. For predictive data it is obvious that average data (e.g. for lifetime milage) are used. It is also obvious that for predictive data there is no way to provide primary data, as you cannot measure something that happens in the future.</w:t>
      </w:r>
      <w:r w:rsidR="008272DB" w:rsidRPr="008272DB">
        <w:rPr>
          <w:color w:val="auto"/>
        </w:rPr>
        <w:t xml:space="preserve"> </w:t>
      </w:r>
    </w:p>
    <w:p w14:paraId="3AF63614" w14:textId="16B6CA4E" w:rsidR="008272DB" w:rsidRPr="008272DB" w:rsidRDefault="008272DB" w:rsidP="008272DB">
      <w:pPr>
        <w:pStyle w:val="Caption"/>
        <w:keepNext/>
      </w:pPr>
      <w:bookmarkStart w:id="31" w:name="_Toc178673576"/>
      <w:r>
        <w:t xml:space="preserve">Table </w:t>
      </w:r>
      <w:r>
        <w:fldChar w:fldCharType="begin"/>
      </w:r>
      <w:r>
        <w:instrText xml:space="preserve"> SEQ Table \* ARABIC </w:instrText>
      </w:r>
      <w:r>
        <w:fldChar w:fldCharType="separate"/>
      </w:r>
      <w:r>
        <w:rPr>
          <w:noProof/>
        </w:rPr>
        <w:t>1</w:t>
      </w:r>
      <w:r>
        <w:fldChar w:fldCharType="end"/>
      </w:r>
      <w:r w:rsidRPr="00EF7AEF">
        <w:t>: General structure of the level concept</w:t>
      </w:r>
      <w:bookmarkEnd w:id="31"/>
    </w:p>
    <w:tbl>
      <w:tblPr>
        <w:tblW w:w="8560" w:type="dxa"/>
        <w:tblCellMar>
          <w:left w:w="70" w:type="dxa"/>
          <w:right w:w="70" w:type="dxa"/>
        </w:tblCellMar>
        <w:tblLook w:val="04A0" w:firstRow="1" w:lastRow="0" w:firstColumn="1" w:lastColumn="0" w:noHBand="0" w:noVBand="1"/>
      </w:tblPr>
      <w:tblGrid>
        <w:gridCol w:w="1200"/>
        <w:gridCol w:w="1200"/>
        <w:gridCol w:w="2760"/>
        <w:gridCol w:w="1420"/>
        <w:gridCol w:w="1980"/>
      </w:tblGrid>
      <w:tr w:rsidR="00C9130C" w:rsidRPr="008272DB" w14:paraId="4DF2F37D" w14:textId="77777777" w:rsidTr="003E56B0">
        <w:trPr>
          <w:trHeight w:val="29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72084" w14:textId="77777777" w:rsidR="00C9130C" w:rsidRPr="008272DB" w:rsidRDefault="00C9130C" w:rsidP="003E56B0">
            <w:pPr>
              <w:spacing w:after="0"/>
              <w:rPr>
                <w:rFonts w:eastAsia="Times New Roman" w:cs="Times New Roman"/>
                <w:color w:val="000000"/>
                <w:szCs w:val="20"/>
                <w:lang w:eastAsia="de-DE"/>
              </w:rPr>
            </w:pPr>
            <w:r w:rsidRPr="008272DB">
              <w:rPr>
                <w:rFonts w:eastAsia="Times New Roman" w:cs="Times New Roman"/>
                <w:color w:val="000000"/>
                <w:szCs w:val="20"/>
                <w:lang w:eastAsia="de-DE"/>
              </w:rPr>
              <w:t> </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1177429F" w14:textId="77777777" w:rsidR="00C9130C" w:rsidRPr="008272DB" w:rsidRDefault="00C9130C" w:rsidP="003E56B0">
            <w:pPr>
              <w:spacing w:after="0"/>
              <w:jc w:val="center"/>
              <w:rPr>
                <w:rFonts w:eastAsia="Times New Roman" w:cs="Times New Roman"/>
                <w:b/>
                <w:bCs/>
                <w:color w:val="000000"/>
                <w:szCs w:val="20"/>
                <w:lang w:eastAsia="de-DE"/>
              </w:rPr>
            </w:pPr>
            <w:r w:rsidRPr="008272DB">
              <w:rPr>
                <w:rFonts w:eastAsia="Times New Roman" w:cs="Times New Roman"/>
                <w:b/>
                <w:bCs/>
                <w:color w:val="000000"/>
                <w:szCs w:val="20"/>
                <w:lang w:eastAsia="de-DE"/>
              </w:rPr>
              <w:t>Purpose</w:t>
            </w:r>
          </w:p>
        </w:tc>
        <w:tc>
          <w:tcPr>
            <w:tcW w:w="2760" w:type="dxa"/>
            <w:tcBorders>
              <w:top w:val="single" w:sz="4" w:space="0" w:color="auto"/>
              <w:left w:val="nil"/>
              <w:bottom w:val="single" w:sz="4" w:space="0" w:color="auto"/>
              <w:right w:val="single" w:sz="4" w:space="0" w:color="auto"/>
            </w:tcBorders>
            <w:shd w:val="clear" w:color="auto" w:fill="auto"/>
            <w:noWrap/>
            <w:vAlign w:val="center"/>
            <w:hideMark/>
          </w:tcPr>
          <w:p w14:paraId="274378FF" w14:textId="77777777" w:rsidR="00C9130C" w:rsidRPr="008272DB" w:rsidRDefault="00C9130C" w:rsidP="003E56B0">
            <w:pPr>
              <w:spacing w:after="0"/>
              <w:jc w:val="center"/>
              <w:rPr>
                <w:rFonts w:eastAsia="Times New Roman" w:cs="Times New Roman"/>
                <w:b/>
                <w:bCs/>
                <w:color w:val="000000"/>
                <w:szCs w:val="20"/>
                <w:lang w:eastAsia="de-DE"/>
              </w:rPr>
            </w:pPr>
            <w:r w:rsidRPr="008272DB">
              <w:rPr>
                <w:rFonts w:eastAsia="Times New Roman" w:cs="Times New Roman"/>
                <w:b/>
                <w:bCs/>
                <w:color w:val="000000"/>
                <w:szCs w:val="20"/>
                <w:lang w:eastAsia="de-DE"/>
              </w:rPr>
              <w:t>Degree of freedom</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14:paraId="6285A10E" w14:textId="77777777" w:rsidR="00C9130C" w:rsidRPr="008272DB" w:rsidRDefault="00C9130C" w:rsidP="003E56B0">
            <w:pPr>
              <w:spacing w:after="0"/>
              <w:jc w:val="center"/>
              <w:rPr>
                <w:rFonts w:eastAsia="Times New Roman" w:cs="Times New Roman"/>
                <w:b/>
                <w:bCs/>
                <w:color w:val="000000"/>
                <w:szCs w:val="20"/>
                <w:lang w:eastAsia="de-DE"/>
              </w:rPr>
            </w:pPr>
            <w:r w:rsidRPr="008272DB">
              <w:rPr>
                <w:rFonts w:eastAsia="Times New Roman" w:cs="Times New Roman"/>
                <w:b/>
                <w:bCs/>
                <w:color w:val="000000"/>
                <w:szCs w:val="20"/>
                <w:lang w:eastAsia="de-DE"/>
              </w:rPr>
              <w:t>vehicle model</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14:paraId="3B808ECC" w14:textId="77777777" w:rsidR="00C9130C" w:rsidRPr="008272DB" w:rsidRDefault="00C9130C" w:rsidP="003E56B0">
            <w:pPr>
              <w:spacing w:after="0"/>
              <w:jc w:val="center"/>
              <w:rPr>
                <w:rFonts w:eastAsia="Times New Roman" w:cs="Times New Roman"/>
                <w:b/>
                <w:bCs/>
                <w:color w:val="000000"/>
                <w:szCs w:val="20"/>
                <w:lang w:eastAsia="de-DE"/>
              </w:rPr>
            </w:pPr>
            <w:r w:rsidRPr="008272DB">
              <w:rPr>
                <w:rFonts w:eastAsia="Times New Roman" w:cs="Times New Roman"/>
                <w:b/>
                <w:bCs/>
                <w:color w:val="000000"/>
                <w:szCs w:val="20"/>
                <w:lang w:eastAsia="de-DE"/>
              </w:rPr>
              <w:t>supply chain model</w:t>
            </w:r>
          </w:p>
        </w:tc>
      </w:tr>
      <w:tr w:rsidR="00C9130C" w:rsidRPr="008272DB" w14:paraId="1A304377" w14:textId="77777777" w:rsidTr="003E56B0">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73D1E8" w14:textId="77777777" w:rsidR="00C9130C" w:rsidRPr="008272DB" w:rsidRDefault="00C9130C" w:rsidP="003E56B0">
            <w:pPr>
              <w:spacing w:after="0"/>
              <w:rPr>
                <w:rFonts w:eastAsia="Times New Roman" w:cs="Times New Roman"/>
                <w:b/>
                <w:bCs/>
                <w:color w:val="000000"/>
                <w:szCs w:val="20"/>
                <w:lang w:eastAsia="de-DE"/>
              </w:rPr>
            </w:pPr>
            <w:r w:rsidRPr="008272DB">
              <w:rPr>
                <w:rFonts w:eastAsia="Times New Roman" w:cs="Times New Roman"/>
                <w:b/>
                <w:bCs/>
                <w:color w:val="000000"/>
                <w:szCs w:val="20"/>
                <w:lang w:eastAsia="de-DE"/>
              </w:rPr>
              <w:t>Level 1</w:t>
            </w:r>
          </w:p>
        </w:tc>
        <w:tc>
          <w:tcPr>
            <w:tcW w:w="1200" w:type="dxa"/>
            <w:tcBorders>
              <w:top w:val="nil"/>
              <w:left w:val="nil"/>
              <w:bottom w:val="single" w:sz="4" w:space="0" w:color="auto"/>
              <w:right w:val="single" w:sz="4" w:space="0" w:color="auto"/>
            </w:tcBorders>
            <w:shd w:val="clear" w:color="auto" w:fill="auto"/>
            <w:noWrap/>
            <w:vAlign w:val="center"/>
            <w:hideMark/>
          </w:tcPr>
          <w:p w14:paraId="0248A6C6"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strategy</w:t>
            </w:r>
          </w:p>
        </w:tc>
        <w:tc>
          <w:tcPr>
            <w:tcW w:w="2760" w:type="dxa"/>
            <w:tcBorders>
              <w:top w:val="nil"/>
              <w:left w:val="nil"/>
              <w:bottom w:val="single" w:sz="4" w:space="0" w:color="auto"/>
              <w:right w:val="single" w:sz="4" w:space="0" w:color="auto"/>
            </w:tcBorders>
            <w:shd w:val="clear" w:color="auto" w:fill="auto"/>
            <w:noWrap/>
            <w:vAlign w:val="center"/>
            <w:hideMark/>
          </w:tcPr>
          <w:p w14:paraId="3832A637"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multiple approaches possible</w:t>
            </w:r>
          </w:p>
        </w:tc>
        <w:tc>
          <w:tcPr>
            <w:tcW w:w="1420" w:type="dxa"/>
            <w:tcBorders>
              <w:top w:val="nil"/>
              <w:left w:val="nil"/>
              <w:bottom w:val="single" w:sz="4" w:space="0" w:color="auto"/>
              <w:right w:val="single" w:sz="4" w:space="0" w:color="auto"/>
            </w:tcBorders>
            <w:shd w:val="clear" w:color="auto" w:fill="auto"/>
            <w:noWrap/>
            <w:vAlign w:val="center"/>
            <w:hideMark/>
          </w:tcPr>
          <w:p w14:paraId="0A1F4CE0"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generic</w:t>
            </w:r>
          </w:p>
        </w:tc>
        <w:tc>
          <w:tcPr>
            <w:tcW w:w="1980" w:type="dxa"/>
            <w:tcBorders>
              <w:top w:val="nil"/>
              <w:left w:val="nil"/>
              <w:bottom w:val="single" w:sz="4" w:space="0" w:color="auto"/>
              <w:right w:val="single" w:sz="4" w:space="0" w:color="auto"/>
            </w:tcBorders>
            <w:shd w:val="clear" w:color="auto" w:fill="auto"/>
            <w:noWrap/>
            <w:vAlign w:val="center"/>
            <w:hideMark/>
          </w:tcPr>
          <w:p w14:paraId="6DD4DD07"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generic</w:t>
            </w:r>
          </w:p>
        </w:tc>
      </w:tr>
      <w:tr w:rsidR="00C9130C" w:rsidRPr="008272DB" w14:paraId="3910B51E" w14:textId="77777777" w:rsidTr="003E56B0">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898F1B0" w14:textId="77777777" w:rsidR="00C9130C" w:rsidRPr="008272DB" w:rsidRDefault="00C9130C" w:rsidP="003E56B0">
            <w:pPr>
              <w:spacing w:after="0"/>
              <w:rPr>
                <w:rFonts w:eastAsia="Times New Roman" w:cs="Times New Roman"/>
                <w:b/>
                <w:bCs/>
                <w:color w:val="000000"/>
                <w:szCs w:val="20"/>
                <w:lang w:eastAsia="de-DE"/>
              </w:rPr>
            </w:pPr>
            <w:r w:rsidRPr="008272DB">
              <w:rPr>
                <w:rFonts w:eastAsia="Times New Roman" w:cs="Times New Roman"/>
                <w:b/>
                <w:bCs/>
                <w:color w:val="000000"/>
                <w:szCs w:val="20"/>
                <w:lang w:eastAsia="de-DE"/>
              </w:rPr>
              <w:t>Level 2</w:t>
            </w:r>
          </w:p>
        </w:tc>
        <w:tc>
          <w:tcPr>
            <w:tcW w:w="1200" w:type="dxa"/>
            <w:tcBorders>
              <w:top w:val="nil"/>
              <w:left w:val="nil"/>
              <w:bottom w:val="single" w:sz="4" w:space="0" w:color="auto"/>
              <w:right w:val="single" w:sz="4" w:space="0" w:color="auto"/>
            </w:tcBorders>
            <w:shd w:val="clear" w:color="auto" w:fill="auto"/>
            <w:noWrap/>
            <w:vAlign w:val="center"/>
            <w:hideMark/>
          </w:tcPr>
          <w:p w14:paraId="2E7CD564"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strategy</w:t>
            </w:r>
          </w:p>
        </w:tc>
        <w:tc>
          <w:tcPr>
            <w:tcW w:w="2760" w:type="dxa"/>
            <w:tcBorders>
              <w:top w:val="nil"/>
              <w:left w:val="nil"/>
              <w:bottom w:val="single" w:sz="4" w:space="0" w:color="auto"/>
              <w:right w:val="single" w:sz="4" w:space="0" w:color="auto"/>
            </w:tcBorders>
            <w:shd w:val="clear" w:color="auto" w:fill="auto"/>
            <w:noWrap/>
            <w:vAlign w:val="center"/>
            <w:hideMark/>
          </w:tcPr>
          <w:p w14:paraId="061318C0"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multiple approaches possible</w:t>
            </w:r>
          </w:p>
        </w:tc>
        <w:tc>
          <w:tcPr>
            <w:tcW w:w="1420" w:type="dxa"/>
            <w:tcBorders>
              <w:top w:val="nil"/>
              <w:left w:val="nil"/>
              <w:bottom w:val="single" w:sz="4" w:space="0" w:color="auto"/>
              <w:right w:val="single" w:sz="4" w:space="0" w:color="auto"/>
            </w:tcBorders>
            <w:shd w:val="clear" w:color="auto" w:fill="auto"/>
            <w:noWrap/>
            <w:vAlign w:val="center"/>
            <w:hideMark/>
          </w:tcPr>
          <w:p w14:paraId="25A932CD"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BOM</w:t>
            </w:r>
            <w:r w:rsidRPr="008272DB">
              <w:rPr>
                <w:rFonts w:eastAsia="Times New Roman" w:cs="Times New Roman"/>
                <w:color w:val="000000"/>
                <w:szCs w:val="20"/>
                <w:vertAlign w:val="superscript"/>
                <w:lang w:eastAsia="de-DE"/>
              </w:rPr>
              <w:t>1</w:t>
            </w:r>
            <w:r w:rsidRPr="008272DB">
              <w:rPr>
                <w:rFonts w:eastAsia="Times New Roman" w:cs="Times New Roman"/>
                <w:color w:val="000000"/>
                <w:szCs w:val="20"/>
                <w:lang w:eastAsia="de-DE"/>
              </w:rPr>
              <w:t xml:space="preserve"> &amp; MDS</w:t>
            </w:r>
            <w:r w:rsidRPr="008272DB">
              <w:rPr>
                <w:rFonts w:eastAsia="Times New Roman" w:cs="Times New Roman"/>
                <w:color w:val="000000"/>
                <w:szCs w:val="20"/>
                <w:vertAlign w:val="superscript"/>
                <w:lang w:eastAsia="de-DE"/>
              </w:rPr>
              <w:t>2</w:t>
            </w:r>
          </w:p>
        </w:tc>
        <w:tc>
          <w:tcPr>
            <w:tcW w:w="1980" w:type="dxa"/>
            <w:tcBorders>
              <w:top w:val="nil"/>
              <w:left w:val="nil"/>
              <w:bottom w:val="single" w:sz="4" w:space="0" w:color="auto"/>
              <w:right w:val="single" w:sz="4" w:space="0" w:color="auto"/>
            </w:tcBorders>
            <w:shd w:val="clear" w:color="auto" w:fill="auto"/>
            <w:noWrap/>
            <w:vAlign w:val="center"/>
            <w:hideMark/>
          </w:tcPr>
          <w:p w14:paraId="670EAD06"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generic</w:t>
            </w:r>
          </w:p>
        </w:tc>
      </w:tr>
      <w:tr w:rsidR="00C9130C" w:rsidRPr="008272DB" w14:paraId="01C483A9" w14:textId="77777777" w:rsidTr="003E56B0">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10115FE" w14:textId="77777777" w:rsidR="00C9130C" w:rsidRPr="008272DB" w:rsidRDefault="00C9130C" w:rsidP="003E56B0">
            <w:pPr>
              <w:spacing w:after="0"/>
              <w:rPr>
                <w:rFonts w:eastAsia="Times New Roman" w:cs="Times New Roman"/>
                <w:b/>
                <w:bCs/>
                <w:color w:val="000000"/>
                <w:szCs w:val="20"/>
                <w:lang w:eastAsia="de-DE"/>
              </w:rPr>
            </w:pPr>
            <w:r w:rsidRPr="008272DB">
              <w:rPr>
                <w:rFonts w:eastAsia="Times New Roman" w:cs="Times New Roman"/>
                <w:b/>
                <w:bCs/>
                <w:color w:val="000000"/>
                <w:szCs w:val="20"/>
                <w:lang w:eastAsia="de-DE"/>
              </w:rPr>
              <w:t>Level 3</w:t>
            </w:r>
          </w:p>
        </w:tc>
        <w:tc>
          <w:tcPr>
            <w:tcW w:w="1200" w:type="dxa"/>
            <w:tcBorders>
              <w:top w:val="nil"/>
              <w:left w:val="nil"/>
              <w:bottom w:val="single" w:sz="4" w:space="0" w:color="auto"/>
              <w:right w:val="single" w:sz="4" w:space="0" w:color="auto"/>
            </w:tcBorders>
            <w:shd w:val="clear" w:color="auto" w:fill="auto"/>
            <w:noWrap/>
            <w:vAlign w:val="center"/>
            <w:hideMark/>
          </w:tcPr>
          <w:p w14:paraId="31B57FCD"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reporting</w:t>
            </w:r>
          </w:p>
        </w:tc>
        <w:tc>
          <w:tcPr>
            <w:tcW w:w="2760" w:type="dxa"/>
            <w:tcBorders>
              <w:top w:val="nil"/>
              <w:left w:val="nil"/>
              <w:bottom w:val="single" w:sz="4" w:space="0" w:color="auto"/>
              <w:right w:val="single" w:sz="4" w:space="0" w:color="auto"/>
            </w:tcBorders>
            <w:shd w:val="clear" w:color="auto" w:fill="auto"/>
            <w:noWrap/>
            <w:vAlign w:val="center"/>
            <w:hideMark/>
          </w:tcPr>
          <w:p w14:paraId="1AF49CBD"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single fixed approach</w:t>
            </w:r>
          </w:p>
        </w:tc>
        <w:tc>
          <w:tcPr>
            <w:tcW w:w="1420" w:type="dxa"/>
            <w:tcBorders>
              <w:top w:val="nil"/>
              <w:left w:val="nil"/>
              <w:bottom w:val="single" w:sz="4" w:space="0" w:color="auto"/>
              <w:right w:val="single" w:sz="4" w:space="0" w:color="auto"/>
            </w:tcBorders>
            <w:shd w:val="clear" w:color="auto" w:fill="auto"/>
            <w:noWrap/>
            <w:vAlign w:val="center"/>
            <w:hideMark/>
          </w:tcPr>
          <w:p w14:paraId="352DBA27"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BOM</w:t>
            </w:r>
            <w:r w:rsidRPr="008272DB">
              <w:rPr>
                <w:rFonts w:eastAsia="Times New Roman" w:cs="Times New Roman"/>
                <w:color w:val="000000"/>
                <w:szCs w:val="20"/>
                <w:vertAlign w:val="superscript"/>
                <w:lang w:eastAsia="de-DE"/>
              </w:rPr>
              <w:t>1</w:t>
            </w:r>
            <w:r w:rsidRPr="008272DB">
              <w:rPr>
                <w:rFonts w:eastAsia="Times New Roman" w:cs="Times New Roman"/>
                <w:color w:val="000000"/>
                <w:szCs w:val="20"/>
                <w:lang w:eastAsia="de-DE"/>
              </w:rPr>
              <w:t xml:space="preserve"> &amp; MDS</w:t>
            </w:r>
            <w:r w:rsidRPr="008272DB">
              <w:rPr>
                <w:rFonts w:eastAsia="Times New Roman" w:cs="Times New Roman"/>
                <w:color w:val="000000"/>
                <w:szCs w:val="20"/>
                <w:vertAlign w:val="superscript"/>
                <w:lang w:eastAsia="de-DE"/>
              </w:rPr>
              <w:t>2</w:t>
            </w:r>
          </w:p>
        </w:tc>
        <w:tc>
          <w:tcPr>
            <w:tcW w:w="1980" w:type="dxa"/>
            <w:tcBorders>
              <w:top w:val="nil"/>
              <w:left w:val="nil"/>
              <w:bottom w:val="single" w:sz="4" w:space="0" w:color="auto"/>
              <w:right w:val="single" w:sz="4" w:space="0" w:color="auto"/>
            </w:tcBorders>
            <w:shd w:val="clear" w:color="auto" w:fill="auto"/>
            <w:noWrap/>
            <w:vAlign w:val="center"/>
            <w:hideMark/>
          </w:tcPr>
          <w:p w14:paraId="364B4C8D"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partly specific</w:t>
            </w:r>
          </w:p>
        </w:tc>
      </w:tr>
      <w:tr w:rsidR="00C9130C" w:rsidRPr="008272DB" w14:paraId="3FE4DF42" w14:textId="77777777" w:rsidTr="003E56B0">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AFB93FA" w14:textId="77777777" w:rsidR="00C9130C" w:rsidRPr="008272DB" w:rsidRDefault="00C9130C" w:rsidP="003E56B0">
            <w:pPr>
              <w:spacing w:after="0"/>
              <w:rPr>
                <w:rFonts w:eastAsia="Times New Roman" w:cs="Times New Roman"/>
                <w:b/>
                <w:bCs/>
                <w:color w:val="000000"/>
                <w:szCs w:val="20"/>
                <w:lang w:eastAsia="de-DE"/>
              </w:rPr>
            </w:pPr>
            <w:r w:rsidRPr="008272DB">
              <w:rPr>
                <w:rFonts w:eastAsia="Times New Roman" w:cs="Times New Roman"/>
                <w:b/>
                <w:bCs/>
                <w:color w:val="000000"/>
                <w:szCs w:val="20"/>
                <w:lang w:eastAsia="de-DE"/>
              </w:rPr>
              <w:t>Level 4</w:t>
            </w:r>
          </w:p>
        </w:tc>
        <w:tc>
          <w:tcPr>
            <w:tcW w:w="1200" w:type="dxa"/>
            <w:tcBorders>
              <w:top w:val="nil"/>
              <w:left w:val="nil"/>
              <w:bottom w:val="single" w:sz="4" w:space="0" w:color="auto"/>
              <w:right w:val="single" w:sz="4" w:space="0" w:color="auto"/>
            </w:tcBorders>
            <w:shd w:val="clear" w:color="auto" w:fill="auto"/>
            <w:noWrap/>
            <w:vAlign w:val="center"/>
            <w:hideMark/>
          </w:tcPr>
          <w:p w14:paraId="5068D6C2"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reporting</w:t>
            </w:r>
          </w:p>
        </w:tc>
        <w:tc>
          <w:tcPr>
            <w:tcW w:w="2760" w:type="dxa"/>
            <w:tcBorders>
              <w:top w:val="nil"/>
              <w:left w:val="nil"/>
              <w:bottom w:val="single" w:sz="4" w:space="0" w:color="auto"/>
              <w:right w:val="single" w:sz="4" w:space="0" w:color="auto"/>
            </w:tcBorders>
            <w:shd w:val="clear" w:color="auto" w:fill="auto"/>
            <w:noWrap/>
            <w:vAlign w:val="center"/>
            <w:hideMark/>
          </w:tcPr>
          <w:p w14:paraId="6103A179"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single fixed approach</w:t>
            </w:r>
          </w:p>
        </w:tc>
        <w:tc>
          <w:tcPr>
            <w:tcW w:w="1420" w:type="dxa"/>
            <w:tcBorders>
              <w:top w:val="nil"/>
              <w:left w:val="nil"/>
              <w:bottom w:val="single" w:sz="4" w:space="0" w:color="auto"/>
              <w:right w:val="single" w:sz="4" w:space="0" w:color="auto"/>
            </w:tcBorders>
            <w:shd w:val="clear" w:color="auto" w:fill="auto"/>
            <w:noWrap/>
            <w:vAlign w:val="center"/>
            <w:hideMark/>
          </w:tcPr>
          <w:p w14:paraId="6356865B"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BOM</w:t>
            </w:r>
            <w:r w:rsidRPr="008272DB">
              <w:rPr>
                <w:rFonts w:eastAsia="Times New Roman" w:cs="Times New Roman"/>
                <w:color w:val="000000"/>
                <w:szCs w:val="20"/>
                <w:vertAlign w:val="superscript"/>
                <w:lang w:eastAsia="de-DE"/>
              </w:rPr>
              <w:t>1</w:t>
            </w:r>
            <w:r w:rsidRPr="008272DB">
              <w:rPr>
                <w:rFonts w:eastAsia="Times New Roman" w:cs="Times New Roman"/>
                <w:color w:val="000000"/>
                <w:szCs w:val="20"/>
                <w:lang w:eastAsia="de-DE"/>
              </w:rPr>
              <w:t xml:space="preserve"> &amp; MDS</w:t>
            </w:r>
            <w:r w:rsidRPr="008272DB">
              <w:rPr>
                <w:rFonts w:eastAsia="Times New Roman" w:cs="Times New Roman"/>
                <w:color w:val="000000"/>
                <w:szCs w:val="20"/>
                <w:vertAlign w:val="superscript"/>
                <w:lang w:eastAsia="de-DE"/>
              </w:rPr>
              <w:t>2</w:t>
            </w:r>
          </w:p>
        </w:tc>
        <w:tc>
          <w:tcPr>
            <w:tcW w:w="1980" w:type="dxa"/>
            <w:tcBorders>
              <w:top w:val="nil"/>
              <w:left w:val="nil"/>
              <w:bottom w:val="single" w:sz="4" w:space="0" w:color="auto"/>
              <w:right w:val="single" w:sz="4" w:space="0" w:color="auto"/>
            </w:tcBorders>
            <w:shd w:val="clear" w:color="auto" w:fill="auto"/>
            <w:noWrap/>
            <w:vAlign w:val="center"/>
            <w:hideMark/>
          </w:tcPr>
          <w:p w14:paraId="096D4460" w14:textId="77777777" w:rsidR="00C9130C" w:rsidRPr="008272DB" w:rsidRDefault="00C9130C" w:rsidP="003E56B0">
            <w:pPr>
              <w:spacing w:after="0"/>
              <w:jc w:val="center"/>
              <w:rPr>
                <w:rFonts w:eastAsia="Times New Roman" w:cs="Times New Roman"/>
                <w:color w:val="000000"/>
                <w:szCs w:val="20"/>
                <w:lang w:eastAsia="de-DE"/>
              </w:rPr>
            </w:pPr>
            <w:r w:rsidRPr="008272DB">
              <w:rPr>
                <w:rFonts w:eastAsia="Times New Roman" w:cs="Times New Roman"/>
                <w:color w:val="000000"/>
                <w:szCs w:val="20"/>
                <w:lang w:eastAsia="de-DE"/>
              </w:rPr>
              <w:t>mainly specific</w:t>
            </w:r>
          </w:p>
        </w:tc>
      </w:tr>
      <w:tr w:rsidR="00C9130C" w:rsidRPr="008272DB" w14:paraId="49F915F2" w14:textId="77777777" w:rsidTr="003E56B0">
        <w:trPr>
          <w:trHeight w:val="109"/>
        </w:trPr>
        <w:tc>
          <w:tcPr>
            <w:tcW w:w="1200" w:type="dxa"/>
            <w:tcBorders>
              <w:top w:val="nil"/>
              <w:left w:val="nil"/>
              <w:bottom w:val="nil"/>
              <w:right w:val="nil"/>
            </w:tcBorders>
            <w:shd w:val="clear" w:color="auto" w:fill="auto"/>
            <w:noWrap/>
            <w:vAlign w:val="bottom"/>
            <w:hideMark/>
          </w:tcPr>
          <w:p w14:paraId="4A55AC49" w14:textId="77777777" w:rsidR="00C9130C" w:rsidRPr="008272DB" w:rsidRDefault="00C9130C" w:rsidP="003E56B0">
            <w:pPr>
              <w:spacing w:after="0"/>
              <w:jc w:val="center"/>
              <w:rPr>
                <w:rFonts w:eastAsia="Times New Roman" w:cs="Times New Roman"/>
                <w:color w:val="000000"/>
                <w:szCs w:val="20"/>
                <w:lang w:eastAsia="de-DE"/>
              </w:rPr>
            </w:pPr>
          </w:p>
        </w:tc>
        <w:tc>
          <w:tcPr>
            <w:tcW w:w="1200" w:type="dxa"/>
            <w:tcBorders>
              <w:top w:val="nil"/>
              <w:left w:val="nil"/>
              <w:bottom w:val="nil"/>
              <w:right w:val="nil"/>
            </w:tcBorders>
            <w:shd w:val="clear" w:color="auto" w:fill="auto"/>
            <w:noWrap/>
            <w:vAlign w:val="center"/>
            <w:hideMark/>
          </w:tcPr>
          <w:p w14:paraId="53BF4708" w14:textId="77777777" w:rsidR="00C9130C" w:rsidRPr="008272DB" w:rsidRDefault="00C9130C" w:rsidP="003E56B0">
            <w:pPr>
              <w:spacing w:after="0"/>
              <w:rPr>
                <w:rFonts w:eastAsia="Times New Roman" w:cs="Times New Roman"/>
                <w:szCs w:val="20"/>
                <w:lang w:eastAsia="de-DE"/>
              </w:rPr>
            </w:pPr>
          </w:p>
        </w:tc>
        <w:tc>
          <w:tcPr>
            <w:tcW w:w="2760" w:type="dxa"/>
            <w:tcBorders>
              <w:top w:val="nil"/>
              <w:left w:val="nil"/>
              <w:bottom w:val="nil"/>
              <w:right w:val="nil"/>
            </w:tcBorders>
            <w:shd w:val="clear" w:color="auto" w:fill="auto"/>
            <w:noWrap/>
            <w:vAlign w:val="center"/>
            <w:hideMark/>
          </w:tcPr>
          <w:p w14:paraId="6C14E7ED" w14:textId="77777777" w:rsidR="00C9130C" w:rsidRPr="008272DB" w:rsidRDefault="00C9130C" w:rsidP="003E56B0">
            <w:pPr>
              <w:spacing w:after="0"/>
              <w:jc w:val="center"/>
              <w:rPr>
                <w:rFonts w:eastAsia="Times New Roman" w:cs="Times New Roman"/>
                <w:szCs w:val="20"/>
                <w:lang w:eastAsia="de-DE"/>
              </w:rPr>
            </w:pPr>
          </w:p>
        </w:tc>
        <w:tc>
          <w:tcPr>
            <w:tcW w:w="1420" w:type="dxa"/>
            <w:tcBorders>
              <w:top w:val="nil"/>
              <w:left w:val="nil"/>
              <w:bottom w:val="nil"/>
              <w:right w:val="nil"/>
            </w:tcBorders>
            <w:shd w:val="clear" w:color="auto" w:fill="auto"/>
            <w:noWrap/>
            <w:vAlign w:val="center"/>
            <w:hideMark/>
          </w:tcPr>
          <w:p w14:paraId="7912701F" w14:textId="77777777" w:rsidR="00C9130C" w:rsidRPr="008272DB" w:rsidRDefault="00C9130C" w:rsidP="003E56B0">
            <w:pPr>
              <w:spacing w:after="0"/>
              <w:jc w:val="center"/>
              <w:rPr>
                <w:rFonts w:eastAsia="Times New Roman" w:cs="Times New Roman"/>
                <w:szCs w:val="20"/>
                <w:lang w:eastAsia="de-DE"/>
              </w:rPr>
            </w:pPr>
          </w:p>
        </w:tc>
        <w:tc>
          <w:tcPr>
            <w:tcW w:w="1980" w:type="dxa"/>
            <w:tcBorders>
              <w:top w:val="nil"/>
              <w:left w:val="nil"/>
              <w:bottom w:val="nil"/>
              <w:right w:val="nil"/>
            </w:tcBorders>
            <w:shd w:val="clear" w:color="auto" w:fill="auto"/>
            <w:noWrap/>
            <w:vAlign w:val="center"/>
            <w:hideMark/>
          </w:tcPr>
          <w:p w14:paraId="53644D5F" w14:textId="77777777" w:rsidR="00C9130C" w:rsidRPr="008272DB" w:rsidRDefault="00C9130C" w:rsidP="003E56B0">
            <w:pPr>
              <w:spacing w:after="0"/>
              <w:jc w:val="center"/>
              <w:rPr>
                <w:rFonts w:eastAsia="Times New Roman" w:cs="Times New Roman"/>
                <w:szCs w:val="20"/>
                <w:lang w:eastAsia="de-DE"/>
              </w:rPr>
            </w:pPr>
          </w:p>
        </w:tc>
      </w:tr>
      <w:tr w:rsidR="00C9130C" w:rsidRPr="008272DB" w14:paraId="0963F585" w14:textId="77777777" w:rsidTr="003E56B0">
        <w:trPr>
          <w:trHeight w:val="290"/>
        </w:trPr>
        <w:tc>
          <w:tcPr>
            <w:tcW w:w="5160" w:type="dxa"/>
            <w:gridSpan w:val="3"/>
            <w:tcBorders>
              <w:top w:val="nil"/>
              <w:left w:val="nil"/>
              <w:bottom w:val="nil"/>
              <w:right w:val="nil"/>
            </w:tcBorders>
            <w:shd w:val="clear" w:color="auto" w:fill="auto"/>
            <w:noWrap/>
            <w:vAlign w:val="bottom"/>
            <w:hideMark/>
          </w:tcPr>
          <w:p w14:paraId="73CBB5FC" w14:textId="77777777" w:rsidR="00C9130C" w:rsidRPr="008272DB" w:rsidRDefault="00C9130C" w:rsidP="003E56B0">
            <w:pPr>
              <w:spacing w:after="0"/>
              <w:rPr>
                <w:rFonts w:eastAsia="Times New Roman" w:cs="Times New Roman"/>
                <w:color w:val="000000"/>
                <w:szCs w:val="20"/>
                <w:lang w:eastAsia="de-DE"/>
              </w:rPr>
            </w:pPr>
            <w:r w:rsidRPr="008272DB">
              <w:rPr>
                <w:rFonts w:eastAsia="Times New Roman" w:cs="Times New Roman"/>
                <w:color w:val="000000"/>
                <w:szCs w:val="20"/>
                <w:vertAlign w:val="superscript"/>
                <w:lang w:eastAsia="de-DE"/>
              </w:rPr>
              <w:t>1</w:t>
            </w:r>
            <w:r w:rsidRPr="008272DB">
              <w:rPr>
                <w:rFonts w:eastAsia="Times New Roman" w:cs="Times New Roman"/>
                <w:color w:val="000000"/>
                <w:szCs w:val="20"/>
                <w:lang w:eastAsia="de-DE"/>
              </w:rPr>
              <w:t xml:space="preserve">BOM bill of material, </w:t>
            </w:r>
            <w:r w:rsidRPr="008272DB">
              <w:rPr>
                <w:rFonts w:eastAsia="Times New Roman" w:cs="Times New Roman"/>
                <w:color w:val="000000"/>
                <w:szCs w:val="20"/>
                <w:vertAlign w:val="superscript"/>
                <w:lang w:eastAsia="de-DE"/>
              </w:rPr>
              <w:t>2</w:t>
            </w:r>
            <w:r w:rsidRPr="008272DB">
              <w:rPr>
                <w:rFonts w:eastAsia="Times New Roman" w:cs="Times New Roman"/>
                <w:color w:val="000000"/>
                <w:szCs w:val="20"/>
                <w:lang w:eastAsia="de-DE"/>
              </w:rPr>
              <w:t>MDS material data system</w:t>
            </w:r>
          </w:p>
        </w:tc>
        <w:tc>
          <w:tcPr>
            <w:tcW w:w="1420" w:type="dxa"/>
            <w:tcBorders>
              <w:top w:val="nil"/>
              <w:left w:val="nil"/>
              <w:bottom w:val="nil"/>
              <w:right w:val="nil"/>
            </w:tcBorders>
            <w:shd w:val="clear" w:color="auto" w:fill="auto"/>
            <w:noWrap/>
            <w:vAlign w:val="center"/>
            <w:hideMark/>
          </w:tcPr>
          <w:p w14:paraId="691172EA" w14:textId="77777777" w:rsidR="00C9130C" w:rsidRPr="008272DB" w:rsidRDefault="00C9130C" w:rsidP="003E56B0">
            <w:pPr>
              <w:spacing w:after="0"/>
              <w:rPr>
                <w:rFonts w:eastAsia="Times New Roman" w:cs="Times New Roman"/>
                <w:color w:val="000000"/>
                <w:szCs w:val="20"/>
                <w:lang w:eastAsia="de-DE"/>
              </w:rPr>
            </w:pPr>
          </w:p>
        </w:tc>
        <w:tc>
          <w:tcPr>
            <w:tcW w:w="1980" w:type="dxa"/>
            <w:tcBorders>
              <w:top w:val="nil"/>
              <w:left w:val="nil"/>
              <w:bottom w:val="nil"/>
              <w:right w:val="nil"/>
            </w:tcBorders>
            <w:shd w:val="clear" w:color="auto" w:fill="auto"/>
            <w:noWrap/>
            <w:vAlign w:val="center"/>
            <w:hideMark/>
          </w:tcPr>
          <w:p w14:paraId="5D726A46" w14:textId="77777777" w:rsidR="00C9130C" w:rsidRPr="008272DB" w:rsidRDefault="00C9130C" w:rsidP="003E56B0">
            <w:pPr>
              <w:spacing w:after="0"/>
              <w:jc w:val="center"/>
              <w:rPr>
                <w:rFonts w:eastAsia="Times New Roman" w:cs="Times New Roman"/>
                <w:szCs w:val="20"/>
                <w:lang w:eastAsia="de-DE"/>
              </w:rPr>
            </w:pPr>
          </w:p>
        </w:tc>
      </w:tr>
    </w:tbl>
    <w:p w14:paraId="57219359" w14:textId="77777777" w:rsidR="008272DB" w:rsidRDefault="008272DB" w:rsidP="00C9130C">
      <w:pPr>
        <w:rPr>
          <w:szCs w:val="20"/>
        </w:rPr>
      </w:pPr>
    </w:p>
    <w:p w14:paraId="45CF05D4" w14:textId="1D761C1F" w:rsidR="00C9130C" w:rsidRPr="008272DB" w:rsidRDefault="00C9130C" w:rsidP="00C9130C">
      <w:pPr>
        <w:rPr>
          <w:szCs w:val="20"/>
        </w:rPr>
      </w:pPr>
      <w:r w:rsidRPr="008272DB">
        <w:rPr>
          <w:szCs w:val="20"/>
        </w:rPr>
        <w:t>The vehicle representing a big population of vehicles in Level 1 are very often no real but virtually defined vehicles. Consequently, no primary data exists, and only secondary data can be used to model e.g. supply chain emissions. On the other hand, Level 4 profits from more and more use of primary data representing the real / company specific supply chains.</w:t>
      </w:r>
    </w:p>
    <w:p w14:paraId="321F7E64" w14:textId="77777777" w:rsidR="00C9130C" w:rsidRPr="008272DB" w:rsidRDefault="00C9130C" w:rsidP="00C9130C">
      <w:pPr>
        <w:rPr>
          <w:szCs w:val="20"/>
        </w:rPr>
      </w:pPr>
      <w:r w:rsidRPr="008272DB">
        <w:rPr>
          <w:szCs w:val="20"/>
        </w:rPr>
        <w:lastRenderedPageBreak/>
        <w:t>So far there is the general observation, the more granular/detailed a system model for a LCA is, the higher the identified emissions are. Unless there is an abundance of LCA data to derive highly representative and high-quality secondary data, situation will stay like that. It is crucial to understand that the magnitude of emissions is only comparable between studies on the same level. Vehicle LCAs with different level choice may not be compared on a quantitative basis.</w:t>
      </w:r>
    </w:p>
    <w:p w14:paraId="7D409D23" w14:textId="77777777" w:rsidR="00C9130C" w:rsidRPr="008272DB" w:rsidRDefault="00C9130C" w:rsidP="00C9130C">
      <w:pPr>
        <w:rPr>
          <w:szCs w:val="20"/>
        </w:rPr>
      </w:pPr>
      <w:r w:rsidRPr="008272DB">
        <w:rPr>
          <w:szCs w:val="20"/>
        </w:rPr>
        <w:t>This does not imply any rating on the quality of studies. A Level1LCA is not necessarily of lower quality than a Level 4 study. Both serve different purposes / use cases (strategy focused or reporting focused) and therefore have different underlying “models of reality”.</w:t>
      </w:r>
    </w:p>
    <w:p w14:paraId="2FD41433" w14:textId="77777777" w:rsidR="00C9130C" w:rsidRDefault="00C9130C" w:rsidP="00C9130C">
      <w:pPr>
        <w:keepNext/>
      </w:pPr>
      <w:r>
        <w:rPr>
          <w:noProof/>
        </w:rPr>
        <w:drawing>
          <wp:inline distT="0" distB="0" distL="0" distR="0" wp14:anchorId="084EE469" wp14:editId="559D4904">
            <wp:extent cx="4218762" cy="2372995"/>
            <wp:effectExtent l="0" t="0" r="0" b="8255"/>
            <wp:docPr id="58673175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731759"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4225449" cy="2376756"/>
                    </a:xfrm>
                    <a:prstGeom prst="rect">
                      <a:avLst/>
                    </a:prstGeom>
                  </pic:spPr>
                </pic:pic>
              </a:graphicData>
            </a:graphic>
          </wp:inline>
        </w:drawing>
      </w:r>
    </w:p>
    <w:p w14:paraId="7617C0DD" w14:textId="55836597" w:rsidR="00C9130C" w:rsidRPr="008272DB" w:rsidRDefault="008272DB" w:rsidP="008272DB">
      <w:pPr>
        <w:pStyle w:val="Caption"/>
        <w:rPr>
          <w:rFonts w:asciiTheme="majorHAnsi" w:hAnsiTheme="majorHAnsi"/>
        </w:rPr>
      </w:pPr>
      <w:bookmarkStart w:id="32" w:name="_Toc178673562"/>
      <w:r>
        <w:t xml:space="preserve">Figure </w:t>
      </w:r>
      <w:r>
        <w:fldChar w:fldCharType="begin"/>
      </w:r>
      <w:r>
        <w:instrText xml:space="preserve"> SEQ Figure \* ARABIC </w:instrText>
      </w:r>
      <w:r>
        <w:fldChar w:fldCharType="separate"/>
      </w:r>
      <w:r>
        <w:rPr>
          <w:noProof/>
        </w:rPr>
        <w:t>4</w:t>
      </w:r>
      <w:r>
        <w:fldChar w:fldCharType="end"/>
      </w:r>
      <w:r w:rsidRPr="009768AF">
        <w:t>: Examples of high quality LCAs in different levels</w:t>
      </w:r>
      <w:bookmarkEnd w:id="32"/>
    </w:p>
    <w:p w14:paraId="33558FCB" w14:textId="77777777" w:rsidR="00C9130C" w:rsidRPr="00C9130C" w:rsidRDefault="00C9130C" w:rsidP="00C9130C"/>
    <w:p w14:paraId="7AB4B9B5" w14:textId="23EC6B88" w:rsidR="00E85A78" w:rsidRDefault="00E85A78">
      <w:pPr>
        <w:pStyle w:val="Heading3"/>
      </w:pPr>
      <w:bookmarkStart w:id="33" w:name="_Toc178672665"/>
      <w:r>
        <w:t>Definition of Product Category</w:t>
      </w:r>
      <w:bookmarkEnd w:id="33"/>
    </w:p>
    <w:p w14:paraId="593B0BC1" w14:textId="1C77B294" w:rsidR="61EC07D3" w:rsidRPr="00F64E03" w:rsidRDefault="00506C12" w:rsidP="55D15248">
      <w:pPr>
        <w:rPr>
          <w:color w:val="859721" w:themeColor="accent2" w:themeShade="BF"/>
          <w:highlight w:val="yellow"/>
        </w:rPr>
      </w:pPr>
      <w:r w:rsidRPr="00F64E03">
        <w:rPr>
          <w:color w:val="859721" w:themeColor="accent2" w:themeShade="BF"/>
        </w:rPr>
        <w:t>Category 1-1 vehicles (light duty passenger cars)</w:t>
      </w:r>
    </w:p>
    <w:p w14:paraId="3BC722A5" w14:textId="1E066298" w:rsidR="00E85A78" w:rsidRPr="00E85A78" w:rsidRDefault="00E85A78" w:rsidP="00E85A78">
      <w:pPr>
        <w:pStyle w:val="Heading3"/>
      </w:pPr>
      <w:bookmarkStart w:id="34" w:name="_Ref173411185"/>
      <w:bookmarkStart w:id="35" w:name="_Toc178672666"/>
      <w:r>
        <w:t>Functional Unit</w:t>
      </w:r>
      <w:bookmarkEnd w:id="34"/>
      <w:bookmarkEnd w:id="35"/>
    </w:p>
    <w:p w14:paraId="00C78A38" w14:textId="48753F25" w:rsidR="16A564D9" w:rsidRPr="00370697" w:rsidRDefault="16A564D9" w:rsidP="55D15248">
      <w:pPr>
        <w:rPr>
          <w:rFonts w:asciiTheme="majorHAnsi" w:hAnsiTheme="majorHAnsi"/>
        </w:rPr>
      </w:pPr>
      <w:r w:rsidRPr="00370697">
        <w:rPr>
          <w:rFonts w:asciiTheme="majorHAnsi" w:hAnsiTheme="majorHAnsi"/>
        </w:rPr>
        <w:t xml:space="preserve">The functional unit of an automotive vehicle life cycle assessment </w:t>
      </w:r>
      <w:r w:rsidR="007F6976">
        <w:rPr>
          <w:rFonts w:asciiTheme="majorHAnsi" w:hAnsiTheme="majorHAnsi"/>
        </w:rPr>
        <w:t>is</w:t>
      </w:r>
      <w:r w:rsidR="0207ED13" w:rsidRPr="00370697">
        <w:rPr>
          <w:rFonts w:asciiTheme="majorHAnsi" w:hAnsiTheme="majorHAnsi"/>
        </w:rPr>
        <w:t xml:space="preserve"> defined on </w:t>
      </w:r>
      <w:r w:rsidR="007F6976">
        <w:rPr>
          <w:rFonts w:asciiTheme="majorHAnsi" w:hAnsiTheme="majorHAnsi"/>
        </w:rPr>
        <w:t xml:space="preserve">final </w:t>
      </w:r>
      <w:r w:rsidR="0207ED13" w:rsidRPr="00370697">
        <w:rPr>
          <w:rFonts w:asciiTheme="majorHAnsi" w:hAnsiTheme="majorHAnsi"/>
        </w:rPr>
        <w:t>vehicle level (product sold</w:t>
      </w:r>
      <w:r w:rsidR="52A3E00C" w:rsidRPr="00370697">
        <w:rPr>
          <w:rFonts w:asciiTheme="majorHAnsi" w:hAnsiTheme="majorHAnsi"/>
        </w:rPr>
        <w:t xml:space="preserve"> with intent use</w:t>
      </w:r>
      <w:r w:rsidR="7DBA8539" w:rsidRPr="00370697">
        <w:rPr>
          <w:rFonts w:asciiTheme="majorHAnsi" w:hAnsiTheme="majorHAnsi"/>
        </w:rPr>
        <w:t xml:space="preserve"> transport</w:t>
      </w:r>
      <w:r w:rsidR="52A3E00C" w:rsidRPr="00370697">
        <w:rPr>
          <w:rFonts w:asciiTheme="majorHAnsi" w:hAnsiTheme="majorHAnsi"/>
        </w:rPr>
        <w:t>).</w:t>
      </w:r>
    </w:p>
    <w:p w14:paraId="291490BD" w14:textId="36F483A0" w:rsidR="00E85A78" w:rsidRDefault="00E85A78">
      <w:pPr>
        <w:pStyle w:val="Heading3"/>
      </w:pPr>
      <w:bookmarkStart w:id="36" w:name="_Toc178672667"/>
      <w:r>
        <w:t>System Boundaries</w:t>
      </w:r>
      <w:bookmarkEnd w:id="36"/>
    </w:p>
    <w:p w14:paraId="6463AC32" w14:textId="756D5D78" w:rsidR="005600AE" w:rsidRPr="006D7C62" w:rsidRDefault="005600AE" w:rsidP="55D15248">
      <w:pPr>
        <w:rPr>
          <w:rFonts w:asciiTheme="majorHAnsi" w:hAnsiTheme="majorHAnsi"/>
        </w:rPr>
      </w:pPr>
      <w:r w:rsidRPr="55D15248">
        <w:rPr>
          <w:rFonts w:asciiTheme="majorHAnsi" w:hAnsiTheme="majorHAnsi"/>
        </w:rPr>
        <w:t xml:space="preserve">In general, the life cycle of a </w:t>
      </w:r>
      <w:r w:rsidR="7444B729" w:rsidRPr="00370697">
        <w:rPr>
          <w:rFonts w:asciiTheme="majorHAnsi" w:hAnsiTheme="majorHAnsi"/>
        </w:rPr>
        <w:t>vehicle</w:t>
      </w:r>
      <w:r w:rsidRPr="00370697">
        <w:rPr>
          <w:rFonts w:asciiTheme="majorHAnsi" w:hAnsiTheme="majorHAnsi"/>
        </w:rPr>
        <w:t xml:space="preserve"> comprises f</w:t>
      </w:r>
      <w:r w:rsidR="63F3A772" w:rsidRPr="00370697">
        <w:rPr>
          <w:rFonts w:asciiTheme="majorHAnsi" w:hAnsiTheme="majorHAnsi"/>
        </w:rPr>
        <w:t>ollowing life cycle</w:t>
      </w:r>
      <w:r w:rsidRPr="00370697">
        <w:rPr>
          <w:rFonts w:asciiTheme="majorHAnsi" w:hAnsiTheme="majorHAnsi"/>
        </w:rPr>
        <w:t xml:space="preserve"> stages: (1) resource extraction, raw material sourcing, (2) production</w:t>
      </w:r>
      <w:r w:rsidR="644EA5A6" w:rsidRPr="00370697">
        <w:rPr>
          <w:rFonts w:asciiTheme="majorHAnsi" w:hAnsiTheme="majorHAnsi"/>
        </w:rPr>
        <w:t xml:space="preserve"> of materials</w:t>
      </w:r>
      <w:r w:rsidR="1A000C00" w:rsidRPr="00370697">
        <w:rPr>
          <w:rFonts w:asciiTheme="majorHAnsi" w:hAnsiTheme="majorHAnsi"/>
        </w:rPr>
        <w:t xml:space="preserve"> &amp;</w:t>
      </w:r>
      <w:r w:rsidR="7071F4A3" w:rsidRPr="00370697">
        <w:rPr>
          <w:rFonts w:asciiTheme="majorHAnsi" w:hAnsiTheme="majorHAnsi"/>
        </w:rPr>
        <w:t xml:space="preserve"> parts </w:t>
      </w:r>
      <w:r w:rsidR="6554388A" w:rsidRPr="00370697">
        <w:rPr>
          <w:rFonts w:asciiTheme="majorHAnsi" w:hAnsiTheme="majorHAnsi"/>
        </w:rPr>
        <w:t xml:space="preserve">(3) </w:t>
      </w:r>
      <w:r w:rsidR="00370697">
        <w:rPr>
          <w:rFonts w:asciiTheme="majorHAnsi" w:hAnsiTheme="majorHAnsi"/>
        </w:rPr>
        <w:t>production</w:t>
      </w:r>
      <w:r w:rsidR="6554388A" w:rsidRPr="00370697">
        <w:rPr>
          <w:rFonts w:asciiTheme="majorHAnsi" w:hAnsiTheme="majorHAnsi"/>
        </w:rPr>
        <w:t xml:space="preserve"> (bodyshop, paint and general assembly) of</w:t>
      </w:r>
      <w:r w:rsidR="7071F4A3" w:rsidRPr="00370697">
        <w:rPr>
          <w:rFonts w:asciiTheme="majorHAnsi" w:hAnsiTheme="majorHAnsi"/>
        </w:rPr>
        <w:t xml:space="preserve"> </w:t>
      </w:r>
      <w:r w:rsidR="60F6C706" w:rsidRPr="00370697">
        <w:rPr>
          <w:rFonts w:asciiTheme="majorHAnsi" w:hAnsiTheme="majorHAnsi"/>
        </w:rPr>
        <w:t xml:space="preserve">complete </w:t>
      </w:r>
      <w:r w:rsidR="7071F4A3" w:rsidRPr="00370697">
        <w:rPr>
          <w:rFonts w:asciiTheme="majorHAnsi" w:hAnsiTheme="majorHAnsi"/>
        </w:rPr>
        <w:t>vehicle</w:t>
      </w:r>
      <w:r w:rsidRPr="00370697">
        <w:rPr>
          <w:rFonts w:asciiTheme="majorHAnsi" w:hAnsiTheme="majorHAnsi"/>
        </w:rPr>
        <w:t xml:space="preserve"> (</w:t>
      </w:r>
      <w:r w:rsidR="6D591909" w:rsidRPr="00370697">
        <w:rPr>
          <w:rFonts w:asciiTheme="majorHAnsi" w:hAnsiTheme="majorHAnsi"/>
        </w:rPr>
        <w:t>4</w:t>
      </w:r>
      <w:r w:rsidRPr="00370697">
        <w:rPr>
          <w:rFonts w:asciiTheme="majorHAnsi" w:hAnsiTheme="majorHAnsi"/>
        </w:rPr>
        <w:t xml:space="preserve">) </w:t>
      </w:r>
      <w:r w:rsidR="2DB7ABEA" w:rsidRPr="00370697">
        <w:rPr>
          <w:rFonts w:asciiTheme="majorHAnsi" w:hAnsiTheme="majorHAnsi"/>
        </w:rPr>
        <w:t>logistics</w:t>
      </w:r>
      <w:r w:rsidR="47F57FC2" w:rsidRPr="00370697">
        <w:rPr>
          <w:rFonts w:asciiTheme="majorHAnsi" w:hAnsiTheme="majorHAnsi"/>
        </w:rPr>
        <w:t xml:space="preserve"> and</w:t>
      </w:r>
      <w:r w:rsidR="2DB7ABEA" w:rsidRPr="00370697">
        <w:rPr>
          <w:rFonts w:asciiTheme="majorHAnsi" w:hAnsiTheme="majorHAnsi"/>
        </w:rPr>
        <w:t xml:space="preserve"> </w:t>
      </w:r>
      <w:r w:rsidRPr="00370697">
        <w:rPr>
          <w:rFonts w:asciiTheme="majorHAnsi" w:hAnsiTheme="majorHAnsi"/>
        </w:rPr>
        <w:t>distribution (</w:t>
      </w:r>
      <w:r w:rsidR="525CD9EF" w:rsidRPr="00370697">
        <w:rPr>
          <w:rFonts w:asciiTheme="majorHAnsi" w:hAnsiTheme="majorHAnsi"/>
        </w:rPr>
        <w:t>5</w:t>
      </w:r>
      <w:r w:rsidRPr="00370697">
        <w:rPr>
          <w:rFonts w:asciiTheme="majorHAnsi" w:hAnsiTheme="majorHAnsi"/>
        </w:rPr>
        <w:t xml:space="preserve">) product use </w:t>
      </w:r>
      <w:r w:rsidR="3F77CBBB" w:rsidRPr="00370697">
        <w:rPr>
          <w:rFonts w:asciiTheme="majorHAnsi" w:hAnsiTheme="majorHAnsi"/>
        </w:rPr>
        <w:t xml:space="preserve">(including maintenance) </w:t>
      </w:r>
      <w:r w:rsidRPr="00370697">
        <w:rPr>
          <w:rFonts w:asciiTheme="majorHAnsi" w:hAnsiTheme="majorHAnsi"/>
        </w:rPr>
        <w:t>and (</w:t>
      </w:r>
      <w:r w:rsidR="31D2A9E9" w:rsidRPr="00370697">
        <w:rPr>
          <w:rFonts w:asciiTheme="majorHAnsi" w:hAnsiTheme="majorHAnsi"/>
        </w:rPr>
        <w:t>6</w:t>
      </w:r>
      <w:r w:rsidRPr="00370697">
        <w:rPr>
          <w:rFonts w:asciiTheme="majorHAnsi" w:hAnsiTheme="majorHAnsi"/>
        </w:rPr>
        <w:t>) end-of-life (</w:t>
      </w:r>
      <w:r w:rsidRPr="00370697">
        <w:rPr>
          <w:rFonts w:asciiTheme="majorHAnsi" w:hAnsiTheme="majorHAnsi"/>
        </w:rPr>
        <w:fldChar w:fldCharType="begin"/>
      </w:r>
      <w:r w:rsidRPr="00370697">
        <w:rPr>
          <w:rFonts w:asciiTheme="majorHAnsi" w:hAnsiTheme="majorHAnsi"/>
        </w:rPr>
        <w:instrText xml:space="preserve"> REF _Ref94534112 \h  \* MERGEFORMAT </w:instrText>
      </w:r>
      <w:r w:rsidRPr="00370697">
        <w:rPr>
          <w:rFonts w:asciiTheme="majorHAnsi" w:hAnsiTheme="majorHAnsi"/>
        </w:rPr>
      </w:r>
      <w:r w:rsidRPr="00370697">
        <w:rPr>
          <w:rFonts w:asciiTheme="majorHAnsi" w:hAnsiTheme="majorHAnsi"/>
        </w:rPr>
        <w:fldChar w:fldCharType="separate"/>
      </w:r>
      <w:r w:rsidRPr="00370697">
        <w:rPr>
          <w:rFonts w:asciiTheme="majorHAnsi" w:hAnsiTheme="majorHAnsi"/>
        </w:rPr>
        <w:t xml:space="preserve">Figure </w:t>
      </w:r>
      <w:r w:rsidRPr="00370697">
        <w:rPr>
          <w:rFonts w:asciiTheme="majorHAnsi" w:hAnsiTheme="majorHAnsi"/>
          <w:noProof/>
        </w:rPr>
        <w:t>2</w:t>
      </w:r>
      <w:r w:rsidRPr="00370697">
        <w:rPr>
          <w:rFonts w:asciiTheme="majorHAnsi" w:hAnsiTheme="majorHAnsi"/>
        </w:rPr>
        <w:fldChar w:fldCharType="end"/>
      </w:r>
      <w:r w:rsidRPr="00370697">
        <w:rPr>
          <w:rFonts w:asciiTheme="majorHAnsi" w:hAnsiTheme="majorHAnsi"/>
        </w:rPr>
        <w:t>).</w:t>
      </w:r>
      <w:r w:rsidRPr="55D15248">
        <w:rPr>
          <w:rFonts w:asciiTheme="majorHAnsi" w:hAnsiTheme="majorHAnsi"/>
        </w:rPr>
        <w:t xml:space="preserve"> </w:t>
      </w:r>
    </w:p>
    <w:p w14:paraId="50E0F625" w14:textId="3153404A" w:rsidR="005600AE" w:rsidRDefault="000E58F5" w:rsidP="005600AE">
      <w:r>
        <w:rPr>
          <w:noProof/>
        </w:rPr>
        <w:lastRenderedPageBreak/>
        <w:drawing>
          <wp:inline distT="0" distB="0" distL="0" distR="0" wp14:anchorId="226A88E7" wp14:editId="3E0F9C6E">
            <wp:extent cx="3393440" cy="2640528"/>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48962" cy="2683731"/>
                    </a:xfrm>
                    <a:prstGeom prst="rect">
                      <a:avLst/>
                    </a:prstGeom>
                    <a:noFill/>
                  </pic:spPr>
                </pic:pic>
              </a:graphicData>
            </a:graphic>
          </wp:inline>
        </w:drawing>
      </w:r>
    </w:p>
    <w:p w14:paraId="609EAB1B" w14:textId="36A50B5E" w:rsidR="005600AE" w:rsidRPr="00EB1550" w:rsidRDefault="005600AE" w:rsidP="55D15248">
      <w:pPr>
        <w:pStyle w:val="Caption"/>
        <w:rPr>
          <w:rFonts w:asciiTheme="majorHAnsi" w:hAnsiTheme="majorHAnsi"/>
        </w:rPr>
      </w:pPr>
      <w:bookmarkStart w:id="37" w:name="_Toc178673563"/>
      <w:r w:rsidRPr="55D15248">
        <w:rPr>
          <w:rFonts w:asciiTheme="majorHAnsi" w:hAnsiTheme="majorHAnsi"/>
        </w:rPr>
        <w:t xml:space="preserve">Figure </w:t>
      </w:r>
      <w:r w:rsidRPr="55D15248">
        <w:rPr>
          <w:rFonts w:asciiTheme="majorHAnsi" w:hAnsiTheme="majorHAnsi"/>
        </w:rPr>
        <w:fldChar w:fldCharType="begin"/>
      </w:r>
      <w:r w:rsidRPr="55D15248">
        <w:rPr>
          <w:rFonts w:asciiTheme="majorHAnsi" w:hAnsiTheme="majorHAnsi"/>
        </w:rPr>
        <w:instrText xml:space="preserve"> SEQ Figure \* ARABIC </w:instrText>
      </w:r>
      <w:r w:rsidRPr="55D15248">
        <w:rPr>
          <w:rFonts w:asciiTheme="majorHAnsi" w:hAnsiTheme="majorHAnsi"/>
        </w:rPr>
        <w:fldChar w:fldCharType="separate"/>
      </w:r>
      <w:r w:rsidR="008272DB">
        <w:rPr>
          <w:rFonts w:asciiTheme="majorHAnsi" w:hAnsiTheme="majorHAnsi"/>
          <w:noProof/>
        </w:rPr>
        <w:t>5</w:t>
      </w:r>
      <w:r w:rsidRPr="55D15248">
        <w:rPr>
          <w:rFonts w:asciiTheme="majorHAnsi" w:hAnsiTheme="majorHAnsi"/>
        </w:rPr>
        <w:fldChar w:fldCharType="end"/>
      </w:r>
      <w:r w:rsidRPr="55D15248">
        <w:rPr>
          <w:rFonts w:asciiTheme="majorHAnsi" w:hAnsiTheme="majorHAnsi"/>
        </w:rPr>
        <w:t>: System boundaries</w:t>
      </w:r>
      <w:bookmarkEnd w:id="37"/>
    </w:p>
    <w:p w14:paraId="1F97D674" w14:textId="042B663C" w:rsidR="00E85A78" w:rsidRDefault="00E85A78">
      <w:pPr>
        <w:pStyle w:val="Heading3"/>
      </w:pPr>
      <w:bookmarkStart w:id="38" w:name="_Toc178672668"/>
      <w:r>
        <w:t>Environmental Impact category</w:t>
      </w:r>
      <w:bookmarkEnd w:id="38"/>
    </w:p>
    <w:p w14:paraId="0021DA99" w14:textId="095957D7" w:rsidR="284EFB45" w:rsidRPr="00F64E03" w:rsidRDefault="284EFB45" w:rsidP="55D15248">
      <w:pPr>
        <w:rPr>
          <w:rFonts w:asciiTheme="majorHAnsi" w:hAnsiTheme="majorHAnsi"/>
          <w:color w:val="FFA600" w:themeColor="accent1"/>
        </w:rPr>
      </w:pPr>
      <w:r w:rsidRPr="00F64E03">
        <w:rPr>
          <w:rFonts w:asciiTheme="majorHAnsi" w:hAnsiTheme="majorHAnsi"/>
          <w:color w:val="FFA600" w:themeColor="accent1"/>
        </w:rPr>
        <w:t>Climate Change is the selected environmental impact category for vehicle life cycle assessment following this method.</w:t>
      </w:r>
    </w:p>
    <w:p w14:paraId="5B261919" w14:textId="77777777" w:rsidR="005600AE" w:rsidRPr="00F64E03" w:rsidRDefault="005600AE" w:rsidP="005600AE">
      <w:pPr>
        <w:rPr>
          <w:rFonts w:asciiTheme="majorHAnsi" w:hAnsiTheme="majorHAnsi"/>
          <w:color w:val="FFA600" w:themeColor="accent1"/>
        </w:rPr>
      </w:pPr>
      <w:r w:rsidRPr="00F64E03">
        <w:rPr>
          <w:rFonts w:asciiTheme="majorHAnsi" w:hAnsiTheme="majorHAnsi"/>
          <w:color w:val="FFA600" w:themeColor="accent1"/>
        </w:rPr>
        <w:t>The GHGs that shall be accounted for are carbon dioxide (CO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 methane (CH</w:t>
      </w:r>
      <w:r w:rsidRPr="00F64E03">
        <w:rPr>
          <w:rFonts w:asciiTheme="majorHAnsi" w:hAnsiTheme="majorHAnsi"/>
          <w:color w:val="FFA600" w:themeColor="accent1"/>
          <w:vertAlign w:val="subscript"/>
        </w:rPr>
        <w:t>4</w:t>
      </w:r>
      <w:r w:rsidRPr="00F64E03">
        <w:rPr>
          <w:rFonts w:asciiTheme="majorHAnsi" w:hAnsiTheme="majorHAnsi"/>
          <w:color w:val="FFA600" w:themeColor="accent1"/>
        </w:rPr>
        <w:t>), nitrous oxide (N</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O), hydrofluorocarbons (HFCs), perfluorinated compounds, sulfur hexafluoride (SF</w:t>
      </w:r>
      <w:r w:rsidRPr="00F64E03">
        <w:rPr>
          <w:rFonts w:asciiTheme="majorHAnsi" w:hAnsiTheme="majorHAnsi"/>
          <w:color w:val="FFA600" w:themeColor="accent1"/>
          <w:vertAlign w:val="subscript"/>
        </w:rPr>
        <w:t>6</w:t>
      </w:r>
      <w:r w:rsidRPr="00F64E03">
        <w:rPr>
          <w:rFonts w:asciiTheme="majorHAnsi" w:hAnsiTheme="majorHAnsi"/>
          <w:color w:val="FFA600" w:themeColor="accent1"/>
        </w:rPr>
        <w:t>), nitrogen trifluoride (NF</w:t>
      </w:r>
      <w:r w:rsidRPr="00F64E03">
        <w:rPr>
          <w:rFonts w:asciiTheme="majorHAnsi" w:hAnsiTheme="majorHAnsi"/>
          <w:color w:val="FFA600" w:themeColor="accent1"/>
          <w:vertAlign w:val="subscript"/>
        </w:rPr>
        <w:t>3</w:t>
      </w:r>
      <w:r w:rsidRPr="00F64E03">
        <w:rPr>
          <w:rFonts w:asciiTheme="majorHAnsi" w:hAnsiTheme="majorHAnsi"/>
          <w:color w:val="FFA600" w:themeColor="accent1"/>
        </w:rPr>
        <w:t>), perfluorocarbons (PFCs), hydrofluoroethers (HFEs), perfluoropolyethers (e.g., PFPEs), chlorofluorocarbon (CFCs) and h</w:t>
      </w:r>
      <w:r w:rsidRPr="00F64E03">
        <w:rPr>
          <w:rFonts w:asciiTheme="majorHAnsi" w:hAnsiTheme="majorHAnsi"/>
          <w:color w:val="FFA600" w:themeColor="accent1"/>
        </w:rPr>
        <w:softHyphen/>
        <w:t>ydrochlorofluorocarbon (HCFCs). To ensure the latest required GHGs, please refer to IPCC AR.</w:t>
      </w:r>
      <w:r w:rsidRPr="00F64E03" w:rsidDel="00352D3B">
        <w:rPr>
          <w:rFonts w:asciiTheme="majorHAnsi" w:hAnsiTheme="majorHAnsi"/>
          <w:color w:val="FFA600" w:themeColor="accent1"/>
        </w:rPr>
        <w:t xml:space="preserve"> </w:t>
      </w:r>
    </w:p>
    <w:p w14:paraId="5F9DB63D" w14:textId="74BE639A" w:rsidR="005600AE" w:rsidRPr="00F64E03" w:rsidRDefault="005600AE" w:rsidP="005600AE">
      <w:pPr>
        <w:rPr>
          <w:rFonts w:asciiTheme="majorHAnsi" w:hAnsiTheme="majorHAnsi"/>
          <w:color w:val="FFA600" w:themeColor="accent1"/>
        </w:rPr>
      </w:pPr>
      <w:r w:rsidRPr="00F64E03">
        <w:rPr>
          <w:rFonts w:asciiTheme="majorHAnsi" w:hAnsiTheme="majorHAnsi"/>
          <w:color w:val="FFA600" w:themeColor="accent1"/>
        </w:rPr>
        <w:t>The 100-year GWP characterization factors (GWP100y) according to the Intergovernmental Panel on Climate Change (IPCC) shall be used in the PCF calculations, based on the latest IPCC’s Assessment Report (AR). These factors include the climate carbon response for non-CO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 xml:space="preserve"> gases, i.e., carbon feedbacks and chemical effects. B</w:t>
      </w:r>
      <w:r w:rsidRPr="00F64E03">
        <w:rPr>
          <w:rFonts w:asciiTheme="majorHAnsi" w:hAnsiTheme="majorHAnsi"/>
          <w:color w:val="FFA600" w:themeColor="accent1"/>
          <w:spacing w:val="-2"/>
        </w:rPr>
        <w:t>iogenic CO</w:t>
      </w:r>
      <w:r w:rsidRPr="00F64E03">
        <w:rPr>
          <w:rFonts w:asciiTheme="majorHAnsi" w:hAnsiTheme="majorHAnsi"/>
          <w:color w:val="FFA600" w:themeColor="accent1"/>
          <w:spacing w:val="-2"/>
          <w:vertAlign w:val="subscript"/>
        </w:rPr>
        <w:t xml:space="preserve">2 </w:t>
      </w:r>
      <w:r w:rsidRPr="00F64E03">
        <w:rPr>
          <w:rFonts w:asciiTheme="majorHAnsi" w:hAnsiTheme="majorHAnsi"/>
          <w:color w:val="FFA600" w:themeColor="accent1"/>
          <w:spacing w:val="-2"/>
        </w:rPr>
        <w:t>shall be accounted for.</w:t>
      </w:r>
    </w:p>
    <w:p w14:paraId="40651A0D" w14:textId="77777777" w:rsidR="005600AE" w:rsidRPr="00F64E03" w:rsidRDefault="005600AE" w:rsidP="005600AE">
      <w:pPr>
        <w:rPr>
          <w:rFonts w:asciiTheme="majorHAnsi" w:hAnsiTheme="majorHAnsi"/>
          <w:color w:val="FFA600" w:themeColor="accent1"/>
          <w:lang w:val="en-GB"/>
        </w:rPr>
      </w:pPr>
      <w:r w:rsidRPr="00F64E03">
        <w:rPr>
          <w:rFonts w:asciiTheme="majorHAnsi" w:hAnsiTheme="majorHAnsi"/>
          <w:color w:val="FFA600" w:themeColor="accent1"/>
          <w:lang w:val="en-GB"/>
        </w:rPr>
        <w:t>Once a new AR has been published, its characterization factors shall be used. If the characterization factors cannot be updated immediately, a transition period of two years after the publication of a new IPCC AR is granted after which the characterization factors shall be updated. If secondary data used are based on outdated characterization factors, this must be clearly stated and alternative datasets that use the latest characterization factors should be prioritised.</w:t>
      </w:r>
    </w:p>
    <w:p w14:paraId="01A5410A" w14:textId="77777777" w:rsidR="005600AE" w:rsidRPr="00F64E03" w:rsidRDefault="005600AE" w:rsidP="005600AE">
      <w:pPr>
        <w:rPr>
          <w:rFonts w:asciiTheme="majorHAnsi" w:hAnsiTheme="majorHAnsi"/>
          <w:color w:val="FFA600" w:themeColor="accent1"/>
        </w:rPr>
      </w:pPr>
      <w:r w:rsidRPr="00F64E03">
        <w:rPr>
          <w:rFonts w:asciiTheme="majorHAnsi" w:hAnsiTheme="majorHAnsi"/>
          <w:color w:val="FFA600" w:themeColor="accent1"/>
        </w:rPr>
        <w:t>[Applicable during AR6 being the latest AR: The AR 6 characterization factors for the substances that are not listed in case of AR 6 in Table 7.15 of the IPCC AR6</w:t>
      </w:r>
      <w:r w:rsidRPr="00F64E03">
        <w:rPr>
          <w:rStyle w:val="FootnoteReference"/>
          <w:rFonts w:asciiTheme="majorHAnsi" w:hAnsiTheme="majorHAnsi"/>
          <w:color w:val="FFA600" w:themeColor="accent1"/>
        </w:rPr>
        <w:footnoteReference w:id="2"/>
      </w:r>
      <w:r w:rsidRPr="00F64E03">
        <w:rPr>
          <w:rFonts w:asciiTheme="majorHAnsi" w:hAnsiTheme="majorHAnsi"/>
          <w:color w:val="FFA600" w:themeColor="accent1"/>
        </w:rPr>
        <w:t xml:space="preserve"> shall be extracted from Table </w:t>
      </w:r>
      <w:r w:rsidRPr="00F64E03" w:rsidDel="00AC24D0">
        <w:rPr>
          <w:rFonts w:asciiTheme="majorHAnsi" w:hAnsiTheme="majorHAnsi"/>
          <w:color w:val="FFA600" w:themeColor="accent1"/>
        </w:rPr>
        <w:t>7</w:t>
      </w:r>
      <w:r w:rsidRPr="00F64E03">
        <w:rPr>
          <w:rFonts w:asciiTheme="majorHAnsi" w:hAnsiTheme="majorHAnsi"/>
          <w:color w:val="FFA600" w:themeColor="accent1"/>
        </w:rPr>
        <w:t xml:space="preserve"> SM6 in Section 7 Supplementary Materials of the AR6 Climate Change 2021</w:t>
      </w:r>
      <w:r w:rsidRPr="00F64E03">
        <w:rPr>
          <w:rStyle w:val="FootnoteReference"/>
          <w:rFonts w:asciiTheme="majorHAnsi" w:hAnsiTheme="majorHAnsi"/>
          <w:color w:val="FFA600" w:themeColor="accent1"/>
        </w:rPr>
        <w:footnoteReference w:id="3"/>
      </w:r>
      <w:r w:rsidRPr="00F64E03">
        <w:rPr>
          <w:rFonts w:asciiTheme="majorHAnsi" w:hAnsiTheme="majorHAnsi"/>
          <w:color w:val="FFA600" w:themeColor="accent1"/>
        </w:rPr>
        <w:t>.]</w:t>
      </w:r>
    </w:p>
    <w:p w14:paraId="79FF5401" w14:textId="27AF6D82" w:rsidR="005600AE" w:rsidRPr="006D7C62" w:rsidRDefault="005600AE" w:rsidP="005600AE">
      <w:pPr>
        <w:rPr>
          <w:rFonts w:asciiTheme="majorHAnsi" w:hAnsiTheme="majorHAnsi"/>
        </w:rPr>
      </w:pPr>
      <w:r w:rsidRPr="006D7C62">
        <w:rPr>
          <w:rFonts w:asciiTheme="majorHAnsi" w:hAnsiTheme="majorHAnsi"/>
        </w:rPr>
        <w:t>In addition to the total PCF</w:t>
      </w:r>
      <w:r w:rsidRPr="005600AE">
        <w:rPr>
          <w:rFonts w:asciiTheme="majorHAnsi" w:hAnsiTheme="majorHAnsi"/>
        </w:rPr>
        <w:t xml:space="preserve"> </w:t>
      </w:r>
      <w:r w:rsidRPr="006D7C62">
        <w:rPr>
          <w:rFonts w:asciiTheme="majorHAnsi" w:hAnsiTheme="majorHAnsi"/>
        </w:rPr>
        <w:t>including biogenic CO</w:t>
      </w:r>
      <w:r w:rsidRPr="006D7C62">
        <w:rPr>
          <w:rFonts w:asciiTheme="majorHAnsi" w:hAnsiTheme="majorHAnsi"/>
          <w:vertAlign w:val="subscript"/>
        </w:rPr>
        <w:t>2</w:t>
      </w:r>
      <w:r w:rsidRPr="006D7C62">
        <w:rPr>
          <w:rFonts w:asciiTheme="majorHAnsi" w:hAnsiTheme="majorHAnsi"/>
        </w:rPr>
        <w:t>, the separate emission values shall be reported:</w:t>
      </w:r>
    </w:p>
    <w:p w14:paraId="5346A88B" w14:textId="77777777" w:rsidR="005600AE" w:rsidRPr="006D7C62" w:rsidRDefault="005600AE" w:rsidP="006C1918">
      <w:pPr>
        <w:pStyle w:val="Nummerierung"/>
        <w:numPr>
          <w:ilvl w:val="0"/>
          <w:numId w:val="17"/>
        </w:numPr>
        <w:rPr>
          <w:rFonts w:asciiTheme="majorHAnsi" w:hAnsiTheme="majorHAnsi"/>
        </w:rPr>
      </w:pPr>
      <w:r w:rsidRPr="006D7C62">
        <w:rPr>
          <w:rFonts w:asciiTheme="majorHAnsi" w:hAnsiTheme="majorHAnsi"/>
        </w:rPr>
        <w:t>Net fossil GHG emissions and removals</w:t>
      </w:r>
    </w:p>
    <w:p w14:paraId="58BCB1D7" w14:textId="77777777" w:rsidR="005600AE" w:rsidRPr="006D7C62" w:rsidRDefault="005600AE" w:rsidP="006C1918">
      <w:pPr>
        <w:pStyle w:val="Nummerierung"/>
        <w:numPr>
          <w:ilvl w:val="0"/>
          <w:numId w:val="17"/>
        </w:numPr>
        <w:rPr>
          <w:rFonts w:asciiTheme="majorHAnsi" w:hAnsiTheme="majorHAnsi"/>
        </w:rPr>
      </w:pPr>
      <w:r w:rsidRPr="006D7C62">
        <w:rPr>
          <w:rFonts w:asciiTheme="majorHAnsi" w:hAnsiTheme="majorHAnsi"/>
        </w:rPr>
        <w:t>Net biogenic GHG emissions and removals other than biogenic CO</w:t>
      </w:r>
      <w:r w:rsidRPr="006D7C62">
        <w:rPr>
          <w:rFonts w:asciiTheme="majorHAnsi" w:hAnsiTheme="majorHAnsi"/>
          <w:vertAlign w:val="subscript"/>
        </w:rPr>
        <w:t>2</w:t>
      </w:r>
      <w:r w:rsidRPr="006D7C62">
        <w:rPr>
          <w:rFonts w:asciiTheme="majorHAnsi" w:hAnsiTheme="majorHAnsi"/>
        </w:rPr>
        <w:t xml:space="preserve"> (if applicable)</w:t>
      </w:r>
    </w:p>
    <w:p w14:paraId="59FF5AAC" w14:textId="107DD096" w:rsidR="005600AE" w:rsidRPr="006D7C62" w:rsidRDefault="005600AE" w:rsidP="006C1918">
      <w:pPr>
        <w:pStyle w:val="Nummerierung"/>
        <w:numPr>
          <w:ilvl w:val="0"/>
          <w:numId w:val="17"/>
        </w:numPr>
        <w:rPr>
          <w:rFonts w:asciiTheme="majorHAnsi" w:hAnsiTheme="majorHAnsi"/>
        </w:rPr>
      </w:pPr>
      <w:r w:rsidRPr="006D7C62">
        <w:rPr>
          <w:rFonts w:asciiTheme="majorHAnsi" w:hAnsiTheme="majorHAnsi"/>
        </w:rPr>
        <w:t>Net biogenic GHG emissions and removals including biogenic CO</w:t>
      </w:r>
      <w:r w:rsidRPr="006D7C62">
        <w:rPr>
          <w:rFonts w:asciiTheme="majorHAnsi" w:hAnsiTheme="majorHAnsi"/>
          <w:vertAlign w:val="subscript"/>
        </w:rPr>
        <w:t xml:space="preserve">2 </w:t>
      </w:r>
      <w:r w:rsidRPr="006D7C62">
        <w:rPr>
          <w:rFonts w:asciiTheme="majorHAnsi" w:hAnsiTheme="majorHAnsi"/>
        </w:rPr>
        <w:t>(if applicable)</w:t>
      </w:r>
    </w:p>
    <w:p w14:paraId="0B4F2F1E" w14:textId="77777777" w:rsidR="005600AE" w:rsidRPr="006D7C62" w:rsidRDefault="005600AE" w:rsidP="006C1918">
      <w:pPr>
        <w:pStyle w:val="Nummerierung"/>
        <w:numPr>
          <w:ilvl w:val="0"/>
          <w:numId w:val="17"/>
        </w:numPr>
        <w:rPr>
          <w:rFonts w:asciiTheme="majorHAnsi" w:hAnsiTheme="majorHAnsi"/>
        </w:rPr>
      </w:pPr>
      <w:r w:rsidRPr="006D7C62">
        <w:rPr>
          <w:rFonts w:asciiTheme="majorHAnsi" w:hAnsiTheme="majorHAnsi"/>
        </w:rPr>
        <w:t>GHG emissions resulting from aircraft transportation (if applicable)</w:t>
      </w:r>
    </w:p>
    <w:p w14:paraId="77CF4AC4" w14:textId="77777777" w:rsidR="005600AE" w:rsidRPr="006D7C62" w:rsidRDefault="005600AE" w:rsidP="005600AE">
      <w:pPr>
        <w:rPr>
          <w:rFonts w:asciiTheme="majorHAnsi" w:hAnsiTheme="majorHAnsi"/>
        </w:rPr>
      </w:pPr>
      <w:r w:rsidRPr="006D7C62">
        <w:rPr>
          <w:rFonts w:asciiTheme="majorHAnsi" w:hAnsiTheme="majorHAnsi"/>
        </w:rPr>
        <w:t>If separate emission values do not occur, these emission values may be reported as zero.</w:t>
      </w:r>
    </w:p>
    <w:p w14:paraId="66743C3C" w14:textId="475132A6" w:rsidR="005600AE" w:rsidRPr="006D7C62" w:rsidRDefault="005600AE" w:rsidP="005600AE">
      <w:pPr>
        <w:rPr>
          <w:rFonts w:asciiTheme="majorHAnsi" w:hAnsiTheme="majorHAnsi"/>
        </w:rPr>
      </w:pPr>
      <w:r w:rsidRPr="006D7C62">
        <w:rPr>
          <w:rFonts w:asciiTheme="majorHAnsi" w:hAnsiTheme="majorHAnsi"/>
        </w:rPr>
        <w:t>Removals in the PCF shall not include any measures not related to the product system usually referred to as carbon offsets (see</w:t>
      </w:r>
      <w:r w:rsidR="00EB1550">
        <w:rPr>
          <w:rFonts w:asciiTheme="majorHAnsi" w:hAnsiTheme="majorHAnsi"/>
        </w:rPr>
        <w:t xml:space="preserve"> </w:t>
      </w:r>
      <w:r w:rsidR="00EB1550">
        <w:rPr>
          <w:rFonts w:asciiTheme="majorHAnsi" w:hAnsiTheme="majorHAnsi"/>
        </w:rPr>
        <w:fldChar w:fldCharType="begin"/>
      </w:r>
      <w:r w:rsidR="00EB1550">
        <w:rPr>
          <w:rFonts w:asciiTheme="majorHAnsi" w:hAnsiTheme="majorHAnsi"/>
        </w:rPr>
        <w:instrText xml:space="preserve"> REF _Ref173500440 \r \h </w:instrText>
      </w:r>
      <w:r w:rsidR="00EB1550">
        <w:rPr>
          <w:rFonts w:asciiTheme="majorHAnsi" w:hAnsiTheme="majorHAnsi"/>
        </w:rPr>
      </w:r>
      <w:r w:rsidR="00EB1550">
        <w:rPr>
          <w:rFonts w:asciiTheme="majorHAnsi" w:hAnsiTheme="majorHAnsi"/>
        </w:rPr>
        <w:fldChar w:fldCharType="separate"/>
      </w:r>
      <w:r w:rsidR="00EB1550">
        <w:rPr>
          <w:rFonts w:asciiTheme="majorHAnsi" w:hAnsiTheme="majorHAnsi"/>
        </w:rPr>
        <w:t>2.2.14</w:t>
      </w:r>
      <w:r w:rsidR="00EB1550">
        <w:rPr>
          <w:rFonts w:asciiTheme="majorHAnsi" w:hAnsiTheme="majorHAnsi"/>
        </w:rPr>
        <w:fldChar w:fldCharType="end"/>
      </w:r>
      <w:r w:rsidRPr="006D7C62">
        <w:rPr>
          <w:rFonts w:asciiTheme="majorHAnsi" w:hAnsiTheme="majorHAnsi"/>
        </w:rPr>
        <w:t>).</w:t>
      </w:r>
    </w:p>
    <w:p w14:paraId="104CB779" w14:textId="77777777" w:rsidR="005600AE" w:rsidRPr="006D7C62" w:rsidRDefault="005600AE" w:rsidP="005600AE">
      <w:pPr>
        <w:rPr>
          <w:rFonts w:asciiTheme="majorHAnsi" w:hAnsiTheme="majorHAnsi"/>
        </w:rPr>
      </w:pPr>
      <w:r w:rsidRPr="006D7C62">
        <w:rPr>
          <w:rFonts w:asciiTheme="majorHAnsi" w:hAnsiTheme="majorHAnsi"/>
        </w:rPr>
        <w:lastRenderedPageBreak/>
        <w:t>In addition, the biogenic carbon content and total carbon content of products shall be reported separately.</w:t>
      </w:r>
      <w:r>
        <w:rPr>
          <w:rFonts w:asciiTheme="majorHAnsi" w:hAnsiTheme="majorHAnsi"/>
        </w:rPr>
        <w:t xml:space="preserve"> </w:t>
      </w:r>
      <w:r w:rsidRPr="006D7C62">
        <w:rPr>
          <w:rFonts w:asciiTheme="majorHAnsi" w:hAnsiTheme="majorHAnsi"/>
        </w:rPr>
        <w:t>If mass-balanced materials are used in the supply, the attributed biogenic carbon content shall additionally be reported to accurately account for emissions from combustion of these materials.</w:t>
      </w:r>
    </w:p>
    <w:p w14:paraId="0FC52CE9" w14:textId="77777777" w:rsidR="005600AE" w:rsidRPr="006D7C62" w:rsidRDefault="005600AE" w:rsidP="005600AE">
      <w:pPr>
        <w:rPr>
          <w:rFonts w:asciiTheme="majorHAnsi" w:hAnsiTheme="majorHAnsi"/>
          <w:sz w:val="26"/>
          <w:szCs w:val="28"/>
        </w:rPr>
      </w:pPr>
    </w:p>
    <w:p w14:paraId="570C2B55" w14:textId="187CAD2B" w:rsidR="00E85A78" w:rsidRDefault="00E85A78">
      <w:pPr>
        <w:pStyle w:val="Heading3"/>
      </w:pPr>
      <w:bookmarkStart w:id="39" w:name="_Toc178672669"/>
      <w:r>
        <w:t>Data Quality &amp; Data Collection Method</w:t>
      </w:r>
      <w:bookmarkEnd w:id="39"/>
    </w:p>
    <w:p w14:paraId="6B80785A" w14:textId="77777777" w:rsidR="00D1116F" w:rsidRPr="00D1116F" w:rsidRDefault="00D1116F" w:rsidP="00D1116F">
      <w:pPr>
        <w:pStyle w:val="ListParagraph"/>
        <w:numPr>
          <w:ilvl w:val="0"/>
          <w:numId w:val="0"/>
        </w:numPr>
        <w:rPr>
          <w:rFonts w:asciiTheme="majorHAnsi" w:hAnsiTheme="majorHAnsi"/>
          <w:color w:val="FFA600" w:themeColor="accent1"/>
        </w:rPr>
      </w:pPr>
      <w:r w:rsidRPr="00D1116F">
        <w:rPr>
          <w:rStyle w:val="Strong"/>
          <w:rFonts w:asciiTheme="majorHAnsi" w:hAnsiTheme="majorHAnsi"/>
          <w:b/>
          <w:bCs w:val="0"/>
          <w:color w:val="FFA600" w:themeColor="accent1"/>
        </w:rPr>
        <w:t>Temporal representativeness:</w:t>
      </w:r>
      <w:r w:rsidRPr="00D1116F">
        <w:rPr>
          <w:rStyle w:val="Strong"/>
          <w:rFonts w:asciiTheme="majorHAnsi" w:hAnsiTheme="majorHAnsi"/>
          <w:b/>
          <w:bCs w:val="0"/>
          <w:color w:val="FFA600" w:themeColor="accent1"/>
        </w:rPr>
        <w:tab/>
      </w:r>
      <w:r w:rsidRPr="00D1116F">
        <w:rPr>
          <w:rStyle w:val="Strong"/>
          <w:rFonts w:asciiTheme="majorHAnsi" w:hAnsiTheme="majorHAnsi"/>
          <w:color w:val="FFA600" w:themeColor="accent1"/>
        </w:rPr>
        <w:br/>
      </w:r>
      <w:r w:rsidRPr="00D1116F">
        <w:rPr>
          <w:rFonts w:asciiTheme="majorHAnsi" w:hAnsiTheme="majorHAnsi"/>
          <w:color w:val="FFA600" w:themeColor="accent1"/>
        </w:rPr>
        <w:t>The reference year for the secondary data shall correspond to the assessment period of the activity data. For instance, the electricity consumption mix corresponding to the year of assess</w:t>
      </w:r>
      <w:r w:rsidRPr="00D1116F">
        <w:rPr>
          <w:rFonts w:asciiTheme="majorHAnsi" w:hAnsiTheme="majorHAnsi"/>
          <w:color w:val="FFA600" w:themeColor="accent1"/>
        </w:rPr>
        <w:softHyphen/>
        <w:t>ment, or the most representative year shall be employed for the calculations.</w:t>
      </w:r>
    </w:p>
    <w:p w14:paraId="3A95FADC" w14:textId="77777777" w:rsidR="00D1116F" w:rsidRPr="00D1116F" w:rsidRDefault="00D1116F" w:rsidP="00D1116F">
      <w:pPr>
        <w:pStyle w:val="ListParagraph"/>
        <w:numPr>
          <w:ilvl w:val="0"/>
          <w:numId w:val="0"/>
        </w:numPr>
        <w:rPr>
          <w:rFonts w:asciiTheme="majorHAnsi" w:hAnsiTheme="majorHAnsi"/>
          <w:color w:val="FFA600" w:themeColor="accent1"/>
        </w:rPr>
      </w:pPr>
    </w:p>
    <w:p w14:paraId="26C5AA35" w14:textId="77777777" w:rsidR="00D1116F" w:rsidRPr="00D1116F" w:rsidRDefault="00D1116F" w:rsidP="00D1116F">
      <w:pPr>
        <w:pStyle w:val="ListParagraph"/>
        <w:numPr>
          <w:ilvl w:val="0"/>
          <w:numId w:val="0"/>
        </w:numPr>
        <w:rPr>
          <w:rFonts w:asciiTheme="majorHAnsi" w:hAnsiTheme="majorHAnsi"/>
          <w:color w:val="FFA600" w:themeColor="accent1"/>
        </w:rPr>
      </w:pPr>
      <w:r w:rsidRPr="00D1116F">
        <w:rPr>
          <w:rStyle w:val="Strong"/>
          <w:rFonts w:asciiTheme="majorHAnsi" w:hAnsiTheme="majorHAnsi"/>
          <w:b/>
          <w:bCs w:val="0"/>
          <w:color w:val="FFA600" w:themeColor="accent1"/>
        </w:rPr>
        <w:t>Geographical representativeness:</w:t>
      </w:r>
      <w:r w:rsidRPr="00D1116F">
        <w:rPr>
          <w:rFonts w:asciiTheme="majorHAnsi" w:hAnsiTheme="majorHAnsi"/>
          <w:color w:val="FFA600" w:themeColor="accent1"/>
        </w:rPr>
        <w:tab/>
      </w:r>
      <w:r w:rsidRPr="00D1116F">
        <w:rPr>
          <w:rFonts w:asciiTheme="majorHAnsi" w:hAnsiTheme="majorHAnsi"/>
          <w:color w:val="FFA600" w:themeColor="accent1"/>
        </w:rPr>
        <w:br/>
        <w:t>The geography of the data shall correspond to the activity data most geographically relevant to the process. For instance, the electricity consumption mix corresponding to the geography of the product (country or state if available) shall be employed for the calculations.</w:t>
      </w:r>
    </w:p>
    <w:p w14:paraId="081F7665" w14:textId="77777777" w:rsidR="00D1116F" w:rsidRPr="00D1116F" w:rsidRDefault="00D1116F" w:rsidP="00D1116F">
      <w:pPr>
        <w:pStyle w:val="ListParagraph"/>
        <w:numPr>
          <w:ilvl w:val="0"/>
          <w:numId w:val="0"/>
        </w:numPr>
        <w:rPr>
          <w:rFonts w:asciiTheme="majorHAnsi" w:hAnsiTheme="majorHAnsi"/>
          <w:color w:val="FFA600" w:themeColor="accent1"/>
        </w:rPr>
      </w:pPr>
    </w:p>
    <w:p w14:paraId="3A0DAA94" w14:textId="77777777" w:rsidR="00D1116F" w:rsidRPr="00D1116F" w:rsidRDefault="00D1116F" w:rsidP="00D1116F">
      <w:pPr>
        <w:pStyle w:val="ListParagraph"/>
        <w:numPr>
          <w:ilvl w:val="0"/>
          <w:numId w:val="0"/>
        </w:numPr>
        <w:rPr>
          <w:rFonts w:asciiTheme="majorHAnsi" w:hAnsiTheme="majorHAnsi"/>
          <w:color w:val="FFA600" w:themeColor="accent1"/>
        </w:rPr>
      </w:pPr>
      <w:r w:rsidRPr="00D1116F">
        <w:rPr>
          <w:rStyle w:val="Strong"/>
          <w:rFonts w:asciiTheme="majorHAnsi" w:hAnsiTheme="majorHAnsi"/>
          <w:b/>
          <w:bCs w:val="0"/>
          <w:color w:val="FFA600" w:themeColor="accent1"/>
        </w:rPr>
        <w:t>Technological representativeness:</w:t>
      </w:r>
      <w:r w:rsidRPr="00D1116F">
        <w:rPr>
          <w:rFonts w:asciiTheme="majorHAnsi" w:hAnsiTheme="majorHAnsi"/>
          <w:color w:val="FFA600" w:themeColor="accent1"/>
        </w:rPr>
        <w:tab/>
        <w:t xml:space="preserve"> </w:t>
      </w:r>
      <w:r w:rsidRPr="00D1116F">
        <w:rPr>
          <w:rFonts w:asciiTheme="majorHAnsi" w:hAnsiTheme="majorHAnsi"/>
          <w:color w:val="FFA600" w:themeColor="accent1"/>
        </w:rPr>
        <w:br/>
        <w:t>The secondary data source shall correspond to the activity data that is technologically representative of the process. For instance, the electricity or heating generation mix shall be representative of the source of energy used.</w:t>
      </w:r>
    </w:p>
    <w:p w14:paraId="1653DA70" w14:textId="77777777" w:rsidR="00D1116F" w:rsidRPr="00D1116F" w:rsidRDefault="00D1116F" w:rsidP="00D1116F"/>
    <w:p w14:paraId="1295C240" w14:textId="77777777" w:rsidR="008327D7" w:rsidRPr="00F83AC7" w:rsidRDefault="008327D7" w:rsidP="008327D7">
      <w:pPr>
        <w:pStyle w:val="Heading4"/>
        <w:rPr>
          <w:rFonts w:asciiTheme="majorHAnsi" w:hAnsiTheme="majorHAnsi" w:hint="eastAsia"/>
        </w:rPr>
      </w:pPr>
      <w:bookmarkStart w:id="40" w:name="_Toc167899962"/>
      <w:bookmarkStart w:id="41" w:name="_Ref173748922"/>
      <w:r>
        <w:rPr>
          <w:rFonts w:asciiTheme="majorHAnsi" w:hAnsiTheme="majorHAnsi"/>
        </w:rPr>
        <w:t>Primary data</w:t>
      </w:r>
      <w:bookmarkEnd w:id="40"/>
      <w:bookmarkEnd w:id="41"/>
    </w:p>
    <w:p w14:paraId="1649BDD6" w14:textId="77777777" w:rsidR="008327D7" w:rsidRPr="003A4628" w:rsidRDefault="008327D7" w:rsidP="008327D7">
      <w:pPr>
        <w:rPr>
          <w:rFonts w:asciiTheme="majorHAnsi" w:hAnsiTheme="majorHAnsi"/>
          <w:color w:val="FFA600" w:themeColor="accent1"/>
        </w:rPr>
      </w:pPr>
      <w:r w:rsidRPr="003A4628">
        <w:rPr>
          <w:rFonts w:asciiTheme="majorHAnsi" w:hAnsiTheme="majorHAnsi"/>
          <w:color w:val="FFA600" w:themeColor="accent1"/>
        </w:rPr>
        <w:t>Primary data is a quantified value of a process, an activity obtained from a direct measurement, or a calculation based on direct measurements.</w:t>
      </w:r>
    </w:p>
    <w:p w14:paraId="26047124" w14:textId="3DE796F9" w:rsidR="008327D7" w:rsidRPr="003A4628" w:rsidRDefault="008327D7" w:rsidP="55D15248">
      <w:pPr>
        <w:rPr>
          <w:rFonts w:asciiTheme="majorHAnsi" w:hAnsiTheme="majorHAnsi"/>
          <w:color w:val="FFA600" w:themeColor="accent1"/>
        </w:rPr>
      </w:pPr>
      <w:r w:rsidRPr="003A4628">
        <w:rPr>
          <w:rFonts w:asciiTheme="majorHAnsi" w:hAnsiTheme="majorHAnsi"/>
          <w:color w:val="FFA600" w:themeColor="accent1"/>
          <w:lang w:val="en-GB"/>
        </w:rPr>
        <w:t>Efforts shall be taken to increase the share of primary data as well as achieve high data quality for both secondary and primary data</w:t>
      </w:r>
      <w:r w:rsidRPr="003A4628">
        <w:rPr>
          <w:rFonts w:asciiTheme="majorHAnsi" w:hAnsiTheme="majorHAnsi"/>
          <w:color w:val="FFA600" w:themeColor="accent1"/>
        </w:rPr>
        <w:t xml:space="preserve">, </w:t>
      </w:r>
      <w:r w:rsidR="00EB1550" w:rsidRPr="003A4628">
        <w:rPr>
          <w:rFonts w:asciiTheme="majorHAnsi" w:hAnsiTheme="majorHAnsi"/>
          <w:color w:val="FFA600" w:themeColor="accent1"/>
        </w:rPr>
        <w:t>(</w:t>
      </w:r>
      <w:r w:rsidRPr="003A4628">
        <w:rPr>
          <w:rFonts w:asciiTheme="majorHAnsi" w:hAnsiTheme="majorHAnsi"/>
          <w:color w:val="FFA600" w:themeColor="accent1"/>
        </w:rPr>
        <w:t>for data quality rating see</w:t>
      </w:r>
      <w:r w:rsidR="007F6976" w:rsidRPr="003A4628">
        <w:rPr>
          <w:rFonts w:asciiTheme="majorHAnsi" w:hAnsiTheme="majorHAnsi"/>
          <w:color w:val="FFA600" w:themeColor="accent1"/>
        </w:rPr>
        <w:t xml:space="preserve"> </w:t>
      </w:r>
      <w:r w:rsidR="007F6976" w:rsidRPr="003A4628">
        <w:rPr>
          <w:rFonts w:asciiTheme="majorHAnsi" w:hAnsiTheme="majorHAnsi"/>
          <w:color w:val="FFA600" w:themeColor="accent1"/>
        </w:rPr>
        <w:fldChar w:fldCharType="begin"/>
      </w:r>
      <w:r w:rsidR="007F6976" w:rsidRPr="003A4628">
        <w:rPr>
          <w:rFonts w:asciiTheme="majorHAnsi" w:hAnsiTheme="majorHAnsi"/>
          <w:color w:val="FFA600" w:themeColor="accent1"/>
        </w:rPr>
        <w:instrText xml:space="preserve"> REF _Ref176852581 \r \h </w:instrText>
      </w:r>
      <w:r w:rsidR="007F6976" w:rsidRPr="003A4628">
        <w:rPr>
          <w:rFonts w:asciiTheme="majorHAnsi" w:hAnsiTheme="majorHAnsi"/>
          <w:color w:val="FFA600" w:themeColor="accent1"/>
        </w:rPr>
      </w:r>
      <w:r w:rsidR="007F6976" w:rsidRPr="003A4628">
        <w:rPr>
          <w:rFonts w:asciiTheme="majorHAnsi" w:hAnsiTheme="majorHAnsi"/>
          <w:color w:val="FFA600" w:themeColor="accent1"/>
        </w:rPr>
        <w:fldChar w:fldCharType="separate"/>
      </w:r>
      <w:r w:rsidR="007F6976" w:rsidRPr="003A4628">
        <w:rPr>
          <w:rFonts w:asciiTheme="majorHAnsi" w:hAnsiTheme="majorHAnsi"/>
          <w:color w:val="FFA600" w:themeColor="accent1"/>
        </w:rPr>
        <w:t>3.1.3</w:t>
      </w:r>
      <w:r w:rsidR="007F6976" w:rsidRPr="003A4628">
        <w:rPr>
          <w:rFonts w:asciiTheme="majorHAnsi" w:hAnsiTheme="majorHAnsi"/>
          <w:color w:val="FFA600" w:themeColor="accent1"/>
        </w:rPr>
        <w:fldChar w:fldCharType="end"/>
      </w:r>
      <w:r w:rsidR="00EB1550" w:rsidRPr="003A4628">
        <w:rPr>
          <w:rFonts w:asciiTheme="majorHAnsi" w:hAnsiTheme="majorHAnsi"/>
          <w:color w:val="FFA600" w:themeColor="accent1"/>
        </w:rPr>
        <w:t>)</w:t>
      </w:r>
      <w:r w:rsidRPr="003A4628">
        <w:rPr>
          <w:rFonts w:asciiTheme="majorHAnsi" w:hAnsiTheme="majorHAnsi"/>
          <w:color w:val="FFA600" w:themeColor="accent1"/>
        </w:rPr>
        <w:t>.</w:t>
      </w:r>
    </w:p>
    <w:p w14:paraId="137546FA" w14:textId="40694280" w:rsidR="008327D7" w:rsidRPr="003A4628" w:rsidRDefault="008327D7" w:rsidP="6FCCD3CB">
      <w:pPr>
        <w:rPr>
          <w:rFonts w:asciiTheme="majorHAnsi" w:hAnsiTheme="majorHAnsi"/>
          <w:color w:val="FFA600" w:themeColor="accent1"/>
        </w:rPr>
      </w:pPr>
      <w:r w:rsidRPr="003A4628">
        <w:rPr>
          <w:rFonts w:asciiTheme="majorHAnsi" w:hAnsiTheme="majorHAnsi"/>
          <w:color w:val="FFA600" w:themeColor="accent1"/>
        </w:rPr>
        <w:t>Primary data shall include primary activity data, i.e., a technical flow, and primary GHG emission factor, i.e., the carbon footprint of the corresponding activity expressed in kgCO</w:t>
      </w:r>
      <w:r w:rsidRPr="003A4628">
        <w:rPr>
          <w:rFonts w:asciiTheme="majorHAnsi" w:hAnsiTheme="majorHAnsi"/>
          <w:color w:val="FFA600" w:themeColor="accent1"/>
          <w:vertAlign w:val="subscript"/>
        </w:rPr>
        <w:t>2</w:t>
      </w:r>
      <w:r w:rsidRPr="003A4628">
        <w:rPr>
          <w:rFonts w:asciiTheme="majorHAnsi" w:hAnsiTheme="majorHAnsi"/>
          <w:color w:val="FFA600" w:themeColor="accent1"/>
        </w:rPr>
        <w:t>eq per unit (</w:t>
      </w:r>
      <w:r w:rsidR="00EB1550" w:rsidRPr="003A4628">
        <w:rPr>
          <w:rFonts w:asciiTheme="majorHAnsi" w:hAnsiTheme="majorHAnsi"/>
          <w:color w:val="FFA600" w:themeColor="accent1"/>
        </w:rPr>
        <w:fldChar w:fldCharType="begin"/>
      </w:r>
      <w:r w:rsidR="00EB1550" w:rsidRPr="003A4628">
        <w:rPr>
          <w:rFonts w:asciiTheme="majorHAnsi" w:hAnsiTheme="majorHAnsi"/>
          <w:color w:val="FFA600" w:themeColor="accent1"/>
        </w:rPr>
        <w:instrText xml:space="preserve"> REF _Ref173500917 \h </w:instrText>
      </w:r>
      <w:r w:rsidR="00EB1550" w:rsidRPr="003A4628">
        <w:rPr>
          <w:rFonts w:asciiTheme="majorHAnsi" w:hAnsiTheme="majorHAnsi"/>
          <w:color w:val="FFA600" w:themeColor="accent1"/>
        </w:rPr>
      </w:r>
      <w:r w:rsidR="00EB1550" w:rsidRPr="003A4628">
        <w:rPr>
          <w:rFonts w:asciiTheme="majorHAnsi" w:hAnsiTheme="majorHAnsi"/>
          <w:color w:val="FFA600" w:themeColor="accent1"/>
        </w:rPr>
        <w:fldChar w:fldCharType="separate"/>
      </w:r>
      <w:r w:rsidR="00EB1550" w:rsidRPr="003A4628">
        <w:rPr>
          <w:color w:val="FFA600" w:themeColor="accent1"/>
        </w:rPr>
        <w:t xml:space="preserve">Table </w:t>
      </w:r>
      <w:r w:rsidR="00EB1550" w:rsidRPr="003A4628">
        <w:rPr>
          <w:noProof/>
          <w:color w:val="FFA600" w:themeColor="accent1"/>
        </w:rPr>
        <w:t>1</w:t>
      </w:r>
      <w:r w:rsidR="00EB1550" w:rsidRPr="003A4628">
        <w:rPr>
          <w:rFonts w:asciiTheme="majorHAnsi" w:hAnsiTheme="majorHAnsi"/>
          <w:color w:val="FFA600" w:themeColor="accent1"/>
        </w:rPr>
        <w:fldChar w:fldCharType="end"/>
      </w:r>
      <w:r w:rsidRPr="003A4628">
        <w:rPr>
          <w:rFonts w:asciiTheme="majorHAnsi" w:hAnsiTheme="majorHAnsi"/>
          <w:color w:val="FFA600" w:themeColor="accent1"/>
        </w:rPr>
        <w:t>). Consequently, the measured materials consumptions and a secondary GHG emission factor is not considered</w:t>
      </w:r>
      <w:r w:rsidR="007F6976" w:rsidRPr="003A4628">
        <w:rPr>
          <w:rFonts w:asciiTheme="majorHAnsi" w:hAnsiTheme="majorHAnsi"/>
          <w:color w:val="FFA600" w:themeColor="accent1"/>
        </w:rPr>
        <w:t xml:space="preserve"> as primary data</w:t>
      </w:r>
      <w:r w:rsidR="00EB1550" w:rsidRPr="003A4628">
        <w:rPr>
          <w:rFonts w:asciiTheme="majorHAnsi" w:hAnsiTheme="majorHAnsi"/>
          <w:color w:val="FFA600" w:themeColor="accent1"/>
        </w:rPr>
        <w:t xml:space="preserve">. </w:t>
      </w:r>
      <w:r w:rsidRPr="003A4628">
        <w:rPr>
          <w:rFonts w:asciiTheme="majorHAnsi" w:hAnsiTheme="majorHAnsi"/>
          <w:color w:val="FFA600" w:themeColor="accent1"/>
        </w:rPr>
        <w:t>Primary data may be obtained through meter readings, purchase records, utility bills, engineering models, direct monitoring, material or product balances, stoichiometry or other methods for obtaining data from specific processes in the value chain of the company. A single calculation might include both primary, secondary data and a mix of both expressed by the primary data shar</w:t>
      </w:r>
      <w:r w:rsidR="00EB1550" w:rsidRPr="003A4628">
        <w:rPr>
          <w:rFonts w:asciiTheme="majorHAnsi" w:hAnsiTheme="majorHAnsi"/>
          <w:color w:val="FFA600" w:themeColor="accent1"/>
        </w:rPr>
        <w:t>e</w:t>
      </w:r>
      <w:r w:rsidRPr="003A4628">
        <w:rPr>
          <w:rFonts w:asciiTheme="majorHAnsi" w:hAnsiTheme="majorHAnsi"/>
          <w:color w:val="FFA600" w:themeColor="accent1"/>
        </w:rPr>
        <w:t>. For example, calculating emissions from the consumption of electricity could involve primary activity data, such as data on consumption in kWh, multiplied by a secondary emission factor provided by national GHG inventories representing GHG emission intensity (CO₂eq per kWh).</w:t>
      </w:r>
    </w:p>
    <w:p w14:paraId="15309095" w14:textId="77777777" w:rsidR="008327D7" w:rsidRPr="003A4628" w:rsidRDefault="008327D7" w:rsidP="008327D7">
      <w:pPr>
        <w:rPr>
          <w:rFonts w:asciiTheme="majorHAnsi" w:hAnsiTheme="majorHAnsi"/>
          <w:color w:val="FFA600" w:themeColor="accent1"/>
        </w:rPr>
      </w:pPr>
    </w:p>
    <w:p w14:paraId="03275A9B" w14:textId="3A64D499" w:rsidR="008327D7" w:rsidRPr="003A4628" w:rsidRDefault="00EB1550" w:rsidP="00EB1550">
      <w:pPr>
        <w:pStyle w:val="Caption"/>
        <w:rPr>
          <w:rFonts w:asciiTheme="majorHAnsi" w:hAnsiTheme="majorHAnsi"/>
          <w:color w:val="FFA600" w:themeColor="accent1"/>
        </w:rPr>
      </w:pPr>
      <w:bookmarkStart w:id="42" w:name="_Ref173500917"/>
      <w:bookmarkStart w:id="43" w:name="_Toc167903925"/>
      <w:bookmarkStart w:id="44" w:name="_Ref173500910"/>
      <w:bookmarkStart w:id="45" w:name="_Toc178673577"/>
      <w:r w:rsidRPr="003A4628">
        <w:rPr>
          <w:color w:val="FFA600" w:themeColor="accent1"/>
        </w:rPr>
        <w:t xml:space="preserve">Table </w:t>
      </w:r>
      <w:r w:rsidRPr="003A4628">
        <w:rPr>
          <w:color w:val="FFA600" w:themeColor="accent1"/>
        </w:rPr>
        <w:fldChar w:fldCharType="begin"/>
      </w:r>
      <w:r w:rsidRPr="003A4628">
        <w:rPr>
          <w:color w:val="FFA600" w:themeColor="accent1"/>
        </w:rPr>
        <w:instrText xml:space="preserve"> SEQ Table \* ARABIC </w:instrText>
      </w:r>
      <w:r w:rsidRPr="003A4628">
        <w:rPr>
          <w:color w:val="FFA600" w:themeColor="accent1"/>
        </w:rPr>
        <w:fldChar w:fldCharType="separate"/>
      </w:r>
      <w:r w:rsidR="008272DB">
        <w:rPr>
          <w:noProof/>
          <w:color w:val="FFA600" w:themeColor="accent1"/>
        </w:rPr>
        <w:t>2</w:t>
      </w:r>
      <w:r w:rsidRPr="003A4628">
        <w:rPr>
          <w:color w:val="FFA600" w:themeColor="accent1"/>
        </w:rPr>
        <w:fldChar w:fldCharType="end"/>
      </w:r>
      <w:bookmarkEnd w:id="42"/>
      <w:r w:rsidR="008327D7" w:rsidRPr="003A4628">
        <w:rPr>
          <w:rFonts w:asciiTheme="majorHAnsi" w:hAnsiTheme="majorHAnsi"/>
          <w:color w:val="FFA600" w:themeColor="accent1"/>
        </w:rPr>
        <w:t>: Possible variances of primary and secondary data.</w:t>
      </w:r>
      <w:bookmarkEnd w:id="43"/>
      <w:bookmarkEnd w:id="44"/>
      <w:bookmarkEnd w:id="45"/>
    </w:p>
    <w:tbl>
      <w:tblPr>
        <w:tblStyle w:val="Cantena-X"/>
        <w:tblW w:w="9072" w:type="dxa"/>
        <w:tblLayout w:type="fixed"/>
        <w:tblLook w:val="04A0" w:firstRow="1" w:lastRow="0" w:firstColumn="1" w:lastColumn="0" w:noHBand="0" w:noVBand="1"/>
      </w:tblPr>
      <w:tblGrid>
        <w:gridCol w:w="1522"/>
        <w:gridCol w:w="1773"/>
        <w:gridCol w:w="1525"/>
        <w:gridCol w:w="2456"/>
        <w:gridCol w:w="1796"/>
      </w:tblGrid>
      <w:tr w:rsidR="003A4628" w:rsidRPr="003A4628" w14:paraId="1F10A8BE" w14:textId="77777777" w:rsidTr="00EB1550">
        <w:trPr>
          <w:cnfStyle w:val="100000000000" w:firstRow="1" w:lastRow="0" w:firstColumn="0" w:lastColumn="0" w:oddVBand="0" w:evenVBand="0" w:oddHBand="0" w:evenHBand="0" w:firstRowFirstColumn="0" w:firstRowLastColumn="0" w:lastRowFirstColumn="0" w:lastRowLastColumn="0"/>
          <w:trHeight w:val="300"/>
        </w:trPr>
        <w:tc>
          <w:tcPr>
            <w:tcW w:w="1522" w:type="dxa"/>
            <w:shd w:val="clear" w:color="auto" w:fill="046B99" w:themeFill="accent5"/>
            <w:hideMark/>
          </w:tcPr>
          <w:p w14:paraId="17CBA1CF" w14:textId="77777777" w:rsidR="008327D7" w:rsidRPr="003A4628" w:rsidRDefault="008327D7" w:rsidP="008327D7">
            <w:pPr>
              <w:pStyle w:val="TableText"/>
              <w:rPr>
                <w:b/>
                <w:bCs/>
                <w:color w:val="FFA600" w:themeColor="accent1"/>
              </w:rPr>
            </w:pPr>
            <w:r w:rsidRPr="003A4628">
              <w:rPr>
                <w:b/>
                <w:bCs/>
                <w:color w:val="FFA600" w:themeColor="accent1"/>
              </w:rPr>
              <w:t>Approach</w:t>
            </w:r>
          </w:p>
        </w:tc>
        <w:tc>
          <w:tcPr>
            <w:tcW w:w="7550" w:type="dxa"/>
            <w:gridSpan w:val="4"/>
            <w:shd w:val="clear" w:color="auto" w:fill="046B99" w:themeFill="accent5"/>
            <w:hideMark/>
          </w:tcPr>
          <w:p w14:paraId="7A0B5033" w14:textId="77777777" w:rsidR="008327D7" w:rsidRPr="003A4628" w:rsidRDefault="008327D7" w:rsidP="008327D7">
            <w:pPr>
              <w:pStyle w:val="TableText"/>
              <w:rPr>
                <w:b/>
                <w:bCs/>
                <w:color w:val="FFA600" w:themeColor="accent1"/>
              </w:rPr>
            </w:pPr>
            <w:r w:rsidRPr="003A4628">
              <w:rPr>
                <w:b/>
                <w:bCs/>
                <w:color w:val="FFA600" w:themeColor="accent1"/>
              </w:rPr>
              <w:t>Direct emission measurement</w:t>
            </w:r>
          </w:p>
        </w:tc>
      </w:tr>
      <w:tr w:rsidR="003A4628" w:rsidRPr="003A4628" w14:paraId="176824B4" w14:textId="77777777" w:rsidTr="005A7DDA">
        <w:trPr>
          <w:cnfStyle w:val="000000100000" w:firstRow="0" w:lastRow="0" w:firstColumn="0" w:lastColumn="0" w:oddVBand="0" w:evenVBand="0" w:oddHBand="1" w:evenHBand="0" w:firstRowFirstColumn="0" w:firstRowLastColumn="0" w:lastRowFirstColumn="0" w:lastRowLastColumn="0"/>
          <w:trHeight w:val="300"/>
        </w:trPr>
        <w:tc>
          <w:tcPr>
            <w:tcW w:w="1522" w:type="dxa"/>
            <w:tcBorders>
              <w:bottom w:val="nil"/>
            </w:tcBorders>
            <w:hideMark/>
          </w:tcPr>
          <w:p w14:paraId="5D26505F" w14:textId="71714BA5" w:rsidR="008327D7" w:rsidRPr="003A4628" w:rsidRDefault="008327D7" w:rsidP="008327D7">
            <w:pPr>
              <w:pStyle w:val="TableText"/>
              <w:rPr>
                <w:rStyle w:val="Strong"/>
                <w:rFonts w:asciiTheme="majorHAnsi" w:hAnsiTheme="majorHAnsi"/>
                <w:color w:val="FFA600" w:themeColor="accent1"/>
              </w:rPr>
            </w:pPr>
            <w:r w:rsidRPr="003A4628">
              <w:rPr>
                <w:rStyle w:val="Strong"/>
                <w:rFonts w:asciiTheme="majorHAnsi" w:hAnsiTheme="majorHAnsi"/>
                <w:color w:val="FFA600" w:themeColor="accent1"/>
              </w:rPr>
              <w:t>Primary data</w:t>
            </w:r>
          </w:p>
        </w:tc>
        <w:tc>
          <w:tcPr>
            <w:tcW w:w="7550" w:type="dxa"/>
            <w:gridSpan w:val="4"/>
            <w:tcBorders>
              <w:bottom w:val="nil"/>
            </w:tcBorders>
            <w:hideMark/>
          </w:tcPr>
          <w:p w14:paraId="21E63411" w14:textId="77777777" w:rsidR="008327D7" w:rsidRPr="003A4628" w:rsidRDefault="008327D7" w:rsidP="008327D7">
            <w:pPr>
              <w:pStyle w:val="TableText"/>
              <w:rPr>
                <w:color w:val="FFA600" w:themeColor="accent1"/>
              </w:rPr>
            </w:pPr>
            <w:r w:rsidRPr="003A4628">
              <w:rPr>
                <w:color w:val="FFA600" w:themeColor="accent1"/>
              </w:rPr>
              <w:t>Source of emission is within company boundaries and is measured</w:t>
            </w:r>
          </w:p>
        </w:tc>
      </w:tr>
      <w:tr w:rsidR="003A4628" w:rsidRPr="003A4628" w14:paraId="6FDD625A" w14:textId="77777777" w:rsidTr="00EB1550">
        <w:trPr>
          <w:cnfStyle w:val="000000010000" w:firstRow="0" w:lastRow="0" w:firstColumn="0" w:lastColumn="0" w:oddVBand="0" w:evenVBand="0" w:oddHBand="0" w:evenHBand="1" w:firstRowFirstColumn="0" w:firstRowLastColumn="0" w:lastRowFirstColumn="0" w:lastRowLastColumn="0"/>
          <w:trHeight w:val="300"/>
        </w:trPr>
        <w:tc>
          <w:tcPr>
            <w:tcW w:w="1522" w:type="dxa"/>
            <w:vMerge w:val="restart"/>
            <w:tcBorders>
              <w:top w:val="nil"/>
              <w:left w:val="nil"/>
              <w:bottom w:val="single" w:sz="4" w:space="0" w:color="FFFFFF" w:themeColor="background1"/>
              <w:right w:val="single" w:sz="4" w:space="0" w:color="FFFFFF" w:themeColor="background1"/>
            </w:tcBorders>
            <w:shd w:val="clear" w:color="auto" w:fill="046B99" w:themeFill="accent5"/>
            <w:hideMark/>
          </w:tcPr>
          <w:p w14:paraId="1154CD88" w14:textId="77777777" w:rsidR="008327D7" w:rsidRPr="003A4628" w:rsidRDefault="008327D7" w:rsidP="008327D7">
            <w:pPr>
              <w:pStyle w:val="TableText"/>
              <w:rPr>
                <w:b/>
                <w:bCs/>
                <w:color w:val="FFA600" w:themeColor="accent1"/>
              </w:rPr>
            </w:pPr>
            <w:r w:rsidRPr="003A4628">
              <w:rPr>
                <w:b/>
                <w:bCs/>
                <w:color w:val="FFA600" w:themeColor="accent1"/>
              </w:rPr>
              <w:t>Approach</w:t>
            </w:r>
          </w:p>
        </w:tc>
        <w:tc>
          <w:tcPr>
            <w:tcW w:w="3298" w:type="dxa"/>
            <w:gridSpan w:val="2"/>
            <w:tcBorders>
              <w:top w:val="nil"/>
              <w:left w:val="single" w:sz="4" w:space="0" w:color="FFFFFF" w:themeColor="background1"/>
              <w:bottom w:val="single" w:sz="4" w:space="0" w:color="FFFFFF" w:themeColor="background1"/>
              <w:right w:val="single" w:sz="4" w:space="0" w:color="FFFFFF" w:themeColor="background1"/>
            </w:tcBorders>
            <w:shd w:val="clear" w:color="auto" w:fill="046B99" w:themeFill="accent5"/>
            <w:hideMark/>
          </w:tcPr>
          <w:p w14:paraId="7D5DA076" w14:textId="77777777" w:rsidR="008327D7" w:rsidRPr="003A4628" w:rsidRDefault="008327D7" w:rsidP="008327D7">
            <w:pPr>
              <w:pStyle w:val="TableText"/>
              <w:rPr>
                <w:b/>
                <w:bCs/>
                <w:color w:val="FFA600" w:themeColor="accent1"/>
              </w:rPr>
            </w:pPr>
            <w:r w:rsidRPr="003A4628">
              <w:rPr>
                <w:b/>
                <w:bCs/>
                <w:color w:val="FFA600" w:themeColor="accent1"/>
              </w:rPr>
              <w:t>Activity data source</w:t>
            </w:r>
          </w:p>
        </w:tc>
        <w:tc>
          <w:tcPr>
            <w:tcW w:w="4252" w:type="dxa"/>
            <w:gridSpan w:val="2"/>
            <w:tcBorders>
              <w:top w:val="nil"/>
              <w:left w:val="single" w:sz="4" w:space="0" w:color="FFFFFF" w:themeColor="background1"/>
              <w:bottom w:val="single" w:sz="4" w:space="0" w:color="FFFFFF" w:themeColor="background1"/>
              <w:right w:val="nil"/>
            </w:tcBorders>
            <w:shd w:val="clear" w:color="auto" w:fill="046B99" w:themeFill="accent5"/>
            <w:hideMark/>
          </w:tcPr>
          <w:p w14:paraId="0BE1C8B4" w14:textId="77777777" w:rsidR="008327D7" w:rsidRPr="003A4628" w:rsidRDefault="008327D7" w:rsidP="008327D7">
            <w:pPr>
              <w:pStyle w:val="TableText"/>
              <w:rPr>
                <w:b/>
                <w:bCs/>
                <w:color w:val="FFA600" w:themeColor="accent1"/>
              </w:rPr>
            </w:pPr>
            <w:r w:rsidRPr="003A4628">
              <w:rPr>
                <w:b/>
                <w:bCs/>
                <w:color w:val="FFA600" w:themeColor="accent1"/>
              </w:rPr>
              <w:t>Emission factor source</w:t>
            </w:r>
          </w:p>
        </w:tc>
      </w:tr>
      <w:tr w:rsidR="003A4628" w:rsidRPr="003A4628" w14:paraId="04937C78" w14:textId="77777777" w:rsidTr="00EB1550">
        <w:trPr>
          <w:cnfStyle w:val="000000100000" w:firstRow="0" w:lastRow="0" w:firstColumn="0" w:lastColumn="0" w:oddVBand="0" w:evenVBand="0" w:oddHBand="1" w:evenHBand="0" w:firstRowFirstColumn="0" w:firstRowLastColumn="0" w:lastRowFirstColumn="0" w:lastRowLastColumn="0"/>
          <w:trHeight w:val="300"/>
        </w:trPr>
        <w:tc>
          <w:tcPr>
            <w:tcW w:w="1522" w:type="dxa"/>
            <w:vMerge/>
            <w:shd w:val="clear" w:color="auto" w:fill="046B99" w:themeFill="accent5"/>
            <w:hideMark/>
          </w:tcPr>
          <w:p w14:paraId="1B13030B" w14:textId="77777777" w:rsidR="008327D7" w:rsidRPr="003A4628" w:rsidRDefault="008327D7" w:rsidP="008327D7">
            <w:pPr>
              <w:pStyle w:val="TableText"/>
              <w:rPr>
                <w:b/>
                <w:bCs/>
                <w:color w:val="FFA600" w:themeColor="accent1"/>
              </w:rPr>
            </w:pPr>
          </w:p>
        </w:tc>
        <w:tc>
          <w:tcPr>
            <w:tcW w:w="1773" w:type="dxa"/>
            <w:tcBorders>
              <w:top w:val="single" w:sz="4" w:space="0" w:color="FFFFFF" w:themeColor="background1"/>
              <w:left w:val="single" w:sz="4" w:space="0" w:color="FFFFFF" w:themeColor="background1"/>
              <w:bottom w:val="nil"/>
              <w:right w:val="single" w:sz="4" w:space="0" w:color="FFFFFF" w:themeColor="background1"/>
            </w:tcBorders>
            <w:shd w:val="clear" w:color="auto" w:fill="046B99" w:themeFill="accent5"/>
            <w:hideMark/>
          </w:tcPr>
          <w:p w14:paraId="436889A6" w14:textId="77777777" w:rsidR="008327D7" w:rsidRPr="003A4628" w:rsidRDefault="008327D7" w:rsidP="008327D7">
            <w:pPr>
              <w:pStyle w:val="TableText"/>
              <w:rPr>
                <w:b/>
                <w:bCs/>
                <w:color w:val="FFA600" w:themeColor="accent1"/>
              </w:rPr>
            </w:pPr>
            <w:r w:rsidRPr="003A4628">
              <w:rPr>
                <w:b/>
                <w:bCs/>
                <w:color w:val="FFA600" w:themeColor="accent1"/>
              </w:rPr>
              <w:t>Energy</w:t>
            </w:r>
          </w:p>
        </w:tc>
        <w:tc>
          <w:tcPr>
            <w:tcW w:w="1525" w:type="dxa"/>
            <w:tcBorders>
              <w:top w:val="single" w:sz="4" w:space="0" w:color="FFFFFF" w:themeColor="background1"/>
              <w:left w:val="single" w:sz="4" w:space="0" w:color="FFFFFF" w:themeColor="background1"/>
              <w:bottom w:val="nil"/>
              <w:right w:val="single" w:sz="4" w:space="0" w:color="FFFFFF" w:themeColor="background1"/>
            </w:tcBorders>
            <w:shd w:val="clear" w:color="auto" w:fill="046B99" w:themeFill="accent5"/>
            <w:hideMark/>
          </w:tcPr>
          <w:p w14:paraId="1C75782E" w14:textId="77777777" w:rsidR="008327D7" w:rsidRPr="003A4628" w:rsidRDefault="008327D7" w:rsidP="008327D7">
            <w:pPr>
              <w:pStyle w:val="TableText"/>
              <w:rPr>
                <w:b/>
                <w:bCs/>
                <w:color w:val="FFA600" w:themeColor="accent1"/>
              </w:rPr>
            </w:pPr>
            <w:r w:rsidRPr="003A4628">
              <w:rPr>
                <w:b/>
                <w:bCs/>
                <w:color w:val="FFA600" w:themeColor="accent1"/>
              </w:rPr>
              <w:t>Material</w:t>
            </w:r>
          </w:p>
        </w:tc>
        <w:tc>
          <w:tcPr>
            <w:tcW w:w="2456" w:type="dxa"/>
            <w:tcBorders>
              <w:top w:val="single" w:sz="4" w:space="0" w:color="FFFFFF" w:themeColor="background1"/>
              <w:left w:val="single" w:sz="4" w:space="0" w:color="FFFFFF" w:themeColor="background1"/>
              <w:bottom w:val="nil"/>
              <w:right w:val="single" w:sz="4" w:space="0" w:color="FFFFFF" w:themeColor="background1"/>
            </w:tcBorders>
            <w:shd w:val="clear" w:color="auto" w:fill="046B99" w:themeFill="accent5"/>
            <w:hideMark/>
          </w:tcPr>
          <w:p w14:paraId="61902C24" w14:textId="77777777" w:rsidR="008327D7" w:rsidRPr="003A4628" w:rsidRDefault="008327D7" w:rsidP="008327D7">
            <w:pPr>
              <w:pStyle w:val="TableText"/>
              <w:rPr>
                <w:b/>
                <w:bCs/>
                <w:color w:val="FFA600" w:themeColor="accent1"/>
              </w:rPr>
            </w:pPr>
            <w:r w:rsidRPr="003A4628">
              <w:rPr>
                <w:b/>
                <w:bCs/>
                <w:color w:val="FFA600" w:themeColor="accent1"/>
              </w:rPr>
              <w:t>Energy</w:t>
            </w:r>
          </w:p>
        </w:tc>
        <w:tc>
          <w:tcPr>
            <w:tcW w:w="1796" w:type="dxa"/>
            <w:tcBorders>
              <w:top w:val="single" w:sz="4" w:space="0" w:color="FFFFFF" w:themeColor="background1"/>
              <w:left w:val="single" w:sz="4" w:space="0" w:color="FFFFFF" w:themeColor="background1"/>
              <w:bottom w:val="nil"/>
              <w:right w:val="nil"/>
            </w:tcBorders>
            <w:shd w:val="clear" w:color="auto" w:fill="046B99" w:themeFill="accent5"/>
            <w:hideMark/>
          </w:tcPr>
          <w:p w14:paraId="72FA3A17" w14:textId="77777777" w:rsidR="008327D7" w:rsidRPr="003A4628" w:rsidRDefault="008327D7" w:rsidP="008327D7">
            <w:pPr>
              <w:pStyle w:val="TableText"/>
              <w:rPr>
                <w:b/>
                <w:bCs/>
                <w:color w:val="FFA600" w:themeColor="accent1"/>
              </w:rPr>
            </w:pPr>
            <w:r w:rsidRPr="003A4628">
              <w:rPr>
                <w:b/>
                <w:bCs/>
                <w:color w:val="FFA600" w:themeColor="accent1"/>
              </w:rPr>
              <w:t>Material</w:t>
            </w:r>
          </w:p>
        </w:tc>
      </w:tr>
      <w:tr w:rsidR="003A4628" w:rsidRPr="003A4628" w14:paraId="25C3B35E" w14:textId="77777777" w:rsidTr="005A7DDA">
        <w:trPr>
          <w:cnfStyle w:val="000000010000" w:firstRow="0" w:lastRow="0" w:firstColumn="0" w:lastColumn="0" w:oddVBand="0" w:evenVBand="0" w:oddHBand="0" w:evenHBand="1" w:firstRowFirstColumn="0" w:firstRowLastColumn="0" w:lastRowFirstColumn="0" w:lastRowLastColumn="0"/>
          <w:trHeight w:val="300"/>
        </w:trPr>
        <w:tc>
          <w:tcPr>
            <w:tcW w:w="1522" w:type="dxa"/>
            <w:tcBorders>
              <w:top w:val="nil"/>
            </w:tcBorders>
            <w:hideMark/>
          </w:tcPr>
          <w:p w14:paraId="291AC1AA" w14:textId="418D1F3B" w:rsidR="008327D7" w:rsidRPr="003A4628" w:rsidRDefault="008327D7" w:rsidP="008327D7">
            <w:pPr>
              <w:pStyle w:val="TableText"/>
              <w:rPr>
                <w:rStyle w:val="Strong"/>
                <w:rFonts w:asciiTheme="majorHAnsi" w:hAnsiTheme="majorHAnsi"/>
                <w:color w:val="FFA600" w:themeColor="accent1"/>
              </w:rPr>
            </w:pPr>
            <w:r w:rsidRPr="003A4628">
              <w:rPr>
                <w:rStyle w:val="Strong"/>
                <w:rFonts w:asciiTheme="majorHAnsi" w:hAnsiTheme="majorHAnsi"/>
                <w:color w:val="FFA600" w:themeColor="accent1"/>
              </w:rPr>
              <w:t>Primary data</w:t>
            </w:r>
          </w:p>
        </w:tc>
        <w:tc>
          <w:tcPr>
            <w:tcW w:w="3298" w:type="dxa"/>
            <w:gridSpan w:val="2"/>
            <w:tcBorders>
              <w:top w:val="nil"/>
            </w:tcBorders>
            <w:hideMark/>
          </w:tcPr>
          <w:p w14:paraId="028467D6" w14:textId="77777777" w:rsidR="008327D7" w:rsidRPr="003A4628" w:rsidRDefault="008327D7" w:rsidP="008327D7">
            <w:pPr>
              <w:pStyle w:val="TableText"/>
              <w:rPr>
                <w:color w:val="FFA600" w:themeColor="accent1"/>
              </w:rPr>
            </w:pPr>
            <w:r w:rsidRPr="003A4628">
              <w:rPr>
                <w:color w:val="FFA600" w:themeColor="accent1"/>
              </w:rPr>
              <w:t>Consumption measured</w:t>
            </w:r>
            <w:r w:rsidRPr="003A4628">
              <w:rPr>
                <w:color w:val="FFA600" w:themeColor="accent1"/>
              </w:rPr>
              <w:br/>
              <w:t>(primary)</w:t>
            </w:r>
          </w:p>
        </w:tc>
        <w:tc>
          <w:tcPr>
            <w:tcW w:w="2456" w:type="dxa"/>
            <w:tcBorders>
              <w:top w:val="nil"/>
            </w:tcBorders>
            <w:hideMark/>
          </w:tcPr>
          <w:p w14:paraId="2C901E63" w14:textId="77777777" w:rsidR="008327D7" w:rsidRPr="003A4628" w:rsidRDefault="008327D7" w:rsidP="008327D7">
            <w:pPr>
              <w:pStyle w:val="TableText"/>
              <w:rPr>
                <w:color w:val="FFA600" w:themeColor="accent1"/>
              </w:rPr>
            </w:pPr>
            <w:r w:rsidRPr="003A4628">
              <w:rPr>
                <w:color w:val="FFA600" w:themeColor="accent1"/>
              </w:rPr>
              <w:t>For on-site production</w:t>
            </w:r>
          </w:p>
          <w:p w14:paraId="2FEA84CC" w14:textId="77777777" w:rsidR="008327D7" w:rsidRPr="003A4628" w:rsidRDefault="008327D7" w:rsidP="008327D7">
            <w:pPr>
              <w:pStyle w:val="ListParagraph"/>
              <w:numPr>
                <w:ilvl w:val="0"/>
                <w:numId w:val="0"/>
              </w:numPr>
              <w:jc w:val="left"/>
              <w:rPr>
                <w:rFonts w:asciiTheme="majorHAnsi" w:hAnsiTheme="majorHAnsi"/>
                <w:color w:val="FFA600" w:themeColor="accent1"/>
              </w:rPr>
            </w:pPr>
            <w:r w:rsidRPr="003A4628">
              <w:rPr>
                <w:rFonts w:asciiTheme="majorHAnsi" w:hAnsiTheme="majorHAnsi"/>
                <w:color w:val="FFA600" w:themeColor="accent1"/>
              </w:rPr>
              <w:t>Emission measured (primary)</w:t>
            </w:r>
          </w:p>
          <w:p w14:paraId="52F565DE" w14:textId="77777777" w:rsidR="008327D7" w:rsidRPr="003A4628" w:rsidRDefault="008327D7" w:rsidP="008327D7">
            <w:pPr>
              <w:pStyle w:val="ListParagraph"/>
              <w:numPr>
                <w:ilvl w:val="0"/>
                <w:numId w:val="0"/>
              </w:numPr>
              <w:jc w:val="left"/>
              <w:rPr>
                <w:rFonts w:asciiTheme="majorHAnsi" w:hAnsiTheme="majorHAnsi"/>
                <w:color w:val="FFA600" w:themeColor="accent1"/>
              </w:rPr>
            </w:pPr>
            <w:r w:rsidRPr="003A4628">
              <w:rPr>
                <w:rFonts w:asciiTheme="majorHAnsi" w:hAnsiTheme="majorHAnsi"/>
                <w:color w:val="FFA600" w:themeColor="accent1"/>
              </w:rPr>
              <w:t>For supplier-specific electricity</w:t>
            </w:r>
          </w:p>
          <w:p w14:paraId="2B51D4BC" w14:textId="77777777" w:rsidR="008327D7" w:rsidRPr="003A4628" w:rsidRDefault="008327D7" w:rsidP="006C1918">
            <w:pPr>
              <w:pStyle w:val="ListParagraph"/>
              <w:numPr>
                <w:ilvl w:val="1"/>
                <w:numId w:val="9"/>
              </w:numPr>
              <w:jc w:val="left"/>
              <w:rPr>
                <w:rFonts w:asciiTheme="majorHAnsi" w:hAnsiTheme="majorHAnsi"/>
                <w:color w:val="FFA600" w:themeColor="accent1"/>
              </w:rPr>
            </w:pPr>
            <w:r w:rsidRPr="003A4628">
              <w:rPr>
                <w:rFonts w:asciiTheme="majorHAnsi" w:hAnsiTheme="majorHAnsi"/>
                <w:color w:val="FFA600" w:themeColor="accent1"/>
              </w:rPr>
              <w:t>Primary with gua-rantee of origin</w:t>
            </w:r>
          </w:p>
        </w:tc>
        <w:tc>
          <w:tcPr>
            <w:tcW w:w="1796" w:type="dxa"/>
            <w:tcBorders>
              <w:top w:val="nil"/>
            </w:tcBorders>
            <w:hideMark/>
          </w:tcPr>
          <w:p w14:paraId="7D5AF707" w14:textId="77777777" w:rsidR="008327D7" w:rsidRPr="003A4628" w:rsidRDefault="008327D7" w:rsidP="008327D7">
            <w:pPr>
              <w:pStyle w:val="TableText"/>
              <w:rPr>
                <w:color w:val="FFA600" w:themeColor="accent1"/>
              </w:rPr>
            </w:pPr>
            <w:r w:rsidRPr="003A4628">
              <w:rPr>
                <w:color w:val="FFA600" w:themeColor="accent1"/>
              </w:rPr>
              <w:t xml:space="preserve">Measured and reported as a share by supplier </w:t>
            </w:r>
          </w:p>
        </w:tc>
      </w:tr>
      <w:tr w:rsidR="003A4628" w:rsidRPr="003A4628" w14:paraId="724FB677" w14:textId="77777777" w:rsidTr="005A7DDA">
        <w:trPr>
          <w:cnfStyle w:val="000000100000" w:firstRow="0" w:lastRow="0" w:firstColumn="0" w:lastColumn="0" w:oddVBand="0" w:evenVBand="0" w:oddHBand="1" w:evenHBand="0" w:firstRowFirstColumn="0" w:firstRowLastColumn="0" w:lastRowFirstColumn="0" w:lastRowLastColumn="0"/>
          <w:trHeight w:val="300"/>
        </w:trPr>
        <w:tc>
          <w:tcPr>
            <w:tcW w:w="1522" w:type="dxa"/>
            <w:hideMark/>
          </w:tcPr>
          <w:p w14:paraId="5FC4DF4F" w14:textId="177B7B2F" w:rsidR="008327D7" w:rsidRPr="003A4628" w:rsidRDefault="008327D7" w:rsidP="008327D7">
            <w:pPr>
              <w:pStyle w:val="TableText"/>
              <w:rPr>
                <w:rStyle w:val="Strong"/>
                <w:rFonts w:asciiTheme="majorHAnsi" w:hAnsiTheme="majorHAnsi"/>
                <w:color w:val="FFA600" w:themeColor="accent1"/>
              </w:rPr>
            </w:pPr>
            <w:r w:rsidRPr="003A4628">
              <w:rPr>
                <w:rStyle w:val="Strong"/>
                <w:rFonts w:asciiTheme="majorHAnsi" w:hAnsiTheme="majorHAnsi"/>
                <w:color w:val="FFA600" w:themeColor="accent1"/>
              </w:rPr>
              <w:lastRenderedPageBreak/>
              <w:t>Secondary data</w:t>
            </w:r>
          </w:p>
        </w:tc>
        <w:tc>
          <w:tcPr>
            <w:tcW w:w="3298" w:type="dxa"/>
            <w:gridSpan w:val="2"/>
            <w:hideMark/>
          </w:tcPr>
          <w:p w14:paraId="1EB7C274" w14:textId="77777777" w:rsidR="008327D7" w:rsidRPr="003A4628" w:rsidRDefault="008327D7" w:rsidP="008327D7">
            <w:pPr>
              <w:pStyle w:val="TableText"/>
              <w:rPr>
                <w:color w:val="FFA600" w:themeColor="accent1"/>
              </w:rPr>
            </w:pPr>
            <w:r w:rsidRPr="003A4628">
              <w:rPr>
                <w:color w:val="FFA600" w:themeColor="accent1"/>
              </w:rPr>
              <w:t>Consumption/production measured (primary)</w:t>
            </w:r>
          </w:p>
        </w:tc>
        <w:tc>
          <w:tcPr>
            <w:tcW w:w="4252" w:type="dxa"/>
            <w:gridSpan w:val="2"/>
            <w:hideMark/>
          </w:tcPr>
          <w:p w14:paraId="0AAB8D13" w14:textId="77777777" w:rsidR="008327D7" w:rsidRPr="003A4628" w:rsidRDefault="008327D7" w:rsidP="008327D7">
            <w:pPr>
              <w:pStyle w:val="TableText"/>
              <w:rPr>
                <w:color w:val="FFA600" w:themeColor="accent1"/>
              </w:rPr>
            </w:pPr>
            <w:r w:rsidRPr="003A4628">
              <w:rPr>
                <w:color w:val="FFA600" w:themeColor="accent1"/>
              </w:rPr>
              <w:t>Secondary databases, data proxy</w:t>
            </w:r>
          </w:p>
        </w:tc>
      </w:tr>
    </w:tbl>
    <w:p w14:paraId="7717E5A5" w14:textId="77777777" w:rsidR="008327D7" w:rsidRPr="003A4628" w:rsidRDefault="008327D7" w:rsidP="008327D7">
      <w:pPr>
        <w:rPr>
          <w:rFonts w:asciiTheme="majorHAnsi" w:hAnsiTheme="majorHAnsi"/>
          <w:color w:val="FFA600" w:themeColor="accent1"/>
        </w:rPr>
      </w:pPr>
    </w:p>
    <w:p w14:paraId="6AD1D2DD" w14:textId="5462E71C" w:rsidR="008327D7" w:rsidRPr="003A4628" w:rsidRDefault="008327D7" w:rsidP="008327D7">
      <w:pPr>
        <w:rPr>
          <w:rFonts w:asciiTheme="majorHAnsi" w:hAnsiTheme="majorHAnsi"/>
          <w:color w:val="FFA600" w:themeColor="accent1"/>
        </w:rPr>
      </w:pPr>
      <w:r w:rsidRPr="003A4628">
        <w:rPr>
          <w:rFonts w:asciiTheme="majorHAnsi" w:hAnsiTheme="majorHAnsi"/>
          <w:color w:val="FFA600" w:themeColor="accent1"/>
        </w:rPr>
        <w:t>The data may need to be scaled, aggregated, or otherwise mathematically processed to relate it to the declared unit or the reference flow of the process</w:t>
      </w:r>
      <w:r w:rsidR="00EB1550" w:rsidRPr="003A4628">
        <w:rPr>
          <w:rFonts w:asciiTheme="majorHAnsi" w:hAnsiTheme="majorHAnsi"/>
          <w:color w:val="FFA600" w:themeColor="accent1"/>
        </w:rPr>
        <w:t>.</w:t>
      </w:r>
      <w:r w:rsidRPr="003A4628">
        <w:rPr>
          <w:rFonts w:asciiTheme="majorHAnsi" w:hAnsiTheme="majorHAnsi"/>
          <w:color w:val="FFA600" w:themeColor="accent1"/>
        </w:rPr>
        <w:t xml:space="preserve"> Mathematical modelling may be used to fill in the missing data, or data aggregation may be required to attenuate the effect of revisions, turnarounds, or other atypical production conditions.</w:t>
      </w:r>
    </w:p>
    <w:p w14:paraId="0BF1255F" w14:textId="3D0560F1" w:rsidR="008327D7" w:rsidRDefault="008327D7">
      <w:pPr>
        <w:pStyle w:val="Heading4"/>
      </w:pPr>
      <w:r>
        <w:t>Secondary Data</w:t>
      </w:r>
    </w:p>
    <w:p w14:paraId="29DDF191" w14:textId="77777777" w:rsidR="00AE43C8" w:rsidRDefault="00AE43C8" w:rsidP="00AE43C8">
      <w:pPr>
        <w:rPr>
          <w:rFonts w:asciiTheme="majorHAnsi" w:hAnsiTheme="majorHAnsi"/>
        </w:rPr>
      </w:pPr>
      <w:r>
        <w:rPr>
          <w:rFonts w:asciiTheme="majorHAnsi" w:hAnsiTheme="majorHAnsi"/>
        </w:rPr>
        <w:t>In general the goal to use primary data whenever feasible shall be</w:t>
      </w:r>
      <w:r w:rsidRPr="006D7C62">
        <w:rPr>
          <w:rFonts w:asciiTheme="majorHAnsi" w:hAnsiTheme="majorHAnsi"/>
        </w:rPr>
        <w:t xml:space="preserve"> pursue</w:t>
      </w:r>
      <w:r>
        <w:rPr>
          <w:rFonts w:asciiTheme="majorHAnsi" w:hAnsiTheme="majorHAnsi"/>
        </w:rPr>
        <w:t>d</w:t>
      </w:r>
      <w:r w:rsidRPr="006D7C62">
        <w:rPr>
          <w:rFonts w:asciiTheme="majorHAnsi" w:hAnsiTheme="majorHAnsi"/>
        </w:rPr>
        <w:t xml:space="preserve">. </w:t>
      </w:r>
      <w:r>
        <w:rPr>
          <w:rFonts w:asciiTheme="majorHAnsi" w:hAnsiTheme="majorHAnsi"/>
        </w:rPr>
        <w:t>If the use of primary data is not feasible secondary data may be used. Ideally, t</w:t>
      </w:r>
      <w:r w:rsidRPr="006D7C62">
        <w:rPr>
          <w:rFonts w:asciiTheme="majorHAnsi" w:hAnsiTheme="majorHAnsi"/>
        </w:rPr>
        <w:t>he use of secondary data warrants the following crucial requirements:</w:t>
      </w:r>
    </w:p>
    <w:p w14:paraId="42890E09" w14:textId="77777777" w:rsidR="00AE43C8" w:rsidRPr="006D7C62" w:rsidRDefault="00AE43C8" w:rsidP="006C1918">
      <w:pPr>
        <w:pStyle w:val="ListParagraph"/>
        <w:numPr>
          <w:ilvl w:val="0"/>
          <w:numId w:val="34"/>
        </w:numPr>
        <w:rPr>
          <w:rFonts w:asciiTheme="majorHAnsi" w:hAnsiTheme="majorHAnsi"/>
        </w:rPr>
      </w:pPr>
      <w:r w:rsidRPr="006D7C62">
        <w:rPr>
          <w:rFonts w:asciiTheme="majorHAnsi" w:hAnsiTheme="majorHAnsi"/>
        </w:rPr>
        <w:t>When using secondary data, a conservative estimate shall be applied. With this, the motivation to replace secondary by primary data shall be strengthened.</w:t>
      </w:r>
    </w:p>
    <w:p w14:paraId="1EEC3841" w14:textId="77777777" w:rsidR="00AE43C8" w:rsidRPr="006D7C62" w:rsidRDefault="00AE43C8" w:rsidP="006C1918">
      <w:pPr>
        <w:pStyle w:val="ListParagraph"/>
        <w:numPr>
          <w:ilvl w:val="0"/>
          <w:numId w:val="34"/>
        </w:numPr>
        <w:rPr>
          <w:rFonts w:asciiTheme="majorHAnsi" w:hAnsiTheme="majorHAnsi"/>
          <w:color w:val="595959" w:themeColor="text1" w:themeTint="A6"/>
          <w:szCs w:val="20"/>
        </w:rPr>
      </w:pPr>
      <w:r w:rsidRPr="006D7C62">
        <w:rPr>
          <w:rFonts w:asciiTheme="majorHAnsi" w:hAnsiTheme="majorHAnsi"/>
        </w:rPr>
        <w:t xml:space="preserve">Even if the use of secondary data is required, any </w:t>
      </w:r>
      <w:r>
        <w:rPr>
          <w:rFonts w:asciiTheme="majorHAnsi" w:hAnsiTheme="majorHAnsi"/>
        </w:rPr>
        <w:t xml:space="preserve">eventual </w:t>
      </w:r>
      <w:r w:rsidRPr="006D7C62">
        <w:rPr>
          <w:rFonts w:asciiTheme="majorHAnsi" w:hAnsiTheme="majorHAnsi"/>
        </w:rPr>
        <w:t>competitive distortion shall be avoided</w:t>
      </w:r>
      <w:r>
        <w:rPr>
          <w:rFonts w:asciiTheme="majorHAnsi" w:hAnsiTheme="majorHAnsi"/>
        </w:rPr>
        <w:t xml:space="preserve">. </w:t>
      </w:r>
    </w:p>
    <w:p w14:paraId="6736C5F1" w14:textId="77777777" w:rsidR="00AE43C8" w:rsidRPr="006D7C62" w:rsidRDefault="00AE43C8" w:rsidP="006C1918">
      <w:pPr>
        <w:pStyle w:val="ListParagraph"/>
        <w:numPr>
          <w:ilvl w:val="0"/>
          <w:numId w:val="34"/>
        </w:numPr>
        <w:rPr>
          <w:rFonts w:asciiTheme="majorHAnsi" w:hAnsiTheme="majorHAnsi"/>
        </w:rPr>
      </w:pPr>
      <w:r w:rsidRPr="006D7C62">
        <w:rPr>
          <w:rFonts w:asciiTheme="majorHAnsi" w:hAnsiTheme="majorHAnsi"/>
        </w:rPr>
        <w:t xml:space="preserve">The selection of secondary data shall be guided by the representativeness criteria (see </w:t>
      </w:r>
      <w:r w:rsidRPr="00EB1550">
        <w:rPr>
          <w:rFonts w:asciiTheme="majorHAnsi" w:hAnsiTheme="majorHAnsi"/>
          <w:color w:val="FF0000"/>
        </w:rPr>
        <w:t>xx</w:t>
      </w:r>
      <w:r w:rsidRPr="006D7C62">
        <w:rPr>
          <w:rFonts w:asciiTheme="majorHAnsi" w:hAnsiTheme="majorHAnsi"/>
        </w:rPr>
        <w:t>) to limit errors introduced into the PCF calculation. The effort to search for data with the fewest errors needs to be balanced with economic feasibility to the extent that misleading results are avoided.</w:t>
      </w:r>
    </w:p>
    <w:p w14:paraId="3B548E76" w14:textId="77777777" w:rsidR="00AE43C8" w:rsidRPr="003B6695" w:rsidRDefault="00AE43C8" w:rsidP="006C1918">
      <w:pPr>
        <w:pStyle w:val="ListParagraph"/>
        <w:numPr>
          <w:ilvl w:val="0"/>
          <w:numId w:val="34"/>
        </w:numPr>
        <w:rPr>
          <w:rFonts w:asciiTheme="majorHAnsi" w:hAnsiTheme="majorHAnsi"/>
        </w:rPr>
      </w:pPr>
      <w:r w:rsidRPr="006D7C62">
        <w:rPr>
          <w:rFonts w:asciiTheme="majorHAnsi" w:hAnsiTheme="majorHAnsi"/>
        </w:rPr>
        <w:t xml:space="preserve">Secondary data shall be accessible to all </w:t>
      </w:r>
      <w:r>
        <w:rPr>
          <w:rFonts w:asciiTheme="majorHAnsi" w:hAnsiTheme="majorHAnsi"/>
        </w:rPr>
        <w:t>stakeholders</w:t>
      </w:r>
      <w:r w:rsidRPr="006D7C62">
        <w:rPr>
          <w:rFonts w:asciiTheme="majorHAnsi" w:hAnsiTheme="majorHAnsi"/>
        </w:rPr>
        <w:t>, regardless of size, economic power or experience in life cycle assessment.</w:t>
      </w:r>
    </w:p>
    <w:p w14:paraId="35EA0B87" w14:textId="77777777" w:rsidR="00AE43C8" w:rsidRPr="006D7C62" w:rsidRDefault="00AE43C8" w:rsidP="00AE43C8">
      <w:pPr>
        <w:rPr>
          <w:rFonts w:asciiTheme="majorHAnsi" w:hAnsiTheme="majorHAnsi"/>
        </w:rPr>
      </w:pPr>
      <w:r>
        <w:rPr>
          <w:rFonts w:asciiTheme="majorHAnsi" w:hAnsiTheme="majorHAnsi"/>
        </w:rPr>
        <w:t>T</w:t>
      </w:r>
      <w:r w:rsidRPr="006D7C62">
        <w:rPr>
          <w:rFonts w:asciiTheme="majorHAnsi" w:hAnsiTheme="majorHAnsi"/>
        </w:rPr>
        <w:t xml:space="preserve">hree principal approaches </w:t>
      </w:r>
      <w:r>
        <w:rPr>
          <w:rFonts w:asciiTheme="majorHAnsi" w:hAnsiTheme="majorHAnsi"/>
        </w:rPr>
        <w:t xml:space="preserve">can be followed </w:t>
      </w:r>
      <w:r w:rsidRPr="006D7C62">
        <w:rPr>
          <w:rFonts w:asciiTheme="majorHAnsi" w:hAnsiTheme="majorHAnsi"/>
        </w:rPr>
        <w:t>to harmonize the use of secondary data with respect to the requirements mentioned above:</w:t>
      </w:r>
    </w:p>
    <w:p w14:paraId="6EC8F888" w14:textId="77777777" w:rsidR="00AE43C8" w:rsidRPr="003119F1" w:rsidRDefault="00AE43C8" w:rsidP="006C1918">
      <w:pPr>
        <w:pStyle w:val="ListParagraph"/>
        <w:numPr>
          <w:ilvl w:val="0"/>
          <w:numId w:val="27"/>
        </w:numPr>
        <w:rPr>
          <w:rFonts w:asciiTheme="majorHAnsi" w:hAnsiTheme="majorHAnsi"/>
        </w:rPr>
      </w:pPr>
      <w:r w:rsidRPr="003119F1">
        <w:rPr>
          <w:rFonts w:asciiTheme="majorHAnsi" w:hAnsiTheme="majorHAnsi"/>
        </w:rPr>
        <w:t>Definition of prescriptive secondary data</w:t>
      </w:r>
    </w:p>
    <w:p w14:paraId="2EF365FB" w14:textId="77777777" w:rsidR="00AE43C8" w:rsidRPr="003119F1" w:rsidRDefault="00AE43C8" w:rsidP="006C1918">
      <w:pPr>
        <w:pStyle w:val="ListParagraph"/>
        <w:numPr>
          <w:ilvl w:val="0"/>
          <w:numId w:val="27"/>
        </w:numPr>
        <w:rPr>
          <w:rFonts w:asciiTheme="majorHAnsi" w:hAnsiTheme="majorHAnsi"/>
        </w:rPr>
      </w:pPr>
      <w:r w:rsidRPr="003119F1">
        <w:rPr>
          <w:rFonts w:asciiTheme="majorHAnsi" w:hAnsiTheme="majorHAnsi"/>
        </w:rPr>
        <w:t>Definition of a whitelist of data sources</w:t>
      </w:r>
    </w:p>
    <w:p w14:paraId="78952AA3" w14:textId="4D837CAC" w:rsidR="008327D7" w:rsidRPr="00D1116F" w:rsidRDefault="00AE43C8" w:rsidP="006C1918">
      <w:pPr>
        <w:pStyle w:val="ListParagraph"/>
        <w:numPr>
          <w:ilvl w:val="0"/>
          <w:numId w:val="27"/>
        </w:numPr>
        <w:rPr>
          <w:rFonts w:asciiTheme="majorHAnsi" w:hAnsiTheme="majorHAnsi"/>
        </w:rPr>
      </w:pPr>
      <w:r w:rsidRPr="6FCCD3CB">
        <w:rPr>
          <w:rFonts w:asciiTheme="majorHAnsi" w:hAnsiTheme="majorHAnsi"/>
        </w:rPr>
        <w:t>Definition of hierarchy for secondary data sources</w:t>
      </w:r>
    </w:p>
    <w:p w14:paraId="3CB2D431" w14:textId="6CFAEA42" w:rsidR="008327D7" w:rsidRDefault="008327D7" w:rsidP="008327D7">
      <w:pPr>
        <w:pStyle w:val="Heading4"/>
      </w:pPr>
      <w:r>
        <w:t>Data Quality Rating</w:t>
      </w:r>
    </w:p>
    <w:p w14:paraId="0B25B055" w14:textId="0FCCC2BB" w:rsidR="00E85A78" w:rsidRDefault="00E85A78" w:rsidP="008327D7">
      <w:pPr>
        <w:pStyle w:val="Heading3"/>
      </w:pPr>
      <w:bookmarkStart w:id="46" w:name="_Ref173503419"/>
      <w:bookmarkStart w:id="47" w:name="_Toc178672670"/>
      <w:r>
        <w:t>Cut-off</w:t>
      </w:r>
      <w:bookmarkEnd w:id="46"/>
      <w:bookmarkEnd w:id="47"/>
    </w:p>
    <w:p w14:paraId="79F78B72" w14:textId="401A65DC" w:rsidR="00E85A78" w:rsidRDefault="00E85A78" w:rsidP="008327D7">
      <w:pPr>
        <w:rPr>
          <w:rFonts w:asciiTheme="majorHAnsi" w:hAnsiTheme="majorHAnsi"/>
        </w:rPr>
      </w:pPr>
      <w:r w:rsidRPr="006D7C62">
        <w:rPr>
          <w:rFonts w:asciiTheme="majorHAnsi" w:hAnsiTheme="majorHAnsi"/>
        </w:rPr>
        <w:t>In general, all processes and flows that are attributable to the analyzed system shall be included. If, based on the results of a screening analyses, individual material or energy flows are found to be insignificant for the carbon footprint, these may be excluded for practical reasons (see ISO 14067, PEF method). Process modules, inputs and outputs may only be excluded if their sum represents less than 3% of the total product carbon footprint. This 97% coverage shall be achieved and documented in a screening analysis.</w:t>
      </w:r>
    </w:p>
    <w:p w14:paraId="4E97D64C" w14:textId="385B0F00" w:rsidR="008327D7" w:rsidRPr="006D7C62" w:rsidRDefault="008327D7" w:rsidP="55D15248">
      <w:pPr>
        <w:rPr>
          <w:rFonts w:asciiTheme="majorHAnsi" w:hAnsiTheme="majorHAnsi"/>
        </w:rPr>
      </w:pPr>
      <w:r w:rsidRPr="55D15248">
        <w:rPr>
          <w:rFonts w:asciiTheme="majorHAnsi" w:hAnsiTheme="majorHAnsi"/>
        </w:rPr>
        <w:t xml:space="preserve">An initial screening of the Life Cycle Inventory (LCI) of (a) representative </w:t>
      </w:r>
      <w:r w:rsidR="007F6976">
        <w:rPr>
          <w:rFonts w:asciiTheme="majorHAnsi" w:hAnsiTheme="majorHAnsi"/>
        </w:rPr>
        <w:t>vehicle(s)/</w:t>
      </w:r>
      <w:r w:rsidRPr="55D15248">
        <w:rPr>
          <w:rFonts w:asciiTheme="majorHAnsi" w:hAnsiTheme="majorHAnsi"/>
        </w:rPr>
        <w:t xml:space="preserve">product(s) shall be performed </w:t>
      </w:r>
      <w:r w:rsidR="00A451EF" w:rsidRPr="55D15248">
        <w:rPr>
          <w:rFonts w:asciiTheme="majorHAnsi" w:hAnsiTheme="majorHAnsi"/>
        </w:rPr>
        <w:t>and</w:t>
      </w:r>
      <w:r w:rsidRPr="55D15248">
        <w:rPr>
          <w:rFonts w:asciiTheme="majorHAnsi" w:hAnsiTheme="majorHAnsi"/>
        </w:rPr>
        <w:t xml:space="preserve">, referred to as the screening step. The screening pursues the goal to point out needs of action in terms of data collection activities or activities to improve data quality. A screening shall include the Life Cycle Impact Assessment (LCIA) for the Impact Category Global Warming Potential and allow further refinement of the PCF system model of the product(s) in scope in an iterative manner as more information becomes available. Within screening, no exemption is allowed, and readily available primary or secondary data may be used, fulfilling the data quality requirements to the extent possible. </w:t>
      </w:r>
    </w:p>
    <w:p w14:paraId="3204F17C" w14:textId="700063AE" w:rsidR="008327D7" w:rsidRPr="006D7C62" w:rsidRDefault="008327D7" w:rsidP="008327D7">
      <w:pPr>
        <w:rPr>
          <w:rFonts w:asciiTheme="majorHAnsi" w:hAnsiTheme="majorHAnsi"/>
          <w:bCs/>
        </w:rPr>
      </w:pPr>
      <w:r w:rsidRPr="006D7C62">
        <w:rPr>
          <w:rFonts w:asciiTheme="majorHAnsi" w:hAnsiTheme="majorHAnsi"/>
        </w:rPr>
        <w:t xml:space="preserve">To determine the 97% coverage, the PCF data received from </w:t>
      </w:r>
      <w:r w:rsidR="00A451EF">
        <w:rPr>
          <w:rFonts w:asciiTheme="majorHAnsi" w:hAnsiTheme="majorHAnsi"/>
        </w:rPr>
        <w:t>upstream reporting entities</w:t>
      </w:r>
      <w:r w:rsidRPr="006D7C62">
        <w:rPr>
          <w:rFonts w:asciiTheme="majorHAnsi" w:hAnsiTheme="majorHAnsi"/>
        </w:rPr>
        <w:t xml:space="preserve"> and emission factors shall be considered as 100%, as direct insights in the actual coverage of the upstream </w:t>
      </w:r>
      <w:r w:rsidR="00A451EF">
        <w:rPr>
          <w:rFonts w:asciiTheme="majorHAnsi" w:hAnsiTheme="majorHAnsi"/>
        </w:rPr>
        <w:t>processes</w:t>
      </w:r>
      <w:r w:rsidRPr="006D7C62">
        <w:rPr>
          <w:rFonts w:asciiTheme="majorHAnsi" w:hAnsiTheme="majorHAnsi"/>
        </w:rPr>
        <w:t xml:space="preserve"> are </w:t>
      </w:r>
      <w:r w:rsidR="00A451EF">
        <w:rPr>
          <w:rFonts w:asciiTheme="majorHAnsi" w:hAnsiTheme="majorHAnsi"/>
        </w:rPr>
        <w:t>at least very difficult if not impossible</w:t>
      </w:r>
      <w:r w:rsidRPr="006D7C62">
        <w:rPr>
          <w:rFonts w:asciiTheme="majorHAnsi" w:hAnsiTheme="majorHAnsi"/>
        </w:rPr>
        <w:t>.</w:t>
      </w:r>
    </w:p>
    <w:p w14:paraId="02B0EDA7" w14:textId="77777777" w:rsidR="008327D7" w:rsidRPr="006D7C62" w:rsidRDefault="008327D7" w:rsidP="008327D7">
      <w:pPr>
        <w:rPr>
          <w:rFonts w:asciiTheme="majorHAnsi" w:hAnsiTheme="majorHAnsi"/>
        </w:rPr>
      </w:pPr>
      <w:r w:rsidRPr="006D7C62">
        <w:rPr>
          <w:rFonts w:asciiTheme="majorHAnsi" w:hAnsiTheme="majorHAnsi"/>
        </w:rPr>
        <w:t>Once the screening is performed, the initial scope settings may be refined. The representative product approach and a description of the excluded attributable processes shall be documented.</w:t>
      </w:r>
    </w:p>
    <w:p w14:paraId="21DB51E2" w14:textId="04DA375E" w:rsidR="008327D7" w:rsidRPr="006D7C62" w:rsidRDefault="008327D7" w:rsidP="008327D7">
      <w:pPr>
        <w:rPr>
          <w:rFonts w:asciiTheme="majorHAnsi" w:hAnsiTheme="majorHAnsi"/>
        </w:rPr>
      </w:pPr>
      <w:r w:rsidRPr="006D7C62">
        <w:rPr>
          <w:rFonts w:asciiTheme="majorHAnsi" w:hAnsiTheme="majorHAnsi"/>
        </w:rPr>
        <w:t xml:space="preserve">Compliance can be proven on a product category or sectoral level and does not have to be executed on a product level. Product category rules or sectoral guidance can specify simplified rules </w:t>
      </w:r>
      <w:r w:rsidR="00A451EF">
        <w:rPr>
          <w:rFonts w:asciiTheme="majorHAnsi" w:hAnsiTheme="majorHAnsi"/>
        </w:rPr>
        <w:t>to be applied.</w:t>
      </w:r>
    </w:p>
    <w:p w14:paraId="3751168F" w14:textId="38C7316C" w:rsidR="00E85A78" w:rsidRDefault="00E85A78" w:rsidP="008327D7">
      <w:pPr>
        <w:pStyle w:val="Heading3"/>
      </w:pPr>
      <w:bookmarkStart w:id="48" w:name="_Ref177112020"/>
      <w:bookmarkStart w:id="49" w:name="_Toc178672671"/>
      <w:r>
        <w:t>Energy Modelling</w:t>
      </w:r>
      <w:bookmarkEnd w:id="48"/>
      <w:bookmarkEnd w:id="49"/>
    </w:p>
    <w:p w14:paraId="17D0A252" w14:textId="6D40165E" w:rsidR="008327D7" w:rsidRPr="008327D7" w:rsidRDefault="00A451EF" w:rsidP="008327D7">
      <w:r>
        <w:t>This methodology follows the idea to account GHG of all life cycles. Consequently, the energy modelling follows the same principle and covers all GHG emissions form the cradle or well of energy to the final use.</w:t>
      </w:r>
    </w:p>
    <w:p w14:paraId="7BBFED2B" w14:textId="77777777" w:rsidR="008327D7" w:rsidRDefault="008327D7" w:rsidP="008327D7">
      <w:pPr>
        <w:pStyle w:val="Heading4"/>
        <w:rPr>
          <w:rFonts w:asciiTheme="majorHAnsi" w:hAnsiTheme="majorHAnsi" w:hint="eastAsia"/>
        </w:rPr>
      </w:pPr>
      <w:r w:rsidRPr="006D7C62">
        <w:rPr>
          <w:rFonts w:asciiTheme="majorHAnsi" w:hAnsiTheme="majorHAnsi"/>
        </w:rPr>
        <w:lastRenderedPageBreak/>
        <w:t>Accounting for GHG emissions from electricity</w:t>
      </w:r>
    </w:p>
    <w:p w14:paraId="57243124" w14:textId="4F76AD46" w:rsidR="008327D7" w:rsidRPr="006D7C62" w:rsidRDefault="008327D7" w:rsidP="008327D7">
      <w:pPr>
        <w:rPr>
          <w:rFonts w:asciiTheme="majorHAnsi" w:hAnsiTheme="majorHAnsi"/>
        </w:rPr>
      </w:pPr>
      <w:r w:rsidRPr="006D7C62">
        <w:rPr>
          <w:rFonts w:asciiTheme="majorHAnsi" w:hAnsiTheme="majorHAnsi"/>
        </w:rPr>
        <w:t xml:space="preserve">For each process that requires electricity, </w:t>
      </w:r>
      <w:r w:rsidR="00A451EF">
        <w:rPr>
          <w:rFonts w:asciiTheme="majorHAnsi" w:hAnsiTheme="majorHAnsi"/>
        </w:rPr>
        <w:t>the</w:t>
      </w:r>
      <w:r w:rsidRPr="006D7C62">
        <w:rPr>
          <w:rFonts w:asciiTheme="majorHAnsi" w:hAnsiTheme="majorHAnsi"/>
        </w:rPr>
        <w:t xml:space="preserve"> GHGs emitted by this specific energy use</w:t>
      </w:r>
      <w:r w:rsidR="00A451EF" w:rsidRPr="00A451EF">
        <w:rPr>
          <w:rFonts w:asciiTheme="majorHAnsi" w:hAnsiTheme="majorHAnsi"/>
        </w:rPr>
        <w:t xml:space="preserve"> </w:t>
      </w:r>
      <w:r w:rsidR="00A451EF" w:rsidRPr="006D7C62">
        <w:rPr>
          <w:rFonts w:asciiTheme="majorHAnsi" w:hAnsiTheme="majorHAnsi"/>
        </w:rPr>
        <w:t xml:space="preserve">must </w:t>
      </w:r>
      <w:r w:rsidR="00A451EF">
        <w:rPr>
          <w:rFonts w:asciiTheme="majorHAnsi" w:hAnsiTheme="majorHAnsi"/>
        </w:rPr>
        <w:t xml:space="preserve">be </w:t>
      </w:r>
      <w:r w:rsidR="00A451EF" w:rsidRPr="006D7C62">
        <w:rPr>
          <w:rFonts w:asciiTheme="majorHAnsi" w:hAnsiTheme="majorHAnsi"/>
        </w:rPr>
        <w:t>determine</w:t>
      </w:r>
      <w:r w:rsidR="00A451EF">
        <w:rPr>
          <w:rFonts w:asciiTheme="majorHAnsi" w:hAnsiTheme="majorHAnsi"/>
        </w:rPr>
        <w:t>d</w:t>
      </w:r>
      <w:r w:rsidRPr="006D7C62">
        <w:rPr>
          <w:rFonts w:asciiTheme="majorHAnsi" w:hAnsiTheme="majorHAnsi"/>
        </w:rPr>
        <w:t>. All GHG emissions resulting from the use of the required electricity (cradle-to-gate) shall be included in the product carbon footprint.</w:t>
      </w:r>
    </w:p>
    <w:p w14:paraId="227E203A" w14:textId="77777777" w:rsidR="008327D7" w:rsidRPr="006D7C62" w:rsidRDefault="008327D7" w:rsidP="008327D7">
      <w:pPr>
        <w:rPr>
          <w:rFonts w:asciiTheme="majorHAnsi" w:hAnsiTheme="majorHAnsi"/>
        </w:rPr>
      </w:pPr>
      <w:r w:rsidRPr="006D7C62">
        <w:rPr>
          <w:rFonts w:asciiTheme="majorHAnsi" w:hAnsiTheme="majorHAnsi"/>
        </w:rPr>
        <w:t xml:space="preserve">To calculate the share of electricity consumption in the product carbon footprint, generator-specific emission factors shall be used. Depending on the type of electricity generation, different amounts of greenhouse gases are emitted. The factors used shall take into account upstream emissions (e.g., the mining and transport of fuel to the electricity plant or the growing and processing of biomass for use as an energy source), emissions during the generation of electricity (e.g., combustion of fossil fuels) including </w:t>
      </w:r>
      <w:r w:rsidRPr="006D7C62">
        <w:rPr>
          <w:rFonts w:asciiTheme="majorHAnsi" w:hAnsiTheme="majorHAnsi"/>
          <w:lang w:val="en-GB"/>
        </w:rPr>
        <w:t xml:space="preserve">losses during transmission and distribution </w:t>
      </w:r>
      <w:r w:rsidRPr="006D7C62">
        <w:rPr>
          <w:rFonts w:asciiTheme="majorHAnsi" w:hAnsiTheme="majorHAnsi"/>
        </w:rPr>
        <w:t>and downstream emissions (e.g., the treatment of waste arising from the electricity plants).</w:t>
      </w:r>
    </w:p>
    <w:p w14:paraId="7E5A185C" w14:textId="77777777" w:rsidR="008327D7" w:rsidRDefault="008327D7" w:rsidP="008327D7">
      <w:pPr>
        <w:pStyle w:val="Heading5"/>
      </w:pPr>
      <w:r w:rsidRPr="008327D7">
        <w:t>Electricity from a directly and dedicated connected generator</w:t>
      </w:r>
    </w:p>
    <w:p w14:paraId="7188D5FE" w14:textId="77777777" w:rsidR="008327D7" w:rsidRPr="006D7C62" w:rsidRDefault="008327D7" w:rsidP="008327D7">
      <w:pPr>
        <w:rPr>
          <w:rFonts w:asciiTheme="majorHAnsi" w:hAnsiTheme="majorHAnsi"/>
        </w:rPr>
      </w:pPr>
      <w:r w:rsidRPr="006D7C62">
        <w:rPr>
          <w:rFonts w:asciiTheme="majorHAnsi" w:hAnsiTheme="majorHAnsi"/>
        </w:rPr>
        <w:t>If electricity is produced on site with a direct connection to the power generator (e.g., photovoltaic plant on the roof, wind park beside the production facility, own fossil power plant) or a direct connection to a power generator operated by a power supplier, the amount of electricity consumed by this power generator and the related emission factor shall be used if no contractual instruments have been sold to a third party. Otherwise, the country-specific residual grid mix shall be used.</w:t>
      </w:r>
    </w:p>
    <w:p w14:paraId="29866F4E" w14:textId="77777777" w:rsidR="008327D7" w:rsidRPr="006D7C62" w:rsidRDefault="008327D7" w:rsidP="008327D7">
      <w:pPr>
        <w:rPr>
          <w:rFonts w:asciiTheme="majorHAnsi" w:hAnsiTheme="majorHAnsi"/>
        </w:rPr>
      </w:pPr>
      <w:r w:rsidRPr="006D7C62">
        <w:rPr>
          <w:rFonts w:asciiTheme="majorHAnsi" w:hAnsiTheme="majorHAnsi"/>
        </w:rPr>
        <w:t>As verification of using electricity from the company's own facilities, proof of installation of the company's own generation technology as well as a meter reading shall be available. The amount of electricity and the period of the meter reading shall be equal to the amount of electricity required and the respective period. In addition, the meter reading should be confirmed by a third party to prove that the specified generation technology, the respective period and the amount of electricity generated are in fact as stated.</w:t>
      </w:r>
    </w:p>
    <w:p w14:paraId="4375BD58" w14:textId="77777777" w:rsidR="008327D7" w:rsidRDefault="008327D7" w:rsidP="008327D7">
      <w:pPr>
        <w:pStyle w:val="Heading5"/>
      </w:pPr>
      <w:r w:rsidRPr="008327D7">
        <w:t>Electricity (from a power supplier or) via contractual instruments</w:t>
      </w:r>
    </w:p>
    <w:p w14:paraId="3BEC6704" w14:textId="77777777" w:rsidR="008327D7" w:rsidRPr="006D7C62" w:rsidRDefault="008327D7" w:rsidP="008327D7">
      <w:pPr>
        <w:rPr>
          <w:rFonts w:asciiTheme="majorHAnsi" w:hAnsiTheme="majorHAnsi"/>
        </w:rPr>
      </w:pPr>
      <w:r w:rsidRPr="006D7C62">
        <w:rPr>
          <w:rFonts w:asciiTheme="majorHAnsi" w:hAnsiTheme="majorHAnsi"/>
        </w:rPr>
        <w:t>If electricity is accessed via a contractual instrument, the following electricity mix shall be used</w:t>
      </w:r>
      <w:r>
        <w:rPr>
          <w:rFonts w:asciiTheme="majorHAnsi" w:hAnsiTheme="majorHAnsi"/>
        </w:rPr>
        <w:t>:</w:t>
      </w:r>
    </w:p>
    <w:p w14:paraId="7738DD2A" w14:textId="77777777" w:rsidR="008327D7" w:rsidRPr="009643B4" w:rsidRDefault="008327D7" w:rsidP="008327D7">
      <w:pPr>
        <w:ind w:left="284" w:hanging="284"/>
        <w:rPr>
          <w:rFonts w:asciiTheme="majorHAnsi" w:hAnsiTheme="majorHAnsi"/>
        </w:rPr>
      </w:pPr>
      <w:r>
        <w:rPr>
          <w:rFonts w:asciiTheme="majorHAnsi" w:hAnsiTheme="majorHAnsi"/>
        </w:rPr>
        <w:t xml:space="preserve">1. </w:t>
      </w:r>
      <w:r w:rsidRPr="009643B4">
        <w:rPr>
          <w:rFonts w:asciiTheme="majorHAnsi" w:hAnsiTheme="majorHAnsi"/>
        </w:rPr>
        <w:t>Supplier-specific electricity product shall be used if:</w:t>
      </w:r>
    </w:p>
    <w:p w14:paraId="5B8996DB" w14:textId="77777777" w:rsidR="008327D7" w:rsidRPr="00F44C1E" w:rsidRDefault="008327D7" w:rsidP="006C1918">
      <w:pPr>
        <w:pStyle w:val="ListParagraph"/>
        <w:numPr>
          <w:ilvl w:val="0"/>
          <w:numId w:val="26"/>
        </w:numPr>
        <w:rPr>
          <w:rFonts w:asciiTheme="majorHAnsi" w:hAnsiTheme="majorHAnsi"/>
        </w:rPr>
      </w:pPr>
      <w:r w:rsidRPr="00F44C1E">
        <w:rPr>
          <w:rFonts w:asciiTheme="majorHAnsi" w:hAnsiTheme="majorHAnsi"/>
        </w:rPr>
        <w:t>a tracking system is installed in the country.</w:t>
      </w:r>
    </w:p>
    <w:p w14:paraId="486D407A" w14:textId="77777777" w:rsidR="008327D7" w:rsidRPr="00F44C1E" w:rsidRDefault="008327D7" w:rsidP="006C1918">
      <w:pPr>
        <w:pStyle w:val="ListParagraph"/>
        <w:numPr>
          <w:ilvl w:val="0"/>
          <w:numId w:val="26"/>
        </w:numPr>
        <w:rPr>
          <w:rFonts w:asciiTheme="majorHAnsi" w:hAnsiTheme="majorHAnsi"/>
        </w:rPr>
      </w:pPr>
      <w:r w:rsidRPr="00F44C1E">
        <w:rPr>
          <w:rFonts w:asciiTheme="majorHAnsi" w:hAnsiTheme="majorHAnsi"/>
        </w:rPr>
        <w:t xml:space="preserve">the set of minimum criteria to ensure the contractual instruments are reliable is met, i.e., no double counting and no exclusions. </w:t>
      </w:r>
    </w:p>
    <w:p w14:paraId="224F57E5" w14:textId="77777777" w:rsidR="008327D7" w:rsidRPr="00264A84" w:rsidRDefault="008327D7" w:rsidP="008327D7">
      <w:pPr>
        <w:pStyle w:val="ListParagraph"/>
        <w:numPr>
          <w:ilvl w:val="0"/>
          <w:numId w:val="0"/>
        </w:numPr>
        <w:rPr>
          <w:rFonts w:asciiTheme="majorHAnsi" w:hAnsiTheme="majorHAnsi"/>
        </w:rPr>
      </w:pPr>
      <w:r>
        <w:rPr>
          <w:rFonts w:asciiTheme="majorHAnsi" w:hAnsiTheme="majorHAnsi"/>
        </w:rPr>
        <w:t xml:space="preserve">2. </w:t>
      </w:r>
      <w:r w:rsidRPr="006D7C62">
        <w:rPr>
          <w:rFonts w:asciiTheme="majorHAnsi" w:hAnsiTheme="majorHAnsi"/>
        </w:rPr>
        <w:t>Total supplier-specific electricity mix, i.e., the share of electricity supply specific to the supplier, shall be used if</w:t>
      </w:r>
      <w:r>
        <w:rPr>
          <w:rFonts w:asciiTheme="majorHAnsi" w:hAnsiTheme="majorHAnsi"/>
        </w:rPr>
        <w:t xml:space="preserve"> </w:t>
      </w:r>
      <w:r w:rsidRPr="00264A84">
        <w:rPr>
          <w:rFonts w:asciiTheme="majorHAnsi" w:hAnsiTheme="majorHAnsi"/>
        </w:rPr>
        <w:t>the set of minimum criteria is met to ensure the contractual instruments are reliable.</w:t>
      </w:r>
    </w:p>
    <w:p w14:paraId="58EBC248"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The country-specific residual grid mix (consumption mix) shall be used (such as AIB</w:t>
      </w:r>
      <w:r w:rsidRPr="006D7C62">
        <w:rPr>
          <w:rStyle w:val="FootnoteReference"/>
          <w:rFonts w:asciiTheme="majorHAnsi" w:hAnsiTheme="majorHAnsi"/>
          <w:sz w:val="20"/>
          <w:szCs w:val="20"/>
          <w:vertAlign w:val="baseline"/>
        </w:rPr>
        <w:footnoteReference w:id="4"/>
      </w:r>
      <w:r w:rsidRPr="006D7C62">
        <w:rPr>
          <w:rFonts w:asciiTheme="majorHAnsi" w:hAnsiTheme="majorHAnsi"/>
        </w:rPr>
        <w:t xml:space="preserve"> for Europe). Country-specific means the country in which the activity occurs.</w:t>
      </w:r>
    </w:p>
    <w:p w14:paraId="6789390B" w14:textId="023053C5"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The regional residual grid mix (consumption mix), or region representative residual grid mix, consumption mix, shall be used.</w:t>
      </w:r>
    </w:p>
    <w:p w14:paraId="165E42A0" w14:textId="68C70123" w:rsidR="008327D7" w:rsidRPr="006D7C62" w:rsidRDefault="008327D7" w:rsidP="008327D7">
      <w:pPr>
        <w:rPr>
          <w:rFonts w:asciiTheme="majorHAnsi" w:hAnsiTheme="majorHAnsi"/>
        </w:rPr>
      </w:pPr>
      <w:r w:rsidRPr="006D7C62">
        <w:rPr>
          <w:rFonts w:asciiTheme="majorHAnsi" w:hAnsiTheme="majorHAnsi"/>
        </w:rPr>
        <w:t xml:space="preserve">If residual grid mixes are not available, grid-specific </w:t>
      </w:r>
      <w:r>
        <w:rPr>
          <w:rFonts w:asciiTheme="majorHAnsi" w:hAnsiTheme="majorHAnsi"/>
        </w:rPr>
        <w:t>fossil</w:t>
      </w:r>
      <w:r w:rsidRPr="006D7C62">
        <w:rPr>
          <w:rFonts w:asciiTheme="majorHAnsi" w:hAnsiTheme="majorHAnsi"/>
        </w:rPr>
        <w:t xml:space="preserve"> </w:t>
      </w:r>
      <w:r w:rsidR="00A451EF">
        <w:rPr>
          <w:rFonts w:asciiTheme="majorHAnsi" w:hAnsiTheme="majorHAnsi"/>
        </w:rPr>
        <w:t xml:space="preserve">production </w:t>
      </w:r>
      <w:r w:rsidRPr="006D7C62">
        <w:rPr>
          <w:rFonts w:asciiTheme="majorHAnsi" w:hAnsiTheme="majorHAnsi"/>
        </w:rPr>
        <w:t xml:space="preserve">mixes </w:t>
      </w:r>
      <w:r>
        <w:rPr>
          <w:rFonts w:asciiTheme="majorHAnsi" w:hAnsiTheme="majorHAnsi"/>
        </w:rPr>
        <w:t>shall</w:t>
      </w:r>
      <w:r w:rsidRPr="006D7C62">
        <w:rPr>
          <w:rFonts w:asciiTheme="majorHAnsi" w:hAnsiTheme="majorHAnsi"/>
        </w:rPr>
        <w:t xml:space="preserve"> be used.</w:t>
      </w:r>
    </w:p>
    <w:p w14:paraId="392EAF9E" w14:textId="77777777" w:rsidR="008327D7" w:rsidRPr="006D7C62" w:rsidRDefault="008327D7" w:rsidP="008327D7">
      <w:pPr>
        <w:rPr>
          <w:rFonts w:asciiTheme="majorHAnsi" w:hAnsiTheme="majorHAnsi"/>
        </w:rPr>
      </w:pPr>
      <w:r w:rsidRPr="006D7C62">
        <w:rPr>
          <w:rFonts w:asciiTheme="majorHAnsi" w:hAnsiTheme="majorHAnsi"/>
        </w:rPr>
        <w:t>In general, three different reference types can be defined for contractual instruments:</w:t>
      </w:r>
    </w:p>
    <w:p w14:paraId="4F1422C7" w14:textId="77777777" w:rsidR="008327D7" w:rsidRPr="006D7C62" w:rsidRDefault="008327D7" w:rsidP="008327D7">
      <w:pPr>
        <w:pStyle w:val="ListParagraph"/>
        <w:numPr>
          <w:ilvl w:val="0"/>
          <w:numId w:val="0"/>
        </w:numPr>
        <w:rPr>
          <w:rFonts w:asciiTheme="majorHAnsi" w:hAnsiTheme="majorHAnsi"/>
          <w:spacing w:val="-4"/>
        </w:rPr>
      </w:pPr>
      <w:r w:rsidRPr="006D7C62">
        <w:rPr>
          <w:rStyle w:val="Strong"/>
          <w:rFonts w:asciiTheme="majorHAnsi" w:hAnsiTheme="majorHAnsi"/>
        </w:rPr>
        <w:t>Utility Tariffs</w:t>
      </w:r>
      <w:r w:rsidRPr="006D7C62">
        <w:rPr>
          <w:rStyle w:val="Strong"/>
          <w:rFonts w:asciiTheme="majorHAnsi" w:hAnsiTheme="majorHAnsi"/>
          <w:bCs w:val="0"/>
        </w:rPr>
        <w:tab/>
      </w:r>
      <w:r w:rsidRPr="006D7C62">
        <w:rPr>
          <w:rFonts w:asciiTheme="majorHAnsi" w:hAnsiTheme="majorHAnsi"/>
        </w:rPr>
        <w:br/>
      </w:r>
      <w:r w:rsidRPr="006D7C62">
        <w:rPr>
          <w:rFonts w:asciiTheme="majorHAnsi" w:hAnsiTheme="majorHAnsi"/>
          <w:spacing w:val="-4"/>
        </w:rPr>
        <w:t>When using an electricity supply contract, electricity is purchased from a supplier via the public grid.</w:t>
      </w:r>
    </w:p>
    <w:p w14:paraId="52871917" w14:textId="77777777" w:rsidR="008327D7" w:rsidRPr="006D7C62" w:rsidRDefault="008327D7" w:rsidP="008327D7">
      <w:pPr>
        <w:pStyle w:val="ListParagraph"/>
        <w:numPr>
          <w:ilvl w:val="0"/>
          <w:numId w:val="0"/>
        </w:numPr>
        <w:rPr>
          <w:rFonts w:asciiTheme="majorHAnsi" w:hAnsiTheme="majorHAnsi"/>
          <w:spacing w:val="-4"/>
        </w:rPr>
      </w:pPr>
    </w:p>
    <w:p w14:paraId="23DA574E" w14:textId="77777777" w:rsidR="008327D7" w:rsidRPr="006D7C62" w:rsidRDefault="008327D7" w:rsidP="008327D7">
      <w:pPr>
        <w:pStyle w:val="ListParagraph"/>
        <w:numPr>
          <w:ilvl w:val="0"/>
          <w:numId w:val="0"/>
        </w:numPr>
        <w:rPr>
          <w:rFonts w:asciiTheme="majorHAnsi" w:hAnsiTheme="majorHAnsi"/>
        </w:rPr>
      </w:pPr>
      <w:r w:rsidRPr="006D7C62">
        <w:rPr>
          <w:rStyle w:val="Strong"/>
          <w:rFonts w:asciiTheme="majorHAnsi" w:hAnsiTheme="majorHAnsi"/>
        </w:rPr>
        <w:t>Energy Attribute Certificates (EACs)</w:t>
      </w:r>
      <w:r w:rsidRPr="006D7C62">
        <w:rPr>
          <w:rStyle w:val="Strong"/>
          <w:rFonts w:asciiTheme="majorHAnsi" w:hAnsiTheme="majorHAnsi"/>
        </w:rPr>
        <w:tab/>
      </w:r>
      <w:r w:rsidRPr="006D7C62">
        <w:rPr>
          <w:rStyle w:val="Strong"/>
          <w:rFonts w:asciiTheme="majorHAnsi" w:hAnsiTheme="majorHAnsi"/>
        </w:rPr>
        <w:br/>
      </w:r>
      <w:r w:rsidRPr="006D7C62">
        <w:rPr>
          <w:rFonts w:asciiTheme="majorHAnsi" w:hAnsiTheme="majorHAnsi"/>
        </w:rPr>
        <w:t>EACs should enable renewable energy to be tradable. An EAC is a certificate that proves that one megawatt hour of electricity was generated from renewable energy and transferred into the electricity grid. EACs can be separated from the physical quantity of electricity and therefore traded independently. Depending on the region, different systems are in place for trading Energy Attribute Certificates. For example, International Renewable Energy Certificates (iRECs) are traded through an international registry as a renewable energy instrument. In contrast, Renewable Energy Certificates (RECs) or Guarantees of Origin (GoOs) are examples of verification instruments in specific regions.</w:t>
      </w:r>
    </w:p>
    <w:p w14:paraId="0A541DE9" w14:textId="77777777" w:rsidR="008327D7" w:rsidRPr="006D7C62" w:rsidRDefault="008327D7" w:rsidP="008327D7">
      <w:pPr>
        <w:pStyle w:val="ListParagraph"/>
        <w:numPr>
          <w:ilvl w:val="0"/>
          <w:numId w:val="0"/>
        </w:numPr>
        <w:rPr>
          <w:rFonts w:asciiTheme="majorHAnsi" w:hAnsiTheme="majorHAnsi"/>
        </w:rPr>
      </w:pPr>
    </w:p>
    <w:p w14:paraId="580C2D90" w14:textId="77777777" w:rsidR="008327D7" w:rsidRPr="006D7C62" w:rsidRDefault="008327D7" w:rsidP="008327D7">
      <w:pPr>
        <w:pStyle w:val="ListParagraph"/>
        <w:numPr>
          <w:ilvl w:val="0"/>
          <w:numId w:val="0"/>
        </w:numPr>
        <w:rPr>
          <w:rFonts w:asciiTheme="majorHAnsi" w:hAnsiTheme="majorHAnsi"/>
        </w:rPr>
      </w:pPr>
      <w:r w:rsidRPr="006D7C62">
        <w:rPr>
          <w:rStyle w:val="Strong"/>
          <w:rFonts w:asciiTheme="majorHAnsi" w:hAnsiTheme="majorHAnsi"/>
        </w:rPr>
        <w:t>Power Purchase Agreements (PPAs)</w:t>
      </w:r>
      <w:r w:rsidRPr="006D7C62">
        <w:rPr>
          <w:rFonts w:asciiTheme="majorHAnsi" w:hAnsiTheme="majorHAnsi"/>
        </w:rPr>
        <w:tab/>
      </w:r>
      <w:r w:rsidRPr="006D7C62">
        <w:rPr>
          <w:rFonts w:asciiTheme="majorHAnsi" w:hAnsiTheme="majorHAnsi"/>
        </w:rPr>
        <w:br/>
        <w:t xml:space="preserve">A PPA is an electricity supply contract concluded directly between an electricity producer (plant operator) and an electricity consumer. The contract specifies the delivery of a certain amount of electricity over a </w:t>
      </w:r>
      <w:r w:rsidRPr="006D7C62">
        <w:rPr>
          <w:rFonts w:asciiTheme="majorHAnsi" w:hAnsiTheme="majorHAnsi"/>
        </w:rPr>
        <w:lastRenderedPageBreak/>
        <w:t>particular period at an agreed price. In general, the types of PPAs can be differentiated. There are physical PPAs, which can be further subdivided into on-site and off-site, and virtual PPAs.</w:t>
      </w:r>
    </w:p>
    <w:p w14:paraId="663CD6CF"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lang w:val="en-GB"/>
        </w:rPr>
        <w:t>Electricity from PPAs can only be considered an eligible linked with EACs.</w:t>
      </w:r>
    </w:p>
    <w:p w14:paraId="4709B9D0" w14:textId="77777777" w:rsidR="008327D7" w:rsidRPr="006D7C62" w:rsidRDefault="008327D7" w:rsidP="55D15248">
      <w:pPr>
        <w:rPr>
          <w:rFonts w:asciiTheme="majorHAnsi" w:hAnsiTheme="majorHAnsi"/>
        </w:rPr>
      </w:pPr>
      <w:r w:rsidRPr="55D15248">
        <w:rPr>
          <w:rFonts w:asciiTheme="majorHAnsi" w:hAnsiTheme="majorHAnsi"/>
        </w:rPr>
        <w:t>The contractual instrument used to calculate the related emission factor shall meet the following minimum criteria:</w:t>
      </w:r>
    </w:p>
    <w:p w14:paraId="5B2A28A4"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It shall convey the information associated with the unit of electricity delivered together with the characteristics of the generator.</w:t>
      </w:r>
    </w:p>
    <w:p w14:paraId="7B6611BD"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It shall be assured with a unique claim and therefore be the only instruments that carry the environmental attribute claim associated with that quantity of electricity generated.</w:t>
      </w:r>
    </w:p>
    <w:p w14:paraId="15C36AA9"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It shall be tracked and redeemed, retired or cancelled by or on behalf of the company (e.g., by an audit of contracts, third-party certification, or may be handled automatically through other disclosure registries, systems, or mechanisms).</w:t>
      </w:r>
    </w:p>
    <w:p w14:paraId="04DF978F"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It shall refer to the same year to which the contractual instrument is applied.</w:t>
      </w:r>
    </w:p>
    <w:p w14:paraId="10C60B57"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The attribute tracking instrument shall refer to an electricity production asset located in the same regional market (within which a</w:t>
      </w:r>
      <w:r>
        <w:rPr>
          <w:rFonts w:asciiTheme="majorHAnsi" w:hAnsiTheme="majorHAnsi"/>
        </w:rPr>
        <w:t>n</w:t>
      </w:r>
      <w:r w:rsidRPr="006D7C62">
        <w:rPr>
          <w:rFonts w:asciiTheme="majorHAnsi" w:hAnsiTheme="majorHAnsi"/>
        </w:rPr>
        <w:t xml:space="preserve"> interconnection can be proven).</w:t>
      </w:r>
    </w:p>
    <w:p w14:paraId="18ADB989" w14:textId="77777777" w:rsidR="008327D7" w:rsidRPr="006D7C62" w:rsidRDefault="008327D7" w:rsidP="008327D7">
      <w:pPr>
        <w:rPr>
          <w:rFonts w:asciiTheme="majorHAnsi" w:hAnsiTheme="majorHAnsi"/>
        </w:rPr>
      </w:pPr>
      <w:r w:rsidRPr="006D7C62">
        <w:rPr>
          <w:rFonts w:asciiTheme="majorHAnsi" w:hAnsiTheme="majorHAnsi"/>
        </w:rPr>
        <w:t>If the electricity consumed comes from more than one electricity mix, each mix source shall be used in terms of its proportion in the total kWh consumed. If a certificate of origin covers only a part of the consumed electricity, the residual grid mix shall be used for the uncovered amount.</w:t>
      </w:r>
    </w:p>
    <w:p w14:paraId="5BB387B2" w14:textId="77777777" w:rsidR="008327D7" w:rsidRPr="006D7C62" w:rsidRDefault="008327D7" w:rsidP="008327D7">
      <w:pPr>
        <w:rPr>
          <w:rFonts w:asciiTheme="majorHAnsi" w:hAnsiTheme="majorHAnsi"/>
        </w:rPr>
      </w:pPr>
      <w:r w:rsidRPr="006D7C62">
        <w:rPr>
          <w:rFonts w:asciiTheme="majorHAnsi" w:hAnsiTheme="majorHAnsi"/>
        </w:rPr>
        <w:t>In addition to the emission factors as shown in the contractual instrument of the electricity, the following GHG emissions shall be taken into account:</w:t>
      </w:r>
    </w:p>
    <w:p w14:paraId="1169AA15"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Upstream emissions (e.g., the mining and transport of fuel to the electricity plant, the growing and processing of biomass for use as an energy source or construction and maintenance)</w:t>
      </w:r>
    </w:p>
    <w:p w14:paraId="1DAEA91E" w14:textId="77777777" w:rsidR="008327D7" w:rsidRPr="006D7C62" w:rsidRDefault="008327D7" w:rsidP="008327D7">
      <w:pPr>
        <w:pStyle w:val="ListParagraph"/>
        <w:numPr>
          <w:ilvl w:val="0"/>
          <w:numId w:val="0"/>
        </w:numPr>
        <w:rPr>
          <w:rFonts w:asciiTheme="majorHAnsi" w:hAnsiTheme="majorHAnsi"/>
        </w:rPr>
      </w:pPr>
      <w:r w:rsidRPr="006D7C62">
        <w:rPr>
          <w:rFonts w:asciiTheme="majorHAnsi" w:hAnsiTheme="majorHAnsi"/>
        </w:rPr>
        <w:t>Downstream emissions (e.g., the treatment of waste arising from the electricity plants)</w:t>
      </w:r>
    </w:p>
    <w:p w14:paraId="403C7893" w14:textId="77777777" w:rsidR="008327D7" w:rsidRPr="008327D7" w:rsidRDefault="008327D7" w:rsidP="008327D7"/>
    <w:p w14:paraId="361A0433" w14:textId="404A04CA" w:rsidR="00E85A78" w:rsidRDefault="00E85A78" w:rsidP="008327D7">
      <w:pPr>
        <w:pStyle w:val="Heading3"/>
      </w:pPr>
      <w:bookmarkStart w:id="50" w:name="_Ref173503015"/>
      <w:bookmarkStart w:id="51" w:name="_Toc178672672"/>
      <w:r>
        <w:t>Allocation Rules</w:t>
      </w:r>
      <w:bookmarkEnd w:id="50"/>
      <w:bookmarkEnd w:id="51"/>
    </w:p>
    <w:p w14:paraId="4C88FC39" w14:textId="4AB0B8CC" w:rsidR="00305D6C" w:rsidRPr="00F64E03" w:rsidRDefault="00305D6C" w:rsidP="008327D7">
      <w:pPr>
        <w:rPr>
          <w:rFonts w:asciiTheme="majorHAnsi" w:hAnsiTheme="majorHAnsi"/>
          <w:color w:val="FFA600" w:themeColor="accent1"/>
        </w:rPr>
      </w:pPr>
      <w:r w:rsidRPr="00F64E03">
        <w:rPr>
          <w:rFonts w:asciiTheme="majorHAnsi" w:hAnsiTheme="majorHAnsi"/>
          <w:color w:val="FFA600" w:themeColor="accent1"/>
        </w:rPr>
        <w:t>In case a process has more than one output the question how to allocate the 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 xml:space="preserve">e-burden to the outputs arises. Outputs of a process can be viewed as products, co-products or waste. Products or co-products share the CO2e-burden of the production/generation process, whereas waste eventually increases the CO2e-burden for the product. In a first step the question waste or product must be answered (see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_Ref173498968 \h </w:instrText>
      </w:r>
      <w:r w:rsidRPr="00F64E03">
        <w:rPr>
          <w:rFonts w:asciiTheme="majorHAnsi" w:hAnsiTheme="majorHAnsi"/>
          <w:color w:val="FFA600" w:themeColor="accent1"/>
        </w:rPr>
      </w:r>
      <w:r w:rsidRPr="00F64E03">
        <w:rPr>
          <w:rFonts w:asciiTheme="majorHAnsi" w:hAnsiTheme="majorHAnsi"/>
          <w:color w:val="FFA600" w:themeColor="accent1"/>
        </w:rPr>
        <w:fldChar w:fldCharType="separate"/>
      </w:r>
      <w:r w:rsidRPr="00F64E03">
        <w:rPr>
          <w:color w:val="FFA600" w:themeColor="accent1"/>
        </w:rPr>
        <w:t xml:space="preserve">Figure </w:t>
      </w:r>
      <w:r w:rsidRPr="00F64E03">
        <w:rPr>
          <w:noProof/>
          <w:color w:val="FFA600" w:themeColor="accent1"/>
        </w:rPr>
        <w:t>3</w:t>
      </w:r>
      <w:r w:rsidRPr="00F64E03">
        <w:rPr>
          <w:rFonts w:asciiTheme="majorHAnsi" w:hAnsiTheme="majorHAnsi"/>
          <w:color w:val="FFA600" w:themeColor="accent1"/>
        </w:rPr>
        <w:fldChar w:fldCharType="end"/>
      </w:r>
      <w:r w:rsidRPr="00F64E03">
        <w:rPr>
          <w:rFonts w:asciiTheme="majorHAnsi" w:hAnsiTheme="majorHAnsi"/>
          <w:color w:val="FFA600" w:themeColor="accent1"/>
        </w:rPr>
        <w:t>)</w:t>
      </w:r>
    </w:p>
    <w:p w14:paraId="0384347F" w14:textId="77777777" w:rsidR="00305D6C" w:rsidRPr="00F64E03" w:rsidRDefault="00305D6C" w:rsidP="008327D7">
      <w:pPr>
        <w:rPr>
          <w:rFonts w:asciiTheme="majorHAnsi" w:hAnsiTheme="majorHAnsi"/>
          <w:color w:val="FFA600" w:themeColor="accent1"/>
        </w:rPr>
      </w:pPr>
    </w:p>
    <w:p w14:paraId="5B986532" w14:textId="61AFFE11" w:rsidR="00305D6C" w:rsidRDefault="00305D6C" w:rsidP="008327D7">
      <w:pPr>
        <w:rPr>
          <w:rFonts w:asciiTheme="majorHAnsi" w:hAnsiTheme="majorHAnsi"/>
        </w:rPr>
      </w:pPr>
      <w:r>
        <w:rPr>
          <w:rFonts w:asciiTheme="majorHAnsi" w:hAnsiTheme="majorHAnsi"/>
          <w:noProof/>
        </w:rPr>
        <w:drawing>
          <wp:inline distT="0" distB="0" distL="0" distR="0" wp14:anchorId="607BB723" wp14:editId="3B0A2D05">
            <wp:extent cx="5785023" cy="2390775"/>
            <wp:effectExtent l="0" t="0" r="6350"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91585" cy="2393487"/>
                    </a:xfrm>
                    <a:prstGeom prst="rect">
                      <a:avLst/>
                    </a:prstGeom>
                    <a:noFill/>
                  </pic:spPr>
                </pic:pic>
              </a:graphicData>
            </a:graphic>
          </wp:inline>
        </w:drawing>
      </w:r>
    </w:p>
    <w:p w14:paraId="53056EA6" w14:textId="6D017DCD" w:rsidR="00305D6C" w:rsidRPr="00F64E03" w:rsidRDefault="00305D6C" w:rsidP="00305D6C">
      <w:pPr>
        <w:pStyle w:val="Caption"/>
        <w:rPr>
          <w:color w:val="FFA600" w:themeColor="accent1"/>
        </w:rPr>
      </w:pPr>
      <w:bookmarkStart w:id="52" w:name="_Ref173498968"/>
      <w:bookmarkStart w:id="53" w:name="_Toc178673564"/>
      <w:r w:rsidRPr="00F64E03">
        <w:rPr>
          <w:color w:val="FFA600" w:themeColor="accent1"/>
        </w:rPr>
        <w:t xml:space="preserve">Figure </w:t>
      </w:r>
      <w:r w:rsidRPr="00F64E03">
        <w:rPr>
          <w:color w:val="FFA600" w:themeColor="accent1"/>
        </w:rPr>
        <w:fldChar w:fldCharType="begin"/>
      </w:r>
      <w:r w:rsidRPr="00F64E03">
        <w:rPr>
          <w:color w:val="FFA600" w:themeColor="accent1"/>
        </w:rPr>
        <w:instrText xml:space="preserve"> SEQ Figure \* ARABIC </w:instrText>
      </w:r>
      <w:r w:rsidRPr="00F64E03">
        <w:rPr>
          <w:color w:val="FFA600" w:themeColor="accent1"/>
        </w:rPr>
        <w:fldChar w:fldCharType="separate"/>
      </w:r>
      <w:r w:rsidR="008272DB">
        <w:rPr>
          <w:noProof/>
          <w:color w:val="FFA600" w:themeColor="accent1"/>
        </w:rPr>
        <w:t>6</w:t>
      </w:r>
      <w:r w:rsidRPr="00F64E03">
        <w:rPr>
          <w:color w:val="FFA600" w:themeColor="accent1"/>
        </w:rPr>
        <w:fldChar w:fldCharType="end"/>
      </w:r>
      <w:bookmarkEnd w:id="52"/>
      <w:r w:rsidRPr="00F64E03">
        <w:rPr>
          <w:color w:val="FFA600" w:themeColor="accent1"/>
        </w:rPr>
        <w:t xml:space="preserve">: </w:t>
      </w:r>
      <w:r w:rsidRPr="00F64E03">
        <w:rPr>
          <w:rFonts w:asciiTheme="majorHAnsi" w:hAnsiTheme="majorHAnsi"/>
          <w:b w:val="0"/>
          <w:i w:val="0"/>
          <w:iCs w:val="0"/>
          <w:color w:val="FFA600" w:themeColor="accent1"/>
          <w:szCs w:val="22"/>
        </w:rPr>
        <w:t>Product, Co-Product or Waste</w:t>
      </w:r>
      <w:bookmarkEnd w:id="53"/>
    </w:p>
    <w:p w14:paraId="6117A1D6" w14:textId="77777777" w:rsidR="00305D6C" w:rsidRDefault="00305D6C" w:rsidP="00305D6C">
      <w:pPr>
        <w:pStyle w:val="Heading4"/>
      </w:pPr>
      <w:r>
        <w:t>Waste vs. Co-Product</w:t>
      </w:r>
    </w:p>
    <w:p w14:paraId="62A87624" w14:textId="77777777" w:rsidR="00305D6C" w:rsidRPr="00F64E03" w:rsidRDefault="00305D6C" w:rsidP="00305D6C">
      <w:pPr>
        <w:rPr>
          <w:rFonts w:asciiTheme="majorHAnsi" w:hAnsiTheme="majorHAnsi"/>
          <w:color w:val="859721" w:themeColor="accent2" w:themeShade="BF"/>
        </w:rPr>
      </w:pPr>
      <w:r w:rsidRPr="00F64E03">
        <w:rPr>
          <w:rFonts w:asciiTheme="majorHAnsi" w:hAnsiTheme="majorHAnsi"/>
          <w:color w:val="859721" w:themeColor="accent2" w:themeShade="BF"/>
          <w:lang w:val="en-GB"/>
        </w:rPr>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73C93664" w14:textId="7F4DFD94" w:rsidR="00305D6C" w:rsidRPr="00F64E03" w:rsidRDefault="00305D6C" w:rsidP="00305D6C">
      <w:pPr>
        <w:rPr>
          <w:rFonts w:asciiTheme="majorHAnsi" w:hAnsiTheme="majorHAnsi"/>
          <w:color w:val="859721" w:themeColor="accent2" w:themeShade="BF"/>
          <w:lang w:val="en-GB"/>
        </w:rPr>
      </w:pPr>
      <w:r w:rsidRPr="00F64E03">
        <w:rPr>
          <w:rFonts w:asciiTheme="majorHAnsi" w:hAnsiTheme="majorHAnsi"/>
          <w:color w:val="859721" w:themeColor="accent2" w:themeShade="BF"/>
          <w:lang w:val="en-GB"/>
        </w:rPr>
        <w:lastRenderedPageBreak/>
        <w:t xml:space="preserve">Waste materials with certain further use but requiring further treatment other than normal industrial practice before use (i.e., waste recovered by recycling) shall follow the requirements on material recycling. </w:t>
      </w:r>
    </w:p>
    <w:p w14:paraId="09388913" w14:textId="6E060CA0" w:rsidR="00305D6C" w:rsidRPr="00F64E03" w:rsidRDefault="00305D6C" w:rsidP="00305D6C">
      <w:pPr>
        <w:rPr>
          <w:rFonts w:asciiTheme="majorHAnsi" w:hAnsiTheme="majorHAnsi"/>
          <w:color w:val="859721" w:themeColor="accent2" w:themeShade="BF"/>
        </w:rPr>
      </w:pPr>
      <w:r w:rsidRPr="00F64E03">
        <w:rPr>
          <w:rFonts w:asciiTheme="majorHAnsi" w:hAnsiTheme="majorHAnsi"/>
          <w:color w:val="859721" w:themeColor="accent2" w:themeShade="BF"/>
        </w:rPr>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(adopted from the EU’s </w:t>
      </w:r>
      <w:hyperlink r:id="rId18" w:history="1">
        <w:r w:rsidRPr="00F64E03">
          <w:rPr>
            <w:rStyle w:val="Hyperlink"/>
            <w:rFonts w:asciiTheme="majorHAnsi" w:hAnsiTheme="majorHAnsi"/>
            <w:color w:val="859721" w:themeColor="accent2" w:themeShade="BF"/>
          </w:rPr>
          <w:t>Guidance on the interpretation of key provisions of Directive 2008/98/EC on waste</w:t>
        </w:r>
      </w:hyperlink>
      <w:r w:rsidRPr="00F64E03">
        <w:rPr>
          <w:rFonts w:asciiTheme="majorHAnsi" w:hAnsiTheme="majorHAnsi"/>
          <w:color w:val="859721" w:themeColor="accent2" w:themeShade="BF"/>
        </w:rPr>
        <w:t>).</w:t>
      </w:r>
    </w:p>
    <w:p w14:paraId="58EF635C" w14:textId="73E6F9E0" w:rsidR="00305D6C" w:rsidRPr="00F64E03" w:rsidRDefault="00305D6C" w:rsidP="00305D6C">
      <w:pPr>
        <w:rPr>
          <w:rFonts w:asciiTheme="majorHAnsi" w:hAnsiTheme="majorHAnsi"/>
          <w:color w:val="859721" w:themeColor="accent2" w:themeShade="BF"/>
          <w:lang w:val="en-GB"/>
        </w:rPr>
      </w:pPr>
      <w:r w:rsidRPr="00F64E03">
        <w:rPr>
          <w:rFonts w:asciiTheme="majorHAnsi" w:hAnsiTheme="majorHAnsi"/>
          <w:color w:val="859721" w:themeColor="accent2" w:themeShade="BF"/>
          <w:lang w:val="en-GB"/>
        </w:rPr>
        <w:t xml:space="preserve">A </w:t>
      </w:r>
      <w:r w:rsidRPr="00F64E03">
        <w:rPr>
          <w:rFonts w:asciiTheme="majorHAnsi" w:hAnsiTheme="majorHAnsi"/>
          <w:b/>
          <w:color w:val="859721" w:themeColor="accent2" w:themeShade="BF"/>
          <w:lang w:val="en-GB"/>
        </w:rPr>
        <w:t>co-product</w:t>
      </w:r>
      <w:r w:rsidRPr="00F64E03">
        <w:rPr>
          <w:rFonts w:asciiTheme="majorHAnsi" w:hAnsiTheme="majorHAnsi"/>
          <w:color w:val="859721" w:themeColor="accent2" w:themeShade="BF"/>
          <w:lang w:val="en-GB"/>
        </w:rPr>
        <w:t xml:space="preserve">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section</w:t>
      </w:r>
      <w:r w:rsidR="00A451EF" w:rsidRPr="00F64E03">
        <w:rPr>
          <w:rFonts w:asciiTheme="majorHAnsi" w:hAnsiTheme="majorHAnsi"/>
          <w:color w:val="859721" w:themeColor="accent2" w:themeShade="BF"/>
          <w:lang w:val="en-GB"/>
        </w:rPr>
        <w:t xml:space="preserve"> </w:t>
      </w:r>
      <w:r w:rsidR="00A451EF" w:rsidRPr="00F64E03">
        <w:rPr>
          <w:rFonts w:asciiTheme="majorHAnsi" w:hAnsiTheme="majorHAnsi"/>
          <w:color w:val="859721" w:themeColor="accent2" w:themeShade="BF"/>
          <w:lang w:val="en-GB"/>
        </w:rPr>
        <w:fldChar w:fldCharType="begin"/>
      </w:r>
      <w:r w:rsidR="00A451EF" w:rsidRPr="00F64E03">
        <w:rPr>
          <w:rFonts w:asciiTheme="majorHAnsi" w:hAnsiTheme="majorHAnsi"/>
          <w:color w:val="859721" w:themeColor="accent2" w:themeShade="BF"/>
          <w:lang w:val="en-GB"/>
        </w:rPr>
        <w:instrText xml:space="preserve"> REF _Ref173503015 \h </w:instrText>
      </w:r>
      <w:r w:rsidR="00A451EF" w:rsidRPr="00F64E03">
        <w:rPr>
          <w:rFonts w:asciiTheme="majorHAnsi" w:hAnsiTheme="majorHAnsi"/>
          <w:color w:val="859721" w:themeColor="accent2" w:themeShade="BF"/>
          <w:lang w:val="en-GB"/>
        </w:rPr>
      </w:r>
      <w:r w:rsidR="00A451EF" w:rsidRPr="00F64E03">
        <w:rPr>
          <w:rFonts w:asciiTheme="majorHAnsi" w:hAnsiTheme="majorHAnsi"/>
          <w:color w:val="859721" w:themeColor="accent2" w:themeShade="BF"/>
          <w:lang w:val="en-GB"/>
        </w:rPr>
        <w:fldChar w:fldCharType="separate"/>
      </w:r>
      <w:r w:rsidR="00A451EF" w:rsidRPr="00F64E03">
        <w:rPr>
          <w:color w:val="859721" w:themeColor="accent2" w:themeShade="BF"/>
        </w:rPr>
        <w:t>Allocation Rules</w:t>
      </w:r>
      <w:r w:rsidR="00A451EF" w:rsidRPr="00F64E03">
        <w:rPr>
          <w:rFonts w:asciiTheme="majorHAnsi" w:hAnsiTheme="majorHAnsi"/>
          <w:color w:val="859721" w:themeColor="accent2" w:themeShade="BF"/>
          <w:lang w:val="en-GB"/>
        </w:rPr>
        <w:fldChar w:fldCharType="end"/>
      </w:r>
      <w:r w:rsidRPr="00F64E03">
        <w:rPr>
          <w:rFonts w:asciiTheme="majorHAnsi" w:hAnsiTheme="majorHAnsi"/>
          <w:color w:val="859721" w:themeColor="accent2" w:themeShade="BF"/>
          <w:lang w:val="en-GB"/>
        </w:rPr>
        <w:t xml:space="preserve">). </w:t>
      </w:r>
    </w:p>
    <w:p w14:paraId="72C3A8DE" w14:textId="606C5835" w:rsidR="00305D6C" w:rsidRPr="00F64E03" w:rsidRDefault="00305D6C" w:rsidP="00305D6C">
      <w:pPr>
        <w:rPr>
          <w:rFonts w:asciiTheme="majorHAnsi" w:hAnsiTheme="majorHAnsi"/>
          <w:color w:val="859721" w:themeColor="accent2" w:themeShade="BF"/>
          <w:lang w:val="en-GB"/>
        </w:rPr>
      </w:pPr>
      <w:r w:rsidRPr="00F64E03">
        <w:rPr>
          <w:rFonts w:asciiTheme="majorHAnsi" w:hAnsiTheme="majorHAnsi"/>
          <w:color w:val="859721" w:themeColor="accent2" w:themeShade="BF"/>
          <w:lang w:val="en-GB"/>
        </w:rPr>
        <w:t>The following hierarchy shall be applied (please refer to Annex A1 for definitions of the respective criteria):</w:t>
      </w:r>
    </w:p>
    <w:p w14:paraId="573254CB" w14:textId="77777777" w:rsidR="00305D6C" w:rsidRPr="006D7C62" w:rsidRDefault="00305D6C" w:rsidP="00305D6C">
      <w:pPr>
        <w:rPr>
          <w:rFonts w:asciiTheme="majorHAnsi" w:hAnsiTheme="majorHAnsi"/>
          <w:color w:val="000000" w:themeColor="text1"/>
          <w:lang w:val="en-GB"/>
        </w:rPr>
      </w:pPr>
    </w:p>
    <w:p w14:paraId="40EBCB3C" w14:textId="77777777" w:rsidR="00305D6C" w:rsidRPr="006D7C62" w:rsidRDefault="00305D6C" w:rsidP="00305D6C">
      <w:pPr>
        <w:keepNext/>
        <w:rPr>
          <w:rFonts w:asciiTheme="majorHAnsi" w:hAnsiTheme="majorHAnsi"/>
        </w:rPr>
      </w:pPr>
      <w:r w:rsidRPr="006D7C62">
        <w:rPr>
          <w:rFonts w:asciiTheme="majorHAnsi" w:hAnsiTheme="majorHAnsi"/>
          <w:noProof/>
          <w:color w:val="000000" w:themeColor="text1"/>
        </w:rPr>
        <w:drawing>
          <wp:inline distT="0" distB="0" distL="0" distR="0" wp14:anchorId="1E81BE47" wp14:editId="473E5BBC">
            <wp:extent cx="5654649" cy="2473622"/>
            <wp:effectExtent l="0" t="0" r="3810" b="3175"/>
            <wp:docPr id="50" name="Grafik 50" descr="A black and white striped diagram&#10;&#10;Description automatically generated">
              <a:extLst xmlns:a="http://schemas.openxmlformats.org/drawingml/2006/main">
                <a:ext uri="{FF2B5EF4-FFF2-40B4-BE49-F238E27FC236}">
                  <a16:creationId xmlns:a16="http://schemas.microsoft.com/office/drawing/2014/main" id="{F2B680C3-976F-5668-76DE-D72A36F8A7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black and white striped diagram&#10;&#10;Description automatically generated">
                      <a:extLst>
                        <a:ext uri="{FF2B5EF4-FFF2-40B4-BE49-F238E27FC236}">
                          <a16:creationId xmlns:a16="http://schemas.microsoft.com/office/drawing/2014/main" id="{F2B680C3-976F-5668-76DE-D72A36F8A7B1}"/>
                        </a:ext>
                      </a:extLst>
                    </pic:cNvPr>
                    <pic:cNvPicPr>
                      <a:picLocks noChangeAspect="1"/>
                    </pic:cNvPicPr>
                  </pic:nvPicPr>
                  <pic:blipFill>
                    <a:blip r:embed="rId19"/>
                    <a:stretch>
                      <a:fillRect/>
                    </a:stretch>
                  </pic:blipFill>
                  <pic:spPr>
                    <a:xfrm>
                      <a:off x="0" y="0"/>
                      <a:ext cx="5667029" cy="2479038"/>
                    </a:xfrm>
                    <a:prstGeom prst="rect">
                      <a:avLst/>
                    </a:prstGeom>
                  </pic:spPr>
                </pic:pic>
              </a:graphicData>
            </a:graphic>
          </wp:inline>
        </w:drawing>
      </w:r>
    </w:p>
    <w:p w14:paraId="30E08E52" w14:textId="2E49610F" w:rsidR="00305D6C" w:rsidRPr="00F64E03" w:rsidRDefault="00A451EF" w:rsidP="00A451EF">
      <w:pPr>
        <w:pStyle w:val="Caption"/>
        <w:rPr>
          <w:rFonts w:asciiTheme="majorHAnsi" w:hAnsiTheme="majorHAnsi"/>
          <w:color w:val="859721" w:themeColor="accent2" w:themeShade="BF"/>
        </w:rPr>
      </w:pPr>
      <w:bookmarkStart w:id="54" w:name="_Ref173503165"/>
      <w:bookmarkStart w:id="55" w:name="_Ref173503160"/>
      <w:bookmarkStart w:id="56" w:name="_Toc178673565"/>
      <w:r w:rsidRPr="00F64E03">
        <w:rPr>
          <w:color w:val="859721" w:themeColor="accent2" w:themeShade="BF"/>
        </w:rPr>
        <w:t xml:space="preserve">Figure </w:t>
      </w:r>
      <w:r w:rsidRPr="00F64E03">
        <w:rPr>
          <w:color w:val="859721" w:themeColor="accent2" w:themeShade="BF"/>
        </w:rPr>
        <w:fldChar w:fldCharType="begin"/>
      </w:r>
      <w:r w:rsidRPr="00F64E03">
        <w:rPr>
          <w:color w:val="859721" w:themeColor="accent2" w:themeShade="BF"/>
        </w:rPr>
        <w:instrText xml:space="preserve"> SEQ Figure \* ARABIC </w:instrText>
      </w:r>
      <w:r w:rsidRPr="00F64E03">
        <w:rPr>
          <w:color w:val="859721" w:themeColor="accent2" w:themeShade="BF"/>
        </w:rPr>
        <w:fldChar w:fldCharType="separate"/>
      </w:r>
      <w:r w:rsidR="008272DB">
        <w:rPr>
          <w:noProof/>
          <w:color w:val="859721" w:themeColor="accent2" w:themeShade="BF"/>
        </w:rPr>
        <w:t>7</w:t>
      </w:r>
      <w:r w:rsidRPr="00F64E03">
        <w:rPr>
          <w:color w:val="859721" w:themeColor="accent2" w:themeShade="BF"/>
        </w:rPr>
        <w:fldChar w:fldCharType="end"/>
      </w:r>
      <w:bookmarkEnd w:id="54"/>
      <w:r w:rsidR="00305D6C" w:rsidRPr="00F64E03">
        <w:rPr>
          <w:rFonts w:asciiTheme="majorHAnsi" w:hAnsiTheme="majorHAnsi"/>
          <w:color w:val="859721" w:themeColor="accent2" w:themeShade="BF"/>
        </w:rPr>
        <w:t>: Waste vs. co-product classification hierarchy based on EU Waste Framework Directive</w:t>
      </w:r>
      <w:bookmarkEnd w:id="55"/>
      <w:bookmarkEnd w:id="56"/>
    </w:p>
    <w:p w14:paraId="31C0AB3E" w14:textId="2F0AB4B9" w:rsidR="00305D6C" w:rsidRPr="00F64E03" w:rsidRDefault="00305D6C" w:rsidP="00305D6C">
      <w:pPr>
        <w:rPr>
          <w:rFonts w:asciiTheme="majorHAnsi" w:hAnsiTheme="majorHAnsi"/>
          <w:color w:val="859721" w:themeColor="accent2" w:themeShade="BF"/>
          <w:lang w:val="en-GB"/>
        </w:rPr>
      </w:pPr>
      <w:r w:rsidRPr="00F64E03">
        <w:rPr>
          <w:rFonts w:asciiTheme="majorHAnsi" w:hAnsiTheme="majorHAnsi"/>
          <w:color w:val="859721" w:themeColor="accent2" w:themeShade="BF"/>
          <w:lang w:val="en-GB"/>
        </w:rPr>
        <w:t xml:space="preserve">Residues classified as waste following the hierarchy can also be transformed into recycled feedstock. However, this transformation would require further processing other than normal industry practice (see point 3 in </w:t>
      </w:r>
      <w:r w:rsidR="00A451EF" w:rsidRPr="00F64E03">
        <w:rPr>
          <w:rFonts w:asciiTheme="majorHAnsi" w:hAnsiTheme="majorHAnsi"/>
          <w:color w:val="859721" w:themeColor="accent2" w:themeShade="BF"/>
          <w:lang w:val="en-GB"/>
        </w:rPr>
        <w:fldChar w:fldCharType="begin"/>
      </w:r>
      <w:r w:rsidR="00A451EF" w:rsidRPr="00F64E03">
        <w:rPr>
          <w:rFonts w:asciiTheme="majorHAnsi" w:hAnsiTheme="majorHAnsi"/>
          <w:color w:val="859721" w:themeColor="accent2" w:themeShade="BF"/>
          <w:lang w:val="en-GB"/>
        </w:rPr>
        <w:instrText xml:space="preserve"> REF _Ref173503165 \h </w:instrText>
      </w:r>
      <w:r w:rsidR="00A451EF" w:rsidRPr="00F64E03">
        <w:rPr>
          <w:rFonts w:asciiTheme="majorHAnsi" w:hAnsiTheme="majorHAnsi"/>
          <w:color w:val="859721" w:themeColor="accent2" w:themeShade="BF"/>
          <w:lang w:val="en-GB"/>
        </w:rPr>
      </w:r>
      <w:r w:rsidR="00A451EF" w:rsidRPr="00F64E03">
        <w:rPr>
          <w:rFonts w:asciiTheme="majorHAnsi" w:hAnsiTheme="majorHAnsi"/>
          <w:color w:val="859721" w:themeColor="accent2" w:themeShade="BF"/>
          <w:lang w:val="en-GB"/>
        </w:rPr>
        <w:fldChar w:fldCharType="separate"/>
      </w:r>
      <w:r w:rsidR="00A451EF" w:rsidRPr="00F64E03">
        <w:rPr>
          <w:color w:val="859721" w:themeColor="accent2" w:themeShade="BF"/>
        </w:rPr>
        <w:t xml:space="preserve">Figure </w:t>
      </w:r>
      <w:r w:rsidR="00A451EF" w:rsidRPr="00F64E03">
        <w:rPr>
          <w:noProof/>
          <w:color w:val="859721" w:themeColor="accent2" w:themeShade="BF"/>
        </w:rPr>
        <w:t>4</w:t>
      </w:r>
      <w:r w:rsidR="00A451EF" w:rsidRPr="00F64E03">
        <w:rPr>
          <w:rFonts w:asciiTheme="majorHAnsi" w:hAnsiTheme="majorHAnsi"/>
          <w:color w:val="859721" w:themeColor="accent2" w:themeShade="BF"/>
          <w:lang w:val="en-GB"/>
        </w:rPr>
        <w:fldChar w:fldCharType="end"/>
      </w:r>
      <w:r w:rsidRPr="00F64E03">
        <w:rPr>
          <w:rFonts w:asciiTheme="majorHAnsi" w:hAnsiTheme="majorHAnsi"/>
          <w:color w:val="859721" w:themeColor="accent2" w:themeShade="BF"/>
          <w:lang w:val="en-GB"/>
        </w:rPr>
        <w:t>), such that the residue would be classified as waste in the first instance.</w:t>
      </w:r>
    </w:p>
    <w:p w14:paraId="76365231" w14:textId="161F6816" w:rsidR="00305D6C" w:rsidRPr="00F64E03" w:rsidRDefault="00305D6C" w:rsidP="00305D6C">
      <w:pPr>
        <w:rPr>
          <w:rFonts w:asciiTheme="majorHAnsi" w:hAnsiTheme="majorHAnsi"/>
          <w:color w:val="859721" w:themeColor="accent2" w:themeShade="BF"/>
          <w:lang w:val="en-GB"/>
        </w:rPr>
      </w:pPr>
      <w:r w:rsidRPr="00F64E03">
        <w:rPr>
          <w:rFonts w:asciiTheme="majorHAnsi" w:hAnsiTheme="majorHAnsi"/>
          <w:color w:val="859721" w:themeColor="accent2" w:themeShade="BF"/>
          <w:lang w:val="en-GB"/>
        </w:rPr>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6D5A1B4A" w14:textId="131F1C9E" w:rsidR="00305D6C" w:rsidRDefault="00305D6C">
      <w:pPr>
        <w:pStyle w:val="Heading4"/>
      </w:pPr>
      <w:r>
        <w:t>Waste Treatment</w:t>
      </w:r>
    </w:p>
    <w:p w14:paraId="40E8326F" w14:textId="29A9B227"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Any GHG emissions arising from the treatment of production waste shall be included in the total PCF. Waste can be generated during different stages of a product’s life cycle (cradle-to-gate), including</w:t>
      </w:r>
      <w:r w:rsidR="00A451EF" w:rsidRPr="003A4628">
        <w:rPr>
          <w:rFonts w:asciiTheme="majorHAnsi" w:hAnsiTheme="majorHAnsi"/>
          <w:color w:val="859721" w:themeColor="accent2" w:themeShade="BF"/>
        </w:rPr>
        <w:t>:</w:t>
      </w:r>
    </w:p>
    <w:p w14:paraId="26E39DFF" w14:textId="77777777" w:rsidR="00305D6C" w:rsidRPr="003A4628" w:rsidRDefault="00305D6C" w:rsidP="006C1918">
      <w:pPr>
        <w:pStyle w:val="ListParagraph"/>
        <w:numPr>
          <w:ilvl w:val="0"/>
          <w:numId w:val="25"/>
        </w:numPr>
        <w:rPr>
          <w:rFonts w:asciiTheme="majorHAnsi" w:hAnsiTheme="majorHAnsi"/>
          <w:color w:val="859721" w:themeColor="accent2" w:themeShade="BF"/>
        </w:rPr>
      </w:pPr>
      <w:r w:rsidRPr="003A4628">
        <w:rPr>
          <w:rFonts w:asciiTheme="majorHAnsi" w:hAnsiTheme="majorHAnsi"/>
          <w:color w:val="859721" w:themeColor="accent2" w:themeShade="BF"/>
        </w:rPr>
        <w:t>Resource extraction, raw material sourcing</w:t>
      </w:r>
    </w:p>
    <w:p w14:paraId="05311908" w14:textId="77777777" w:rsidR="00305D6C" w:rsidRPr="003A4628" w:rsidRDefault="00305D6C" w:rsidP="006C1918">
      <w:pPr>
        <w:pStyle w:val="ListParagraph"/>
        <w:numPr>
          <w:ilvl w:val="0"/>
          <w:numId w:val="25"/>
        </w:numPr>
        <w:rPr>
          <w:rFonts w:asciiTheme="majorHAnsi" w:hAnsiTheme="majorHAnsi"/>
          <w:color w:val="859721" w:themeColor="accent2" w:themeShade="BF"/>
        </w:rPr>
      </w:pPr>
      <w:r w:rsidRPr="003A4628">
        <w:rPr>
          <w:rFonts w:asciiTheme="majorHAnsi" w:hAnsiTheme="majorHAnsi"/>
          <w:color w:val="859721" w:themeColor="accent2" w:themeShade="BF"/>
        </w:rPr>
        <w:t>Production of materials, semi-finished products</w:t>
      </w:r>
    </w:p>
    <w:p w14:paraId="4799EFC5" w14:textId="77777777" w:rsidR="00305D6C" w:rsidRPr="003A4628" w:rsidRDefault="00305D6C" w:rsidP="006C1918">
      <w:pPr>
        <w:pStyle w:val="ListParagraph"/>
        <w:numPr>
          <w:ilvl w:val="0"/>
          <w:numId w:val="25"/>
        </w:numPr>
        <w:rPr>
          <w:rFonts w:asciiTheme="majorHAnsi" w:hAnsiTheme="majorHAnsi"/>
          <w:color w:val="859721" w:themeColor="accent2" w:themeShade="BF"/>
        </w:rPr>
      </w:pPr>
      <w:r w:rsidRPr="003A4628">
        <w:rPr>
          <w:rFonts w:asciiTheme="majorHAnsi" w:hAnsiTheme="majorHAnsi"/>
          <w:color w:val="859721" w:themeColor="accent2" w:themeShade="BF"/>
        </w:rPr>
        <w:t>Production of vehicle parts and components</w:t>
      </w:r>
    </w:p>
    <w:p w14:paraId="77902451" w14:textId="77777777" w:rsidR="00305D6C" w:rsidRPr="003A4628" w:rsidRDefault="00305D6C" w:rsidP="006C1918">
      <w:pPr>
        <w:pStyle w:val="ListParagraph"/>
        <w:numPr>
          <w:ilvl w:val="0"/>
          <w:numId w:val="25"/>
        </w:numPr>
        <w:rPr>
          <w:rFonts w:asciiTheme="majorHAnsi" w:hAnsiTheme="majorHAnsi"/>
          <w:color w:val="859721" w:themeColor="accent2" w:themeShade="BF"/>
        </w:rPr>
      </w:pPr>
      <w:r w:rsidRPr="003A4628">
        <w:rPr>
          <w:rFonts w:asciiTheme="majorHAnsi" w:hAnsiTheme="majorHAnsi"/>
          <w:color w:val="859721" w:themeColor="accent2" w:themeShade="BF"/>
        </w:rPr>
        <w:t>Logistics to supplier gate (including internal logistics)</w:t>
      </w:r>
    </w:p>
    <w:p w14:paraId="0F844284" w14:textId="0CADDDEE" w:rsidR="00A451EF" w:rsidRPr="003A4628" w:rsidRDefault="00A451EF" w:rsidP="006C1918">
      <w:pPr>
        <w:pStyle w:val="ListParagraph"/>
        <w:numPr>
          <w:ilvl w:val="0"/>
          <w:numId w:val="25"/>
        </w:numPr>
        <w:rPr>
          <w:rFonts w:asciiTheme="majorHAnsi" w:hAnsiTheme="majorHAnsi"/>
          <w:color w:val="859721" w:themeColor="accent2" w:themeShade="BF"/>
        </w:rPr>
      </w:pPr>
      <w:r w:rsidRPr="003A4628">
        <w:rPr>
          <w:rFonts w:asciiTheme="majorHAnsi" w:hAnsiTheme="majorHAnsi"/>
          <w:color w:val="859721" w:themeColor="accent2" w:themeShade="BF"/>
        </w:rPr>
        <w:t>End of Life of the vehicle</w:t>
      </w:r>
    </w:p>
    <w:p w14:paraId="00C6D7E4" w14:textId="7BA20DD9"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 xml:space="preserve">All auxiliaries and energy inputs and waste outputs shall be fully considered in the calculation of the product carbon footprint. Cut-off rules as described in Section </w:t>
      </w:r>
      <w:r w:rsidR="00A451EF" w:rsidRPr="003A4628">
        <w:rPr>
          <w:rFonts w:asciiTheme="majorHAnsi" w:hAnsiTheme="majorHAnsi"/>
          <w:color w:val="859721" w:themeColor="accent2" w:themeShade="BF"/>
        </w:rPr>
        <w:fldChar w:fldCharType="begin"/>
      </w:r>
      <w:r w:rsidR="00A451EF" w:rsidRPr="003A4628">
        <w:rPr>
          <w:rFonts w:asciiTheme="majorHAnsi" w:hAnsiTheme="majorHAnsi"/>
          <w:color w:val="859721" w:themeColor="accent2" w:themeShade="BF"/>
        </w:rPr>
        <w:instrText xml:space="preserve"> REF _Ref173503419 \r \h </w:instrText>
      </w:r>
      <w:r w:rsidR="00A451EF" w:rsidRPr="003A4628">
        <w:rPr>
          <w:rFonts w:asciiTheme="majorHAnsi" w:hAnsiTheme="majorHAnsi"/>
          <w:color w:val="859721" w:themeColor="accent2" w:themeShade="BF"/>
        </w:rPr>
      </w:r>
      <w:r w:rsidR="00A451EF" w:rsidRPr="003A4628">
        <w:rPr>
          <w:rFonts w:asciiTheme="majorHAnsi" w:hAnsiTheme="majorHAnsi"/>
          <w:color w:val="859721" w:themeColor="accent2" w:themeShade="BF"/>
        </w:rPr>
        <w:fldChar w:fldCharType="separate"/>
      </w:r>
      <w:r w:rsidR="00A451EF" w:rsidRPr="003A4628">
        <w:rPr>
          <w:rFonts w:asciiTheme="majorHAnsi" w:hAnsiTheme="majorHAnsi"/>
          <w:color w:val="859721" w:themeColor="accent2" w:themeShade="BF"/>
        </w:rPr>
        <w:t>2.2.7</w:t>
      </w:r>
      <w:r w:rsidR="00A451EF" w:rsidRPr="003A4628">
        <w:rPr>
          <w:rFonts w:asciiTheme="majorHAnsi" w:hAnsiTheme="majorHAnsi"/>
          <w:color w:val="859721" w:themeColor="accent2" w:themeShade="BF"/>
        </w:rPr>
        <w:fldChar w:fldCharType="end"/>
      </w:r>
      <w:r w:rsidR="00A451EF" w:rsidRPr="003A4628">
        <w:rPr>
          <w:rFonts w:asciiTheme="majorHAnsi" w:hAnsiTheme="majorHAnsi"/>
          <w:color w:val="859721" w:themeColor="accent2" w:themeShade="BF"/>
        </w:rPr>
        <w:t xml:space="preserve"> </w:t>
      </w:r>
      <w:r w:rsidRPr="003A4628">
        <w:rPr>
          <w:rFonts w:asciiTheme="majorHAnsi" w:hAnsiTheme="majorHAnsi"/>
          <w:color w:val="859721" w:themeColor="accent2" w:themeShade="BF"/>
        </w:rPr>
        <w:t xml:space="preserve">shall be applied. </w:t>
      </w:r>
    </w:p>
    <w:p w14:paraId="6754E72B" w14:textId="694A04D1"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 xml:space="preserve">The </w:t>
      </w:r>
      <w:r w:rsidR="00A451EF" w:rsidRPr="003A4628">
        <w:rPr>
          <w:rFonts w:asciiTheme="majorHAnsi" w:hAnsiTheme="majorHAnsi"/>
          <w:color w:val="859721" w:themeColor="accent2" w:themeShade="BF"/>
        </w:rPr>
        <w:t>party</w:t>
      </w:r>
      <w:r w:rsidRPr="003A4628">
        <w:rPr>
          <w:rFonts w:asciiTheme="majorHAnsi" w:hAnsiTheme="majorHAnsi"/>
          <w:color w:val="859721" w:themeColor="accent2" w:themeShade="BF"/>
        </w:rPr>
        <w:t xml:space="preserve"> generating waste is responsible for treatment until final disposal (for example, incineration or landfill). This is also referred to as the “polluter pays principle”. If additional processes follow the end-of-</w:t>
      </w:r>
      <w:r w:rsidRPr="003A4628">
        <w:rPr>
          <w:rFonts w:asciiTheme="majorHAnsi" w:hAnsiTheme="majorHAnsi"/>
          <w:color w:val="859721" w:themeColor="accent2" w:themeShade="BF"/>
        </w:rPr>
        <w:lastRenderedPageBreak/>
        <w:t>waste state, then these are attributed to the company using the recycled or reused material flow as a secondary material.</w:t>
      </w:r>
    </w:p>
    <w:p w14:paraId="3F35564E" w14:textId="77777777"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The impact of preparatory steps and supporting activities such as collection, transportation, sorting, dismantling, or shredding shall be added to the inventory results of the product system generating the waste.</w:t>
      </w:r>
    </w:p>
    <w:p w14:paraId="7C3CD309" w14:textId="77777777" w:rsidR="00305D6C" w:rsidRPr="003A4628" w:rsidRDefault="00305D6C" w:rsidP="00305D6C">
      <w:pPr>
        <w:pStyle w:val="ListParagraph"/>
        <w:numPr>
          <w:ilvl w:val="0"/>
          <w:numId w:val="0"/>
        </w:numPr>
        <w:rPr>
          <w:rFonts w:asciiTheme="majorHAnsi" w:hAnsiTheme="majorHAnsi"/>
          <w:color w:val="859721" w:themeColor="accent2" w:themeShade="BF"/>
        </w:rPr>
      </w:pPr>
      <w:r w:rsidRPr="003A4628">
        <w:rPr>
          <w:rFonts w:asciiTheme="majorHAnsi" w:hAnsiTheme="majorHAnsi"/>
          <w:color w:val="859721" w:themeColor="accent2" w:themeShade="BF"/>
        </w:rPr>
        <w:t>The impact of the process treating waste with energy recovery (e.g., incineration) shall be added to the inventory results of the product system that generated the waste treated in the process.</w:t>
      </w:r>
    </w:p>
    <w:p w14:paraId="44790544" w14:textId="77777777" w:rsidR="00305D6C" w:rsidRPr="003A4628" w:rsidRDefault="00305D6C" w:rsidP="00305D6C">
      <w:pPr>
        <w:pStyle w:val="ListParagraph"/>
        <w:numPr>
          <w:ilvl w:val="0"/>
          <w:numId w:val="0"/>
        </w:numPr>
        <w:rPr>
          <w:rFonts w:asciiTheme="majorHAnsi" w:hAnsiTheme="majorHAnsi"/>
          <w:color w:val="859721" w:themeColor="accent2" w:themeShade="BF"/>
        </w:rPr>
      </w:pPr>
      <w:r w:rsidRPr="003A4628">
        <w:rPr>
          <w:rFonts w:asciiTheme="majorHAnsi" w:hAnsiTheme="majorHAnsi"/>
          <w:color w:val="859721" w:themeColor="accent2" w:themeShade="BF"/>
        </w:rPr>
        <w:t xml:space="preserve">The energy recovered from the waste-to-energy process shall be treated as free of burdens. Burdens or credits associated with previous or subsequent life cycles are not considered. </w:t>
      </w:r>
      <w:r w:rsidRPr="003A4628">
        <w:rPr>
          <w:rFonts w:asciiTheme="majorHAnsi" w:hAnsiTheme="majorHAnsi"/>
          <w:color w:val="859721" w:themeColor="accent2" w:themeShade="BF"/>
          <w:lang w:val="en-GB"/>
        </w:rPr>
        <w:t xml:space="preserve">The general practice in the automotive industry is following the polluter pays principle, i.e., allocating waste treatment emissions to the product system generating the waste. </w:t>
      </w:r>
    </w:p>
    <w:p w14:paraId="71CBEB6D" w14:textId="76093397"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Production processes may also generate material scrap that is recycled. In this case, please see Section</w:t>
      </w:r>
      <w:r w:rsidR="00A451EF" w:rsidRPr="003A4628">
        <w:rPr>
          <w:rFonts w:asciiTheme="majorHAnsi" w:hAnsiTheme="majorHAnsi"/>
          <w:color w:val="859721" w:themeColor="accent2" w:themeShade="BF"/>
        </w:rPr>
        <w:t xml:space="preserve"> </w:t>
      </w:r>
      <w:r w:rsidR="00A451EF" w:rsidRPr="003A4628">
        <w:rPr>
          <w:rFonts w:asciiTheme="majorHAnsi" w:hAnsiTheme="majorHAnsi"/>
          <w:color w:val="859721" w:themeColor="accent2" w:themeShade="BF"/>
        </w:rPr>
        <w:fldChar w:fldCharType="begin"/>
      </w:r>
      <w:r w:rsidR="00A451EF" w:rsidRPr="003A4628">
        <w:rPr>
          <w:rFonts w:asciiTheme="majorHAnsi" w:hAnsiTheme="majorHAnsi"/>
          <w:color w:val="859721" w:themeColor="accent2" w:themeShade="BF"/>
        </w:rPr>
        <w:instrText xml:space="preserve"> REF _Ref173503521 \r \h </w:instrText>
      </w:r>
      <w:r w:rsidR="00A451EF" w:rsidRPr="003A4628">
        <w:rPr>
          <w:rFonts w:asciiTheme="majorHAnsi" w:hAnsiTheme="majorHAnsi"/>
          <w:color w:val="859721" w:themeColor="accent2" w:themeShade="BF"/>
        </w:rPr>
      </w:r>
      <w:r w:rsidR="00A451EF" w:rsidRPr="003A4628">
        <w:rPr>
          <w:rFonts w:asciiTheme="majorHAnsi" w:hAnsiTheme="majorHAnsi"/>
          <w:color w:val="859721" w:themeColor="accent2" w:themeShade="BF"/>
        </w:rPr>
        <w:fldChar w:fldCharType="separate"/>
      </w:r>
      <w:r w:rsidR="00A451EF" w:rsidRPr="003A4628">
        <w:rPr>
          <w:rFonts w:asciiTheme="majorHAnsi" w:hAnsiTheme="majorHAnsi"/>
          <w:color w:val="859721" w:themeColor="accent2" w:themeShade="BF"/>
        </w:rPr>
        <w:t>2.2.10</w:t>
      </w:r>
      <w:r w:rsidR="00A451EF" w:rsidRPr="003A4628">
        <w:rPr>
          <w:rFonts w:asciiTheme="majorHAnsi" w:hAnsiTheme="majorHAnsi"/>
          <w:color w:val="859721" w:themeColor="accent2" w:themeShade="BF"/>
        </w:rPr>
        <w:fldChar w:fldCharType="end"/>
      </w:r>
      <w:r w:rsidRPr="003A4628">
        <w:rPr>
          <w:rFonts w:asciiTheme="majorHAnsi" w:hAnsiTheme="majorHAnsi"/>
          <w:color w:val="859721" w:themeColor="accent2" w:themeShade="BF"/>
        </w:rPr>
        <w:t>.</w:t>
      </w:r>
    </w:p>
    <w:p w14:paraId="371399C0" w14:textId="5A0D2DC0"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05FE3CFC" w14:textId="060C848A" w:rsidR="00305D6C" w:rsidRPr="003A4628" w:rsidRDefault="00305D6C" w:rsidP="00305D6C">
      <w:pPr>
        <w:rPr>
          <w:rFonts w:asciiTheme="majorHAnsi" w:hAnsiTheme="majorHAnsi"/>
          <w:color w:val="859721" w:themeColor="accent2" w:themeShade="BF"/>
        </w:rPr>
      </w:pPr>
      <w:r w:rsidRPr="003A4628">
        <w:rPr>
          <w:rFonts w:asciiTheme="majorHAnsi" w:hAnsiTheme="majorHAnsi"/>
          <w:color w:val="859721" w:themeColor="accent2" w:themeShade="BF"/>
        </w:rPr>
        <w:t xml:space="preserve">If </w:t>
      </w:r>
      <w:r w:rsidR="00A451EF" w:rsidRPr="003A4628">
        <w:rPr>
          <w:rFonts w:asciiTheme="majorHAnsi" w:hAnsiTheme="majorHAnsi"/>
          <w:color w:val="859721" w:themeColor="accent2" w:themeShade="BF"/>
        </w:rPr>
        <w:t>n</w:t>
      </w:r>
      <w:r w:rsidRPr="003A4628">
        <w:rPr>
          <w:rFonts w:asciiTheme="majorHAnsi" w:hAnsiTheme="majorHAnsi"/>
          <w:color w:val="859721" w:themeColor="accent2" w:themeShade="BF"/>
        </w:rPr>
        <w:t>o primary data f</w:t>
      </w:r>
      <w:r w:rsidR="00A451EF" w:rsidRPr="003A4628">
        <w:rPr>
          <w:rFonts w:asciiTheme="majorHAnsi" w:hAnsiTheme="majorHAnsi"/>
          <w:color w:val="859721" w:themeColor="accent2" w:themeShade="BF"/>
        </w:rPr>
        <w:t>or</w:t>
      </w:r>
      <w:r w:rsidRPr="003A4628">
        <w:rPr>
          <w:rFonts w:asciiTheme="majorHAnsi" w:hAnsiTheme="majorHAnsi"/>
          <w:color w:val="859721" w:themeColor="accent2" w:themeShade="BF"/>
        </w:rPr>
        <w:t xml:space="preserve"> waste treatment </w:t>
      </w:r>
      <w:r w:rsidR="00A451EF" w:rsidRPr="003A4628">
        <w:rPr>
          <w:rFonts w:asciiTheme="majorHAnsi" w:hAnsiTheme="majorHAnsi"/>
          <w:color w:val="859721" w:themeColor="accent2" w:themeShade="BF"/>
        </w:rPr>
        <w:t>are available</w:t>
      </w:r>
      <w:r w:rsidRPr="003A4628">
        <w:rPr>
          <w:rFonts w:asciiTheme="majorHAnsi" w:hAnsiTheme="majorHAnsi"/>
          <w:color w:val="859721" w:themeColor="accent2" w:themeShade="BF"/>
        </w:rPr>
        <w:t xml:space="preserve">, </w:t>
      </w:r>
      <w:r w:rsidR="00A451EF" w:rsidRPr="003A4628">
        <w:rPr>
          <w:rFonts w:asciiTheme="majorHAnsi" w:hAnsiTheme="majorHAnsi"/>
          <w:color w:val="859721" w:themeColor="accent2" w:themeShade="BF"/>
        </w:rPr>
        <w:t xml:space="preserve">waste treatment emissions </w:t>
      </w:r>
      <w:r w:rsidRPr="003A4628">
        <w:rPr>
          <w:rFonts w:asciiTheme="majorHAnsi" w:hAnsiTheme="majorHAnsi"/>
          <w:color w:val="859721" w:themeColor="accent2" w:themeShade="BF"/>
        </w:rPr>
        <w:t xml:space="preserve">should </w:t>
      </w:r>
      <w:r w:rsidR="00A451EF" w:rsidRPr="003A4628">
        <w:rPr>
          <w:rFonts w:asciiTheme="majorHAnsi" w:hAnsiTheme="majorHAnsi"/>
          <w:color w:val="859721" w:themeColor="accent2" w:themeShade="BF"/>
        </w:rPr>
        <w:t xml:space="preserve">be </w:t>
      </w:r>
      <w:r w:rsidRPr="003A4628">
        <w:rPr>
          <w:rFonts w:asciiTheme="majorHAnsi" w:hAnsiTheme="majorHAnsi"/>
          <w:color w:val="859721" w:themeColor="accent2" w:themeShade="BF"/>
        </w:rPr>
        <w:t>estimate</w:t>
      </w:r>
      <w:r w:rsidR="00A451EF" w:rsidRPr="003A4628">
        <w:rPr>
          <w:rFonts w:asciiTheme="majorHAnsi" w:hAnsiTheme="majorHAnsi"/>
          <w:color w:val="859721" w:themeColor="accent2" w:themeShade="BF"/>
        </w:rPr>
        <w:t>d</w:t>
      </w:r>
      <w:r w:rsidRPr="003A4628">
        <w:rPr>
          <w:rFonts w:asciiTheme="majorHAnsi" w:hAnsiTheme="majorHAnsi"/>
          <w:color w:val="859721" w:themeColor="accent2" w:themeShade="BF"/>
        </w:rPr>
        <w:t xml:space="preserve"> based on primary data on the waste type and composition and specific emission factors according to the quantity and type of waste treatment and final disposal (landfill, incineration).</w:t>
      </w:r>
    </w:p>
    <w:p w14:paraId="00D2F42D" w14:textId="77777777" w:rsidR="00305D6C" w:rsidRPr="00305D6C" w:rsidRDefault="00305D6C" w:rsidP="00305D6C"/>
    <w:p w14:paraId="7F0D0872" w14:textId="23BE2675" w:rsidR="00A451EF" w:rsidRDefault="00A451EF">
      <w:pPr>
        <w:pStyle w:val="Heading4"/>
      </w:pPr>
      <w:r>
        <w:t>Multi-output Allocation</w:t>
      </w:r>
    </w:p>
    <w:p w14:paraId="1C207F15" w14:textId="76664B94" w:rsidR="00A451EF" w:rsidRPr="00F64E03" w:rsidRDefault="00A451EF" w:rsidP="00A451EF">
      <w:pPr>
        <w:rPr>
          <w:rFonts w:asciiTheme="majorHAnsi" w:hAnsiTheme="majorHAnsi"/>
          <w:color w:val="859721" w:themeColor="accent2" w:themeShade="BF"/>
        </w:rPr>
      </w:pPr>
      <w:r w:rsidRPr="00F64E03">
        <w:rPr>
          <w:rFonts w:asciiTheme="majorHAnsi" w:hAnsiTheme="majorHAnsi"/>
          <w:color w:val="859721" w:themeColor="accent2" w:themeShade="BF"/>
        </w:rPr>
        <w:t xml:space="preserve">Allocation shall be avoided whenever possible. If allocation cannot be avoided, follow the approach in </w:t>
      </w:r>
      <w:r w:rsidRPr="00F64E03">
        <w:rPr>
          <w:rFonts w:asciiTheme="majorHAnsi" w:hAnsiTheme="majorHAnsi"/>
          <w:color w:val="859721" w:themeColor="accent2" w:themeShade="BF"/>
        </w:rPr>
        <w:fldChar w:fldCharType="begin"/>
      </w:r>
      <w:r w:rsidRPr="00F64E03">
        <w:rPr>
          <w:rFonts w:asciiTheme="majorHAnsi" w:hAnsiTheme="majorHAnsi"/>
          <w:color w:val="859721" w:themeColor="accent2" w:themeShade="BF"/>
        </w:rPr>
        <w:instrText xml:space="preserve"> REF _Ref130816268 \h  \* MERGEFORMAT </w:instrText>
      </w:r>
      <w:r w:rsidRPr="00F64E03">
        <w:rPr>
          <w:rFonts w:asciiTheme="majorHAnsi" w:hAnsiTheme="majorHAnsi"/>
          <w:color w:val="859721" w:themeColor="accent2" w:themeShade="BF"/>
        </w:rPr>
      </w:r>
      <w:r w:rsidRPr="00F64E03">
        <w:rPr>
          <w:rFonts w:asciiTheme="majorHAnsi" w:hAnsiTheme="majorHAnsi"/>
          <w:color w:val="859721" w:themeColor="accent2" w:themeShade="BF"/>
        </w:rPr>
        <w:fldChar w:fldCharType="separate"/>
      </w:r>
      <w:r w:rsidRPr="00F64E03">
        <w:rPr>
          <w:rFonts w:asciiTheme="majorHAnsi" w:hAnsiTheme="majorHAnsi"/>
          <w:color w:val="859721" w:themeColor="accent2" w:themeShade="BF"/>
        </w:rPr>
        <w:t>Figure</w:t>
      </w:r>
      <w:r w:rsidRPr="00F64E03">
        <w:rPr>
          <w:rFonts w:asciiTheme="majorHAnsi" w:hAnsiTheme="majorHAnsi"/>
          <w:color w:val="859721" w:themeColor="accent2" w:themeShade="BF"/>
        </w:rPr>
        <w:fldChar w:fldCharType="end"/>
      </w:r>
      <w:r w:rsidR="00755A26" w:rsidRPr="00F64E03">
        <w:rPr>
          <w:rFonts w:asciiTheme="majorHAnsi" w:hAnsiTheme="majorHAnsi"/>
          <w:color w:val="859721" w:themeColor="accent2" w:themeShade="BF"/>
        </w:rPr>
        <w:t xml:space="preserve"> </w:t>
      </w:r>
      <w:r w:rsidR="00755A26" w:rsidRPr="00F64E03">
        <w:rPr>
          <w:rFonts w:asciiTheme="majorHAnsi" w:hAnsiTheme="majorHAnsi"/>
          <w:color w:val="859721" w:themeColor="accent2" w:themeShade="BF"/>
        </w:rPr>
        <w:fldChar w:fldCharType="begin"/>
      </w:r>
      <w:r w:rsidR="00755A26" w:rsidRPr="00F64E03">
        <w:rPr>
          <w:rFonts w:asciiTheme="majorHAnsi" w:hAnsiTheme="majorHAnsi"/>
          <w:color w:val="859721" w:themeColor="accent2" w:themeShade="BF"/>
        </w:rPr>
        <w:instrText xml:space="preserve"> REF _Ref173505836 \h </w:instrText>
      </w:r>
      <w:r w:rsidR="00755A26" w:rsidRPr="00F64E03">
        <w:rPr>
          <w:rFonts w:asciiTheme="majorHAnsi" w:hAnsiTheme="majorHAnsi"/>
          <w:color w:val="859721" w:themeColor="accent2" w:themeShade="BF"/>
        </w:rPr>
      </w:r>
      <w:r w:rsidR="009F04F3">
        <w:rPr>
          <w:rFonts w:asciiTheme="majorHAnsi" w:hAnsiTheme="majorHAnsi"/>
          <w:color w:val="859721" w:themeColor="accent2" w:themeShade="BF"/>
        </w:rPr>
        <w:fldChar w:fldCharType="separate"/>
      </w:r>
      <w:r w:rsidR="00755A26" w:rsidRPr="00F64E03">
        <w:rPr>
          <w:rFonts w:asciiTheme="majorHAnsi" w:hAnsiTheme="majorHAnsi"/>
          <w:color w:val="859721" w:themeColor="accent2" w:themeShade="BF"/>
        </w:rPr>
        <w:fldChar w:fldCharType="end"/>
      </w:r>
      <w:r w:rsidR="00755A26" w:rsidRPr="00F64E03">
        <w:rPr>
          <w:rFonts w:asciiTheme="majorHAnsi" w:hAnsiTheme="majorHAnsi"/>
          <w:color w:val="859721" w:themeColor="accent2" w:themeShade="BF"/>
        </w:rPr>
        <w:fldChar w:fldCharType="begin"/>
      </w:r>
      <w:r w:rsidR="00755A26" w:rsidRPr="00F64E03">
        <w:rPr>
          <w:rFonts w:asciiTheme="majorHAnsi" w:hAnsiTheme="majorHAnsi"/>
          <w:color w:val="859721" w:themeColor="accent2" w:themeShade="BF"/>
        </w:rPr>
        <w:instrText xml:space="preserve"> REF _Ref173505841 \h </w:instrText>
      </w:r>
      <w:r w:rsidR="00755A26" w:rsidRPr="00F64E03">
        <w:rPr>
          <w:rFonts w:asciiTheme="majorHAnsi" w:hAnsiTheme="majorHAnsi"/>
          <w:color w:val="859721" w:themeColor="accent2" w:themeShade="BF"/>
        </w:rPr>
      </w:r>
      <w:r w:rsidR="00755A26" w:rsidRPr="00F64E03">
        <w:rPr>
          <w:rFonts w:asciiTheme="majorHAnsi" w:hAnsiTheme="majorHAnsi"/>
          <w:color w:val="859721" w:themeColor="accent2" w:themeShade="BF"/>
        </w:rPr>
        <w:fldChar w:fldCharType="separate"/>
      </w:r>
      <w:r w:rsidR="00755A26" w:rsidRPr="00F64E03">
        <w:rPr>
          <w:color w:val="859721" w:themeColor="accent2" w:themeShade="BF"/>
        </w:rPr>
        <w:t xml:space="preserve">Figure </w:t>
      </w:r>
      <w:r w:rsidR="00755A26" w:rsidRPr="00F64E03">
        <w:rPr>
          <w:noProof/>
          <w:color w:val="859721" w:themeColor="accent2" w:themeShade="BF"/>
        </w:rPr>
        <w:t>5</w:t>
      </w:r>
      <w:r w:rsidR="00755A26" w:rsidRPr="00F64E03">
        <w:rPr>
          <w:rFonts w:asciiTheme="majorHAnsi" w:hAnsiTheme="majorHAnsi"/>
          <w:color w:val="859721" w:themeColor="accent2" w:themeShade="BF"/>
        </w:rPr>
        <w:fldChar w:fldCharType="end"/>
      </w:r>
      <w:r w:rsidRPr="00F64E03">
        <w:rPr>
          <w:rFonts w:asciiTheme="majorHAnsi" w:hAnsiTheme="majorHAnsi"/>
          <w:color w:val="859721" w:themeColor="accent2" w:themeShade="BF"/>
        </w:rPr>
        <w:t>.</w:t>
      </w:r>
    </w:p>
    <w:p w14:paraId="25B81AFA" w14:textId="3D948BF8" w:rsidR="00A451EF" w:rsidRPr="00F64E03" w:rsidRDefault="00755A26" w:rsidP="00A451EF">
      <w:pPr>
        <w:rPr>
          <w:rFonts w:asciiTheme="majorHAnsi" w:hAnsiTheme="majorHAnsi"/>
          <w:color w:val="859721" w:themeColor="accent2" w:themeShade="BF"/>
        </w:rPr>
      </w:pPr>
      <w:r w:rsidRPr="00F64E03">
        <w:rPr>
          <w:rFonts w:asciiTheme="majorHAnsi" w:hAnsiTheme="majorHAnsi"/>
          <w:noProof/>
          <w:color w:val="859721" w:themeColor="accent2" w:themeShade="BF"/>
        </w:rPr>
        <w:drawing>
          <wp:inline distT="0" distB="0" distL="0" distR="0" wp14:anchorId="2950FD11" wp14:editId="661E938E">
            <wp:extent cx="5895886" cy="2663368"/>
            <wp:effectExtent l="0" t="0" r="0" b="0"/>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25500" cy="2676746"/>
                    </a:xfrm>
                    <a:prstGeom prst="rect">
                      <a:avLst/>
                    </a:prstGeom>
                    <a:noFill/>
                  </pic:spPr>
                </pic:pic>
              </a:graphicData>
            </a:graphic>
          </wp:inline>
        </w:drawing>
      </w:r>
    </w:p>
    <w:p w14:paraId="22EFB433" w14:textId="3DA77081" w:rsidR="00A451EF" w:rsidRPr="00F64E03" w:rsidRDefault="00755A26" w:rsidP="00755A26">
      <w:pPr>
        <w:pStyle w:val="Caption"/>
        <w:rPr>
          <w:rFonts w:asciiTheme="majorHAnsi" w:hAnsiTheme="majorHAnsi"/>
          <w:color w:val="FFA600" w:themeColor="accent1"/>
        </w:rPr>
      </w:pPr>
      <w:bookmarkStart w:id="57" w:name="_Ref173505841"/>
      <w:bookmarkStart w:id="58" w:name="_Toc178673566"/>
      <w:r w:rsidRPr="00F64E03">
        <w:rPr>
          <w:rStyle w:val="normaltextrun"/>
          <w:rFonts w:asciiTheme="majorHAnsi" w:hAnsiTheme="majorHAnsi"/>
          <w:noProof/>
          <w:color w:val="FFA600" w:themeColor="accent1"/>
          <w:szCs w:val="20"/>
          <w:shd w:val="clear" w:color="auto" w:fill="FFFFFF"/>
        </w:rPr>
        <w:drawing>
          <wp:anchor distT="0" distB="0" distL="114300" distR="114300" simplePos="0" relativeHeight="251667463" behindDoc="0" locked="0" layoutInCell="1" allowOverlap="1" wp14:anchorId="19AC948B" wp14:editId="33929A29">
            <wp:simplePos x="0" y="0"/>
            <wp:positionH relativeFrom="column">
              <wp:posOffset>29819</wp:posOffset>
            </wp:positionH>
            <wp:positionV relativeFrom="paragraph">
              <wp:posOffset>275786</wp:posOffset>
            </wp:positionV>
            <wp:extent cx="198000" cy="190800"/>
            <wp:effectExtent l="0" t="0" r="0" b="0"/>
            <wp:wrapThrough wrapText="bothSides">
              <wp:wrapPolygon edited="0">
                <wp:start x="0" y="0"/>
                <wp:lineTo x="0" y="19440"/>
                <wp:lineTo x="18752" y="19440"/>
                <wp:lineTo x="18752" y="0"/>
                <wp:lineTo x="0" y="0"/>
              </wp:wrapPolygon>
            </wp:wrapThrough>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 t="2" r="-7469" b="23246"/>
                    <a:stretch/>
                  </pic:blipFill>
                  <pic:spPr bwMode="auto">
                    <a:xfrm>
                      <a:off x="0" y="0"/>
                      <a:ext cx="198000" cy="190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64E03">
        <w:rPr>
          <w:color w:val="FFA600" w:themeColor="accent1"/>
        </w:rPr>
        <w:t xml:space="preserve">Figure </w:t>
      </w:r>
      <w:r w:rsidRPr="00F64E03">
        <w:rPr>
          <w:color w:val="FFA600" w:themeColor="accent1"/>
        </w:rPr>
        <w:fldChar w:fldCharType="begin"/>
      </w:r>
      <w:r w:rsidRPr="00F64E03">
        <w:rPr>
          <w:color w:val="FFA600" w:themeColor="accent1"/>
        </w:rPr>
        <w:instrText xml:space="preserve"> SEQ Figure \* ARABIC </w:instrText>
      </w:r>
      <w:r w:rsidRPr="00F64E03">
        <w:rPr>
          <w:color w:val="FFA600" w:themeColor="accent1"/>
        </w:rPr>
        <w:fldChar w:fldCharType="separate"/>
      </w:r>
      <w:r w:rsidR="008272DB">
        <w:rPr>
          <w:noProof/>
          <w:color w:val="FFA600" w:themeColor="accent1"/>
        </w:rPr>
        <w:t>8</w:t>
      </w:r>
      <w:r w:rsidRPr="00F64E03">
        <w:rPr>
          <w:color w:val="FFA600" w:themeColor="accent1"/>
        </w:rPr>
        <w:fldChar w:fldCharType="end"/>
      </w:r>
      <w:bookmarkEnd w:id="57"/>
      <w:r w:rsidR="00A451EF" w:rsidRPr="00F64E03">
        <w:rPr>
          <w:rFonts w:asciiTheme="majorHAnsi" w:hAnsiTheme="majorHAnsi"/>
          <w:color w:val="FFA600" w:themeColor="accent1"/>
        </w:rPr>
        <w:t>: Multi-output allocation decision procedure</w:t>
      </w:r>
      <w:bookmarkEnd w:id="58"/>
    </w:p>
    <w:p w14:paraId="2CCC53AB" w14:textId="774C12F0" w:rsidR="00A451EF" w:rsidRPr="00F64E03" w:rsidRDefault="00A451EF" w:rsidP="00A451EF">
      <w:pPr>
        <w:rPr>
          <w:rFonts w:asciiTheme="majorHAnsi" w:hAnsiTheme="majorHAnsi"/>
          <w:color w:val="FFA600" w:themeColor="accent1"/>
        </w:rPr>
      </w:pPr>
      <w:r w:rsidRPr="00F64E03">
        <w:rPr>
          <w:rFonts w:asciiTheme="majorHAnsi" w:hAnsiTheme="majorHAnsi"/>
          <w:color w:val="FFA600" w:themeColor="accent1"/>
        </w:rPr>
        <w:t xml:space="preserve">If </w:t>
      </w:r>
      <w:r w:rsidR="00755A26" w:rsidRPr="00F64E03">
        <w:rPr>
          <w:rFonts w:asciiTheme="majorHAnsi" w:hAnsiTheme="majorHAnsi"/>
          <w:color w:val="FFA600" w:themeColor="accent1"/>
        </w:rPr>
        <w:t>allocation cannot be avoided</w:t>
      </w:r>
      <w:r w:rsidRPr="00F64E03">
        <w:rPr>
          <w:rFonts w:asciiTheme="majorHAnsi" w:hAnsiTheme="majorHAnsi"/>
          <w:color w:val="FFA600" w:themeColor="accent1"/>
        </w:rPr>
        <w:t xml:space="preserve"> and subdivision is possible, subdivision shall be applied. Subdivision refers to disaggregation of multifunctional processes or facilities to isolate the input flows directly associated with each process or facility output.</w:t>
      </w:r>
    </w:p>
    <w:p w14:paraId="35B299C5" w14:textId="670B357C" w:rsidR="00A451EF" w:rsidRPr="00F64E03" w:rsidRDefault="00755A26" w:rsidP="00A451EF">
      <w:pPr>
        <w:rPr>
          <w:rFonts w:asciiTheme="majorHAnsi" w:hAnsiTheme="majorHAnsi"/>
          <w:color w:val="FFA600" w:themeColor="accent1"/>
        </w:rPr>
      </w:pPr>
      <w:r w:rsidRPr="00F64E03">
        <w:rPr>
          <w:rFonts w:asciiTheme="majorHAnsi" w:hAnsiTheme="majorHAnsi"/>
          <w:noProof/>
          <w:color w:val="FFA600" w:themeColor="accent1"/>
        </w:rPr>
        <w:drawing>
          <wp:anchor distT="0" distB="0" distL="114300" distR="114300" simplePos="0" relativeHeight="251668487" behindDoc="1" locked="0" layoutInCell="1" allowOverlap="1" wp14:anchorId="72531168" wp14:editId="47590C70">
            <wp:simplePos x="0" y="0"/>
            <wp:positionH relativeFrom="margin">
              <wp:posOffset>17957</wp:posOffset>
            </wp:positionH>
            <wp:positionV relativeFrom="paragraph">
              <wp:posOffset>9855</wp:posOffset>
            </wp:positionV>
            <wp:extent cx="208280" cy="222885"/>
            <wp:effectExtent l="0" t="0" r="1270" b="5715"/>
            <wp:wrapTight wrapText="bothSides">
              <wp:wrapPolygon edited="0">
                <wp:start x="1976" y="0"/>
                <wp:lineTo x="0" y="5538"/>
                <wp:lineTo x="0" y="18462"/>
                <wp:lineTo x="5927" y="20308"/>
                <wp:lineTo x="13829" y="20308"/>
                <wp:lineTo x="19756" y="18462"/>
                <wp:lineTo x="19756" y="5538"/>
                <wp:lineTo x="17780" y="0"/>
                <wp:lineTo x="1976" y="0"/>
              </wp:wrapPolygon>
            </wp:wrapTight>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10859"/>
                    <a:stretch/>
                  </pic:blipFill>
                  <pic:spPr bwMode="auto">
                    <a:xfrm>
                      <a:off x="0" y="0"/>
                      <a:ext cx="208280" cy="222885"/>
                    </a:xfrm>
                    <a:prstGeom prst="rect">
                      <a:avLst/>
                    </a:prstGeom>
                    <a:noFill/>
                    <a:ln>
                      <a:noFill/>
                    </a:ln>
                    <a:extLst>
                      <a:ext uri="{53640926-AAD7-44D8-BBD7-CCE9431645EC}">
                        <a14:shadowObscured xmlns:a14="http://schemas.microsoft.com/office/drawing/2010/main"/>
                      </a:ext>
                    </a:extLst>
                  </pic:spPr>
                </pic:pic>
              </a:graphicData>
            </a:graphic>
          </wp:anchor>
        </w:drawing>
      </w:r>
      <w:r w:rsidR="00A451EF" w:rsidRPr="00F64E03">
        <w:rPr>
          <w:rFonts w:asciiTheme="majorHAnsi" w:hAnsiTheme="majorHAnsi"/>
          <w:color w:val="FFA600" w:themeColor="accent1"/>
        </w:rPr>
        <w:t xml:space="preserve">If subdivision cannot be applied, but a dominant substitute product can be identified, expanding the product system to include the additional functions related to the co-products shall be applied. System expansion via substitution shall only be used </w:t>
      </w:r>
      <w:r w:rsidRPr="00F64E03">
        <w:rPr>
          <w:rFonts w:asciiTheme="majorHAnsi" w:hAnsiTheme="majorHAnsi"/>
          <w:color w:val="FFA600" w:themeColor="accent1"/>
        </w:rPr>
        <w:t>if no new multi output allocation is introduced.</w:t>
      </w:r>
    </w:p>
    <w:p w14:paraId="1FC1DB75" w14:textId="6A0F16F9" w:rsidR="00A451EF" w:rsidRPr="00F64E03" w:rsidRDefault="00A451EF" w:rsidP="00A451EF">
      <w:pPr>
        <w:rPr>
          <w:rFonts w:asciiTheme="majorHAnsi" w:hAnsiTheme="majorHAnsi"/>
          <w:color w:val="FFA600" w:themeColor="accent1"/>
        </w:rPr>
      </w:pPr>
      <w:r w:rsidRPr="00F64E03">
        <w:rPr>
          <w:rFonts w:asciiTheme="majorHAnsi" w:hAnsiTheme="majorHAnsi"/>
          <w:color w:val="FFA600" w:themeColor="accent1"/>
        </w:rPr>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w:t>
      </w:r>
      <w:r w:rsidRPr="00F64E03">
        <w:rPr>
          <w:rFonts w:asciiTheme="majorHAnsi" w:hAnsiTheme="majorHAnsi"/>
          <w:color w:val="FFA600" w:themeColor="accent1"/>
        </w:rPr>
        <w:lastRenderedPageBreak/>
        <w:t>displaced products based on sector consensus shall be used to model the system expansion and the respective substitution credits. For the emissions data, primary data shall be used</w:t>
      </w:r>
      <w:r w:rsidR="00755A26" w:rsidRPr="00F64E03">
        <w:rPr>
          <w:rFonts w:asciiTheme="majorHAnsi" w:hAnsiTheme="majorHAnsi"/>
          <w:color w:val="FFA600" w:themeColor="accent1"/>
        </w:rPr>
        <w:t>,</w:t>
      </w:r>
      <w:r w:rsidRPr="00F64E03">
        <w:rPr>
          <w:rFonts w:asciiTheme="majorHAnsi" w:hAnsiTheme="majorHAnsi"/>
          <w:color w:val="FFA600" w:themeColor="accent1"/>
        </w:rPr>
        <w:t xml:space="preserve"> and secondary data may only be used if primary data is not available. In case of secondary data, the requirements in section 6.15 shall apply to guarantee that the dataset and source for calculating system expansion credits are compliant. If no sector consensus exists, the following requirements shall always be fulfilled:</w:t>
      </w:r>
      <w:r w:rsidRPr="00F64E03">
        <w:rPr>
          <w:rFonts w:asciiTheme="majorHAnsi" w:hAnsiTheme="majorHAnsi"/>
          <w:color w:val="FFA600" w:themeColor="accent1"/>
          <w:lang w:val="en-GB"/>
        </w:rPr>
        <w:t xml:space="preserve"> </w:t>
      </w:r>
    </w:p>
    <w:p w14:paraId="6B0CD684" w14:textId="5FF13508" w:rsidR="00A451EF" w:rsidRPr="00F64E03" w:rsidRDefault="00A451EF" w:rsidP="006C1918">
      <w:pPr>
        <w:pStyle w:val="ListParagraph"/>
        <w:numPr>
          <w:ilvl w:val="1"/>
          <w:numId w:val="9"/>
        </w:numPr>
        <w:rPr>
          <w:rFonts w:asciiTheme="majorHAnsi" w:hAnsiTheme="majorHAnsi"/>
          <w:color w:val="FFA600" w:themeColor="accent1"/>
          <w:lang w:val="en-GB"/>
        </w:rPr>
      </w:pPr>
      <w:r w:rsidRPr="00F64E03">
        <w:rPr>
          <w:rFonts w:asciiTheme="majorHAnsi" w:hAnsiTheme="majorHAnsi"/>
          <w:color w:val="FFA600" w:themeColor="accent1"/>
          <w:lang w:val="en-GB"/>
        </w:rPr>
        <w:t>The production of the co-product is an integral part of the production process</w:t>
      </w:r>
      <w:r w:rsidR="00755A26" w:rsidRPr="00F64E03">
        <w:rPr>
          <w:rFonts w:asciiTheme="majorHAnsi" w:hAnsiTheme="majorHAnsi"/>
          <w:color w:val="FFA600" w:themeColor="accent1"/>
          <w:lang w:val="en-GB"/>
        </w:rPr>
        <w:t>.</w:t>
      </w:r>
    </w:p>
    <w:p w14:paraId="668E7CF0" w14:textId="438C674C" w:rsidR="00A451EF" w:rsidRPr="00F64E03" w:rsidRDefault="00A451EF" w:rsidP="006C1918">
      <w:pPr>
        <w:pStyle w:val="ListParagraph"/>
        <w:numPr>
          <w:ilvl w:val="1"/>
          <w:numId w:val="9"/>
        </w:numPr>
        <w:rPr>
          <w:rFonts w:asciiTheme="majorHAnsi" w:hAnsiTheme="majorHAnsi"/>
          <w:color w:val="FFA600" w:themeColor="accent1"/>
          <w:lang w:val="en-GB"/>
        </w:rPr>
      </w:pPr>
      <w:r w:rsidRPr="00F64E03">
        <w:rPr>
          <w:rFonts w:asciiTheme="majorHAnsi" w:hAnsiTheme="majorHAnsi"/>
          <w:color w:val="FFA600" w:themeColor="accent1"/>
          <w:lang w:val="en-GB"/>
        </w:rPr>
        <w:t>A dedicated, single-output process to produce the co-product exists</w:t>
      </w:r>
      <w:r w:rsidR="00755A26" w:rsidRPr="00F64E03">
        <w:rPr>
          <w:rFonts w:asciiTheme="majorHAnsi" w:hAnsiTheme="majorHAnsi"/>
          <w:color w:val="FFA600" w:themeColor="accent1"/>
          <w:lang w:val="en-GB"/>
        </w:rPr>
        <w:t>.</w:t>
      </w:r>
    </w:p>
    <w:p w14:paraId="035BEE1D" w14:textId="7C639DF4" w:rsidR="00A451EF" w:rsidRPr="00F64E03" w:rsidRDefault="00A451EF" w:rsidP="006C1918">
      <w:pPr>
        <w:pStyle w:val="ListParagraph"/>
        <w:numPr>
          <w:ilvl w:val="1"/>
          <w:numId w:val="9"/>
        </w:numPr>
        <w:rPr>
          <w:rFonts w:asciiTheme="majorHAnsi" w:hAnsiTheme="majorHAnsi"/>
          <w:color w:val="FFA600" w:themeColor="accent1"/>
          <w:lang w:val="en-GB"/>
        </w:rPr>
      </w:pPr>
      <w:r w:rsidRPr="00F64E03">
        <w:rPr>
          <w:rFonts w:asciiTheme="majorHAnsi" w:hAnsiTheme="majorHAnsi"/>
          <w:color w:val="FFA600" w:themeColor="accent1"/>
          <w:lang w:val="en-GB"/>
        </w:rPr>
        <w:t>The alternative dataset must be representative of the dominant production route</w:t>
      </w:r>
      <w:r w:rsidR="00755A26" w:rsidRPr="00F64E03">
        <w:rPr>
          <w:rFonts w:asciiTheme="majorHAnsi" w:hAnsiTheme="majorHAnsi"/>
          <w:color w:val="FFA600" w:themeColor="accent1"/>
          <w:lang w:val="en-GB"/>
        </w:rPr>
        <w:t>.</w:t>
      </w:r>
    </w:p>
    <w:p w14:paraId="78CA89BA" w14:textId="14AFA78F" w:rsidR="00A451EF" w:rsidRPr="00F64E03" w:rsidRDefault="00A451EF" w:rsidP="006C1918">
      <w:pPr>
        <w:pStyle w:val="ListParagraph"/>
        <w:numPr>
          <w:ilvl w:val="1"/>
          <w:numId w:val="9"/>
        </w:numPr>
        <w:rPr>
          <w:rFonts w:asciiTheme="majorHAnsi" w:hAnsiTheme="majorHAnsi"/>
          <w:color w:val="FFA600" w:themeColor="accent1"/>
          <w:lang w:val="en-GB"/>
        </w:rPr>
      </w:pPr>
      <w:r w:rsidRPr="00F64E03">
        <w:rPr>
          <w:rFonts w:asciiTheme="majorHAnsi" w:hAnsiTheme="majorHAnsi"/>
          <w:color w:val="FFA600" w:themeColor="accent1"/>
          <w:lang w:val="en-GB"/>
        </w:rPr>
        <w:t>A clear description of the process for selecting the alternative product substituted by the co-product shall be documented</w:t>
      </w:r>
      <w:r w:rsidR="00755A26" w:rsidRPr="00F64E03">
        <w:rPr>
          <w:rFonts w:asciiTheme="majorHAnsi" w:hAnsiTheme="majorHAnsi"/>
          <w:color w:val="FFA600" w:themeColor="accent1"/>
          <w:lang w:val="en-GB"/>
        </w:rPr>
        <w:t>.</w:t>
      </w:r>
    </w:p>
    <w:p w14:paraId="0D129172" w14:textId="0CCC4134" w:rsidR="00A451EF" w:rsidRPr="00F64E03" w:rsidRDefault="00A451EF" w:rsidP="00A451EF">
      <w:pPr>
        <w:rPr>
          <w:rFonts w:asciiTheme="majorHAnsi" w:hAnsiTheme="majorHAnsi"/>
          <w:color w:val="FFA600" w:themeColor="accent1"/>
        </w:rPr>
      </w:pPr>
      <w:r w:rsidRPr="00F64E03">
        <w:rPr>
          <w:rFonts w:asciiTheme="majorHAnsi" w:hAnsiTheme="majorHAnsi"/>
          <w:color w:val="FFA600" w:themeColor="accent1"/>
        </w:rPr>
        <w:t xml:space="preserve">Double counting shall be avoided. No market-mediated effects shall be applied, as the attributional LCA approach shall be used. </w:t>
      </w:r>
    </w:p>
    <w:p w14:paraId="1C62730C" w14:textId="062B937C" w:rsidR="00A451EF" w:rsidRPr="00F64E03" w:rsidRDefault="00755A26" w:rsidP="00A451EF">
      <w:pPr>
        <w:rPr>
          <w:rFonts w:asciiTheme="majorHAnsi" w:hAnsiTheme="majorHAnsi"/>
          <w:color w:val="FFA600" w:themeColor="accent1"/>
        </w:rPr>
      </w:pPr>
      <w:r w:rsidRPr="00F64E03">
        <w:rPr>
          <w:rFonts w:asciiTheme="majorHAnsi" w:hAnsiTheme="majorHAnsi"/>
          <w:noProof/>
          <w:color w:val="FFA600" w:themeColor="accent1"/>
        </w:rPr>
        <w:drawing>
          <wp:anchor distT="0" distB="0" distL="114300" distR="114300" simplePos="0" relativeHeight="251669511" behindDoc="1" locked="0" layoutInCell="1" allowOverlap="1" wp14:anchorId="74BADA6E" wp14:editId="35C13C74">
            <wp:simplePos x="0" y="0"/>
            <wp:positionH relativeFrom="margin">
              <wp:align>left</wp:align>
            </wp:positionH>
            <wp:positionV relativeFrom="paragraph">
              <wp:posOffset>22885</wp:posOffset>
            </wp:positionV>
            <wp:extent cx="205105" cy="212090"/>
            <wp:effectExtent l="0" t="0" r="4445" b="0"/>
            <wp:wrapTight wrapText="bothSides">
              <wp:wrapPolygon edited="0">
                <wp:start x="2006" y="0"/>
                <wp:lineTo x="0" y="5820"/>
                <wp:lineTo x="0" y="15521"/>
                <wp:lineTo x="2006" y="19401"/>
                <wp:lineTo x="18056" y="19401"/>
                <wp:lineTo x="20062" y="15521"/>
                <wp:lineTo x="20062" y="1940"/>
                <wp:lineTo x="18056" y="0"/>
                <wp:lineTo x="2006" y="0"/>
              </wp:wrapPolygon>
            </wp:wrapTight>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 b="13387"/>
                    <a:stretch/>
                  </pic:blipFill>
                  <pic:spPr bwMode="auto">
                    <a:xfrm>
                      <a:off x="0" y="0"/>
                      <a:ext cx="205105" cy="212090"/>
                    </a:xfrm>
                    <a:prstGeom prst="rect">
                      <a:avLst/>
                    </a:prstGeom>
                    <a:noFill/>
                    <a:ln>
                      <a:noFill/>
                    </a:ln>
                    <a:extLst>
                      <a:ext uri="{53640926-AAD7-44D8-BBD7-CCE9431645EC}">
                        <a14:shadowObscured xmlns:a14="http://schemas.microsoft.com/office/drawing/2010/main"/>
                      </a:ext>
                    </a:extLst>
                  </pic:spPr>
                </pic:pic>
              </a:graphicData>
            </a:graphic>
          </wp:anchor>
        </w:drawing>
      </w:r>
      <w:r w:rsidR="00A451EF" w:rsidRPr="00F64E03">
        <w:rPr>
          <w:rFonts w:asciiTheme="majorHAnsi" w:hAnsiTheme="majorHAnsi"/>
          <w:color w:val="FFA600" w:themeColor="accent1"/>
        </w:rPr>
        <w:t>When allocation cannot be avoided, no subdivision is possible and no dominant substitute product can be identified, companies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07E4426B" w14:textId="10BD443B" w:rsidR="00A451EF" w:rsidRPr="00F64E03" w:rsidRDefault="00755A26" w:rsidP="00A451EF">
      <w:pPr>
        <w:rPr>
          <w:rFonts w:asciiTheme="majorHAnsi" w:hAnsiTheme="majorHAnsi"/>
          <w:color w:val="FFA600" w:themeColor="accent1"/>
        </w:rPr>
      </w:pPr>
      <w:r w:rsidRPr="00F64E03">
        <w:rPr>
          <w:rFonts w:asciiTheme="majorHAnsi" w:hAnsiTheme="majorHAnsi"/>
          <w:noProof/>
          <w:color w:val="FFA600" w:themeColor="accent1"/>
        </w:rPr>
        <w:drawing>
          <wp:anchor distT="0" distB="0" distL="114300" distR="114300" simplePos="0" relativeHeight="251670535" behindDoc="1" locked="0" layoutInCell="1" allowOverlap="1" wp14:anchorId="15904ABB" wp14:editId="0BE0644A">
            <wp:simplePos x="0" y="0"/>
            <wp:positionH relativeFrom="margin">
              <wp:align>left</wp:align>
            </wp:positionH>
            <wp:positionV relativeFrom="paragraph">
              <wp:posOffset>6350</wp:posOffset>
            </wp:positionV>
            <wp:extent cx="208280" cy="212090"/>
            <wp:effectExtent l="0" t="0" r="1270" b="0"/>
            <wp:wrapTight wrapText="bothSides">
              <wp:wrapPolygon edited="0">
                <wp:start x="1976" y="0"/>
                <wp:lineTo x="0" y="1940"/>
                <wp:lineTo x="0" y="15521"/>
                <wp:lineTo x="1976" y="19401"/>
                <wp:lineTo x="17780" y="19401"/>
                <wp:lineTo x="19756" y="15521"/>
                <wp:lineTo x="19756" y="5820"/>
                <wp:lineTo x="17780" y="0"/>
                <wp:lineTo x="1976" y="0"/>
              </wp:wrapPolygon>
            </wp:wrapTight>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14378"/>
                    <a:stretch/>
                  </pic:blipFill>
                  <pic:spPr bwMode="auto">
                    <a:xfrm>
                      <a:off x="0" y="0"/>
                      <a:ext cx="208280" cy="212090"/>
                    </a:xfrm>
                    <a:prstGeom prst="rect">
                      <a:avLst/>
                    </a:prstGeom>
                    <a:noFill/>
                    <a:ln>
                      <a:noFill/>
                    </a:ln>
                    <a:extLst>
                      <a:ext uri="{53640926-AAD7-44D8-BBD7-CCE9431645EC}">
                        <a14:shadowObscured xmlns:a14="http://schemas.microsoft.com/office/drawing/2010/main"/>
                      </a:ext>
                    </a:extLst>
                  </pic:spPr>
                </pic:pic>
              </a:graphicData>
            </a:graphic>
          </wp:anchor>
        </w:drawing>
      </w:r>
      <w:r w:rsidR="00A451EF" w:rsidRPr="00F64E03">
        <w:rPr>
          <w:rFonts w:asciiTheme="majorHAnsi" w:hAnsiTheme="majorHAnsi"/>
          <w:color w:val="FFA600" w:themeColor="accent1"/>
        </w:rPr>
        <w:t>If the calculated economic value ratio is equal or lower than five, companies shall apply allocation using a physical relationship to partition inputs and outputs between the studied co-product(s). The physical relationships to choose from are:</w:t>
      </w:r>
    </w:p>
    <w:p w14:paraId="5AD4B90B" w14:textId="27F11E06" w:rsidR="00A451EF" w:rsidRPr="00F64E03" w:rsidRDefault="00A451EF" w:rsidP="006C1918">
      <w:pPr>
        <w:pStyle w:val="ListParagraph"/>
        <w:numPr>
          <w:ilvl w:val="0"/>
          <w:numId w:val="24"/>
        </w:numPr>
        <w:rPr>
          <w:rFonts w:asciiTheme="majorHAnsi" w:hAnsiTheme="majorHAnsi"/>
          <w:color w:val="FFA600" w:themeColor="accent1"/>
        </w:rPr>
      </w:pPr>
      <w:r w:rsidRPr="00F64E03">
        <w:rPr>
          <w:rFonts w:asciiTheme="majorHAnsi" w:hAnsiTheme="majorHAnsi"/>
          <w:color w:val="FFA600" w:themeColor="accent1"/>
        </w:rPr>
        <w:t>produced masses</w:t>
      </w:r>
    </w:p>
    <w:p w14:paraId="2DCBC159" w14:textId="77777777" w:rsidR="00A451EF" w:rsidRPr="00F64E03" w:rsidRDefault="00A451EF" w:rsidP="006C1918">
      <w:pPr>
        <w:pStyle w:val="ListParagraph"/>
        <w:numPr>
          <w:ilvl w:val="0"/>
          <w:numId w:val="24"/>
        </w:numPr>
        <w:rPr>
          <w:rFonts w:asciiTheme="majorHAnsi" w:hAnsiTheme="majorHAnsi"/>
          <w:color w:val="FFA600" w:themeColor="accent1"/>
        </w:rPr>
      </w:pPr>
      <w:r w:rsidRPr="00F64E03">
        <w:rPr>
          <w:rFonts w:asciiTheme="majorHAnsi" w:hAnsiTheme="majorHAnsi"/>
          <w:color w:val="FFA600" w:themeColor="accent1"/>
        </w:rPr>
        <w:t>produced pieces</w:t>
      </w:r>
    </w:p>
    <w:p w14:paraId="7CC551D0" w14:textId="19E5822C" w:rsidR="00A451EF" w:rsidRPr="00F64E03" w:rsidRDefault="00A451EF" w:rsidP="006C1918">
      <w:pPr>
        <w:pStyle w:val="ListParagraph"/>
        <w:numPr>
          <w:ilvl w:val="0"/>
          <w:numId w:val="24"/>
        </w:numPr>
        <w:rPr>
          <w:rFonts w:asciiTheme="majorHAnsi" w:hAnsiTheme="majorHAnsi"/>
          <w:color w:val="FFA600" w:themeColor="accent1"/>
        </w:rPr>
      </w:pPr>
      <w:r w:rsidRPr="00F64E03">
        <w:rPr>
          <w:rFonts w:asciiTheme="majorHAnsi" w:hAnsiTheme="majorHAnsi"/>
          <w:color w:val="FFA600" w:themeColor="accent1"/>
        </w:rPr>
        <w:t>contained exergy</w:t>
      </w:r>
    </w:p>
    <w:p w14:paraId="38E09AA4" w14:textId="42659ED6" w:rsidR="00A451EF" w:rsidRPr="00F64E03" w:rsidRDefault="00A451EF" w:rsidP="006C1918">
      <w:pPr>
        <w:pStyle w:val="ListParagraph"/>
        <w:numPr>
          <w:ilvl w:val="0"/>
          <w:numId w:val="24"/>
        </w:numPr>
        <w:rPr>
          <w:rFonts w:asciiTheme="majorHAnsi" w:hAnsiTheme="majorHAnsi"/>
          <w:color w:val="FFA600" w:themeColor="accent1"/>
        </w:rPr>
      </w:pPr>
      <w:r w:rsidRPr="00F64E03">
        <w:rPr>
          <w:rFonts w:asciiTheme="majorHAnsi" w:hAnsiTheme="majorHAnsi"/>
          <w:color w:val="FFA600" w:themeColor="accent1"/>
        </w:rPr>
        <w:t>contained energy</w:t>
      </w:r>
    </w:p>
    <w:p w14:paraId="1B9945A5" w14:textId="3A741A77" w:rsidR="00A451EF" w:rsidRPr="00F64E03" w:rsidRDefault="00755A26" w:rsidP="00A451EF">
      <w:pPr>
        <w:rPr>
          <w:rFonts w:asciiTheme="majorHAnsi" w:hAnsiTheme="majorHAnsi"/>
          <w:color w:val="FFA600" w:themeColor="accent1"/>
        </w:rPr>
      </w:pPr>
      <w:r w:rsidRPr="00F64E03">
        <w:rPr>
          <w:rFonts w:asciiTheme="majorHAnsi" w:hAnsiTheme="majorHAnsi"/>
          <w:noProof/>
          <w:color w:val="FFA600" w:themeColor="accent1"/>
        </w:rPr>
        <w:drawing>
          <wp:anchor distT="0" distB="0" distL="114300" distR="114300" simplePos="0" relativeHeight="251671559" behindDoc="1" locked="0" layoutInCell="1" allowOverlap="1" wp14:anchorId="30FBE94A" wp14:editId="111EFA5C">
            <wp:simplePos x="0" y="0"/>
            <wp:positionH relativeFrom="margin">
              <wp:align>left</wp:align>
            </wp:positionH>
            <wp:positionV relativeFrom="paragraph">
              <wp:posOffset>7214</wp:posOffset>
            </wp:positionV>
            <wp:extent cx="208800" cy="212400"/>
            <wp:effectExtent l="0" t="0" r="1270" b="0"/>
            <wp:wrapTight wrapText="bothSides">
              <wp:wrapPolygon edited="0">
                <wp:start x="1976" y="0"/>
                <wp:lineTo x="0" y="1940"/>
                <wp:lineTo x="0" y="15521"/>
                <wp:lineTo x="1976" y="19401"/>
                <wp:lineTo x="17780" y="19401"/>
                <wp:lineTo x="19756" y="15521"/>
                <wp:lineTo x="19756" y="5820"/>
                <wp:lineTo x="17780" y="0"/>
                <wp:lineTo x="1976" y="0"/>
              </wp:wrapPolygon>
            </wp:wrapTight>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 b="13387"/>
                    <a:stretch/>
                  </pic:blipFill>
                  <pic:spPr bwMode="auto">
                    <a:xfrm>
                      <a:off x="0" y="0"/>
                      <a:ext cx="208800" cy="212400"/>
                    </a:xfrm>
                    <a:prstGeom prst="rect">
                      <a:avLst/>
                    </a:prstGeom>
                    <a:noFill/>
                    <a:ln>
                      <a:noFill/>
                    </a:ln>
                    <a:extLst>
                      <a:ext uri="{53640926-AAD7-44D8-BBD7-CCE9431645EC}">
                        <a14:shadowObscured xmlns:a14="http://schemas.microsoft.com/office/drawing/2010/main"/>
                      </a:ext>
                    </a:extLst>
                  </pic:spPr>
                </pic:pic>
              </a:graphicData>
            </a:graphic>
          </wp:anchor>
        </w:drawing>
      </w:r>
      <w:r w:rsidR="00A451EF" w:rsidRPr="00F64E03">
        <w:rPr>
          <w:rFonts w:asciiTheme="majorHAnsi" w:hAnsiTheme="majorHAnsi"/>
          <w:color w:val="FFA600" w:themeColor="accent1"/>
        </w:rPr>
        <w:t>If the calculated ratio is higher than five, companies shall apply an economic allocation using economic value as criterion to partition inputs and outputs between the studied co-product(s).</w:t>
      </w:r>
    </w:p>
    <w:p w14:paraId="62118A07" w14:textId="77777777" w:rsidR="00A451EF" w:rsidRPr="00F64E03" w:rsidRDefault="00A451EF" w:rsidP="00A451EF">
      <w:pPr>
        <w:rPr>
          <w:rFonts w:asciiTheme="majorHAnsi" w:hAnsiTheme="majorHAnsi"/>
          <w:color w:val="FFA600" w:themeColor="accent1"/>
          <w:lang w:val="en-GB"/>
        </w:rPr>
      </w:pPr>
      <w:r w:rsidRPr="00F64E03">
        <w:rPr>
          <w:rFonts w:asciiTheme="majorHAnsi" w:hAnsiTheme="majorHAnsi"/>
          <w:color w:val="FFA600" w:themeColor="accent1"/>
          <w:lang w:val="en-GB"/>
        </w:rPr>
        <w:t>For the determination and use of economic allocation factors, the following hierarchy shall be applied. Only one type of economic allocation factor shall be chosen consistently in the order of priority of the hierarchy. Only if the respective prioritized 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55E92C7F" w14:textId="77777777" w:rsidR="00A451EF" w:rsidRPr="00F64E03" w:rsidRDefault="00A451EF" w:rsidP="006C1918">
      <w:pPr>
        <w:pStyle w:val="ListParagraph"/>
        <w:numPr>
          <w:ilvl w:val="0"/>
          <w:numId w:val="18"/>
        </w:numPr>
        <w:spacing w:after="160" w:line="259" w:lineRule="auto"/>
        <w:jc w:val="left"/>
        <w:rPr>
          <w:rFonts w:asciiTheme="majorHAnsi" w:hAnsiTheme="majorHAnsi"/>
          <w:color w:val="FFA600" w:themeColor="accent1"/>
          <w:lang w:val="en-GB"/>
        </w:rPr>
      </w:pPr>
      <w:r w:rsidRPr="00F64E03">
        <w:rPr>
          <w:rFonts w:asciiTheme="majorHAnsi" w:hAnsiTheme="majorHAnsi"/>
          <w:color w:val="FFA600" w:themeColor="accent1"/>
          <w:lang w:val="en-GB"/>
        </w:rPr>
        <w:t>Global market price (global market prices are usually only available for commodities)</w:t>
      </w:r>
    </w:p>
    <w:p w14:paraId="6D5CEAF0" w14:textId="77777777" w:rsidR="00A451EF" w:rsidRPr="00F64E03" w:rsidRDefault="00A451EF" w:rsidP="006C1918">
      <w:pPr>
        <w:pStyle w:val="ListParagraph"/>
        <w:numPr>
          <w:ilvl w:val="0"/>
          <w:numId w:val="18"/>
        </w:numPr>
        <w:spacing w:after="160" w:line="259" w:lineRule="auto"/>
        <w:jc w:val="left"/>
        <w:rPr>
          <w:rFonts w:asciiTheme="majorHAnsi" w:hAnsiTheme="majorHAnsi"/>
          <w:color w:val="FFA600" w:themeColor="accent1"/>
          <w:lang w:val="en-GB"/>
        </w:rPr>
      </w:pPr>
      <w:r w:rsidRPr="00F64E03">
        <w:rPr>
          <w:rFonts w:asciiTheme="majorHAnsi" w:hAnsiTheme="majorHAnsi"/>
          <w:color w:val="FFA600" w:themeColor="accent1"/>
          <w:lang w:val="en-GB"/>
        </w:rPr>
        <w:t>Regional market price</w:t>
      </w:r>
    </w:p>
    <w:p w14:paraId="6C4131CD" w14:textId="04832FE9" w:rsidR="00A451EF" w:rsidRPr="00F64E03" w:rsidRDefault="00A451EF" w:rsidP="006C1918">
      <w:pPr>
        <w:pStyle w:val="ListParagraph"/>
        <w:numPr>
          <w:ilvl w:val="0"/>
          <w:numId w:val="18"/>
        </w:numPr>
        <w:spacing w:after="160" w:line="259" w:lineRule="auto"/>
        <w:jc w:val="left"/>
        <w:rPr>
          <w:rFonts w:asciiTheme="majorHAnsi" w:hAnsiTheme="majorHAnsi"/>
          <w:color w:val="FFA600" w:themeColor="accent1"/>
        </w:rPr>
      </w:pPr>
      <w:r w:rsidRPr="00F64E03">
        <w:rPr>
          <w:rFonts w:asciiTheme="majorHAnsi" w:hAnsiTheme="majorHAnsi"/>
          <w:color w:val="FFA600" w:themeColor="accent1"/>
          <w:lang w:val="en-GB"/>
        </w:rPr>
        <w:t>Other economic allocation factors (i.e., production costs or sales price)</w:t>
      </w:r>
    </w:p>
    <w:p w14:paraId="704C59C5" w14:textId="7D28F992" w:rsidR="00E85A78" w:rsidRDefault="00E85A78" w:rsidP="008327D7">
      <w:pPr>
        <w:pStyle w:val="Heading3"/>
      </w:pPr>
      <w:bookmarkStart w:id="59" w:name="_Ref173503521"/>
      <w:bookmarkStart w:id="60" w:name="_Toc178672673"/>
      <w:r>
        <w:t>Recycling Modelling</w:t>
      </w:r>
      <w:bookmarkEnd w:id="59"/>
      <w:bookmarkEnd w:id="60"/>
    </w:p>
    <w:p w14:paraId="0DB54A4E" w14:textId="77777777" w:rsidR="00305D6C" w:rsidRPr="006D7C62" w:rsidRDefault="00305D6C" w:rsidP="00305D6C">
      <w:pPr>
        <w:rPr>
          <w:rFonts w:asciiTheme="majorHAnsi" w:hAnsiTheme="majorHAnsi"/>
        </w:rPr>
      </w:pPr>
      <w:r w:rsidRPr="006D7C62">
        <w:rPr>
          <w:rFonts w:asciiTheme="majorHAnsi" w:hAnsiTheme="majorHAnsi"/>
        </w:rPr>
        <w:t>Recycling plays a crucial role in enabling a circular economy and reaching climate protection goals. In particular, recycling of currently unused or inefficiently used material streams is key to reducing primary material use as well as environmental burdens related to current waste treatment. The environmental burden of the recycling process needs to be distributed between the systems receiving and providing the secondary material.</w:t>
      </w:r>
    </w:p>
    <w:p w14:paraId="7EF0547E" w14:textId="16FC54D6" w:rsidR="00305D6C" w:rsidRPr="006D7C62" w:rsidRDefault="00305D6C" w:rsidP="00305D6C">
      <w:pPr>
        <w:rPr>
          <w:rFonts w:asciiTheme="majorHAnsi" w:hAnsiTheme="majorHAnsi"/>
        </w:rPr>
      </w:pPr>
      <w:r w:rsidRPr="006D7C62">
        <w:rPr>
          <w:rFonts w:asciiTheme="majorHAnsi" w:hAnsiTheme="majorHAnsi"/>
        </w:rPr>
        <w:t>Shifting the environmental burden of the recycling process may create an increasing demand for recycled material. These steering effects can lead to technology shifts, enabling emission reductions and/or increased material efficiency in the industry.</w:t>
      </w:r>
    </w:p>
    <w:p w14:paraId="64E674E2" w14:textId="43409541" w:rsidR="00305D6C" w:rsidRPr="006D7C62" w:rsidRDefault="00305D6C" w:rsidP="00305D6C">
      <w:pPr>
        <w:rPr>
          <w:rFonts w:asciiTheme="majorHAnsi" w:hAnsiTheme="majorHAnsi"/>
        </w:rPr>
      </w:pPr>
      <w:r w:rsidRPr="006D7C62">
        <w:rPr>
          <w:rFonts w:asciiTheme="majorHAnsi" w:hAnsiTheme="majorHAnsi"/>
        </w:rPr>
        <w:t xml:space="preserve">The allocation hierarchy in ISO 14044 does not account for the steering effects and no specific allocation hierarchy for recycling is provided. In principle, ISO 14044 applies the same allocation hierarchy for multi-output systems. However, specific assessment approaches for recycling are described in ISO 14044: Avoided burden for the primary production route and cut-off. Avoided burden of the primary production route usually incentivizes the provision of material for recycling at the end-of-life and, thus should only be applied if these incentives lead to overall emission reductions. However, if environmental incentives can lead to overall emission reductions, this highly depends on the market situation and requires a detailed </w:t>
      </w:r>
      <w:r w:rsidRPr="006D7C62">
        <w:rPr>
          <w:rFonts w:asciiTheme="majorHAnsi" w:hAnsiTheme="majorHAnsi"/>
        </w:rPr>
        <w:lastRenderedPageBreak/>
        <w:t xml:space="preserve">analysis. Consequently, the cut-off </w:t>
      </w:r>
      <w:r w:rsidR="00C55818" w:rsidRPr="520AA7AF">
        <w:rPr>
          <w:rFonts w:asciiTheme="majorHAnsi" w:hAnsiTheme="majorHAnsi"/>
        </w:rPr>
        <w:t xml:space="preserve">EOL allocation (i.e. recycling content method) </w:t>
      </w:r>
      <w:r w:rsidRPr="006D7C62">
        <w:rPr>
          <w:rFonts w:asciiTheme="majorHAnsi" w:hAnsiTheme="majorHAnsi"/>
        </w:rPr>
        <w:t>approach shall be applied due to the following reasons:</w:t>
      </w:r>
    </w:p>
    <w:p w14:paraId="781EFFE7" w14:textId="24761B76" w:rsidR="00305D6C" w:rsidRPr="006D7C62" w:rsidRDefault="00305D6C" w:rsidP="006C1918">
      <w:pPr>
        <w:pStyle w:val="ListParagraph"/>
        <w:numPr>
          <w:ilvl w:val="0"/>
          <w:numId w:val="20"/>
        </w:numPr>
        <w:rPr>
          <w:rFonts w:asciiTheme="majorHAnsi" w:hAnsiTheme="majorHAnsi"/>
        </w:rPr>
      </w:pPr>
      <w:r w:rsidRPr="006D7C62">
        <w:rPr>
          <w:rFonts w:asciiTheme="majorHAnsi" w:hAnsiTheme="majorHAnsi"/>
        </w:rPr>
        <w:t>Ease of use</w:t>
      </w:r>
    </w:p>
    <w:p w14:paraId="584C4025" w14:textId="77777777" w:rsidR="00305D6C" w:rsidRPr="006D7C62" w:rsidRDefault="00305D6C" w:rsidP="006C1918">
      <w:pPr>
        <w:pStyle w:val="ListParagraph"/>
        <w:numPr>
          <w:ilvl w:val="0"/>
          <w:numId w:val="20"/>
        </w:numPr>
        <w:rPr>
          <w:rFonts w:asciiTheme="majorHAnsi" w:hAnsiTheme="majorHAnsi"/>
        </w:rPr>
      </w:pPr>
      <w:r w:rsidRPr="006D7C62">
        <w:rPr>
          <w:rFonts w:asciiTheme="majorHAnsi" w:hAnsiTheme="majorHAnsi"/>
        </w:rPr>
        <w:t>Avoidance of double counting</w:t>
      </w:r>
    </w:p>
    <w:p w14:paraId="0045B5C5" w14:textId="73D1DB2B" w:rsidR="00305D6C" w:rsidRPr="006D7C62" w:rsidRDefault="00305D6C" w:rsidP="006C1918">
      <w:pPr>
        <w:pStyle w:val="ListParagraph"/>
        <w:numPr>
          <w:ilvl w:val="0"/>
          <w:numId w:val="20"/>
        </w:numPr>
        <w:rPr>
          <w:rFonts w:asciiTheme="majorHAnsi" w:hAnsiTheme="majorHAnsi"/>
        </w:rPr>
      </w:pPr>
      <w:r w:rsidRPr="006D7C62">
        <w:rPr>
          <w:rFonts w:asciiTheme="majorHAnsi" w:hAnsiTheme="majorHAnsi"/>
        </w:rPr>
        <w:t>Higher comparability of PCFs</w:t>
      </w:r>
    </w:p>
    <w:p w14:paraId="0D5AF061" w14:textId="77777777" w:rsidR="00305D6C" w:rsidRPr="006D7C62" w:rsidRDefault="00305D6C" w:rsidP="00305D6C">
      <w:pPr>
        <w:rPr>
          <w:rFonts w:asciiTheme="majorHAnsi" w:hAnsiTheme="majorHAnsi"/>
          <w:lang w:val="en-GB"/>
        </w:rPr>
      </w:pPr>
      <w:r w:rsidRPr="006D7C62">
        <w:rPr>
          <w:rFonts w:asciiTheme="majorHAnsi" w:hAnsiTheme="majorHAnsi"/>
          <w:lang w:val="en-GB"/>
        </w:rPr>
        <w:t>The product system generating material for recycling follows a cut-off approach</w:t>
      </w:r>
      <w:r w:rsidRPr="006D7C62">
        <w:rPr>
          <w:rFonts w:asciiTheme="majorHAnsi" w:hAnsiTheme="majorHAnsi"/>
        </w:rPr>
        <w:t xml:space="preserve"> </w:t>
      </w:r>
      <w:r w:rsidRPr="006D7C62">
        <w:rPr>
          <w:rFonts w:asciiTheme="majorHAnsi" w:hAnsiTheme="majorHAnsi"/>
          <w:lang w:val="en-GB"/>
        </w:rPr>
        <w:t>in a cradle-to-gate scope</w:t>
      </w:r>
      <w:r w:rsidRPr="00072EA9">
        <w:rPr>
          <w:rFonts w:asciiTheme="majorHAnsi" w:hAnsiTheme="majorHAnsi"/>
          <w:lang w:val="en-GB"/>
        </w:rPr>
        <w:t>. Preparatory steps for recycling shall generally be allocated to the waste receiving system (i.e., the product system using the (to be) recycled material). This deviation from the polluter pays principle (as required for waste-to-energy, incineration, or disposal emissions) is a pragmatic exemption as following the polluter pays principle in this context would require defining material- and component-specific system boundaries.</w:t>
      </w:r>
      <w:r w:rsidRPr="006D7C62">
        <w:rPr>
          <w:rFonts w:asciiTheme="majorHAnsi" w:hAnsiTheme="majorHAnsi"/>
          <w:lang w:val="en-GB"/>
        </w:rPr>
        <w:t xml:space="preserve"> Other than the emissions from the respective preparatory steps and the recycling treatment emissions, to be recycled, to be re-used, or to be re-manufactured materials enter the product system using recycled material burden-free.</w:t>
      </w:r>
    </w:p>
    <w:p w14:paraId="74C47A59" w14:textId="54D1E373" w:rsidR="00305D6C" w:rsidRPr="006D7C62" w:rsidRDefault="00305D6C" w:rsidP="00305D6C">
      <w:pPr>
        <w:rPr>
          <w:rFonts w:asciiTheme="majorHAnsi" w:hAnsiTheme="majorHAnsi"/>
        </w:rPr>
      </w:pPr>
      <w:r w:rsidRPr="006D7C62">
        <w:rPr>
          <w:rFonts w:asciiTheme="majorHAnsi" w:hAnsiTheme="majorHAnsi"/>
        </w:rPr>
        <w:t>For pre-consumer scrap, preparatory steps owned by the company generating the waste shall be accounted for by the producer of the waste (they might be insignificant; cut-off rules apply).</w:t>
      </w:r>
    </w:p>
    <w:p w14:paraId="7FCD9AB7" w14:textId="77777777" w:rsidR="00305D6C" w:rsidRPr="00305D6C" w:rsidRDefault="00305D6C" w:rsidP="00305D6C"/>
    <w:p w14:paraId="5EFCDE27" w14:textId="229F8642" w:rsidR="00E85A78" w:rsidRDefault="00E85A78" w:rsidP="008327D7">
      <w:pPr>
        <w:pStyle w:val="Heading3"/>
      </w:pPr>
      <w:bookmarkStart w:id="61" w:name="_Toc178672674"/>
      <w:r>
        <w:t>Biogenic Carbon &amp; Negative Emissions</w:t>
      </w:r>
      <w:bookmarkEnd w:id="61"/>
    </w:p>
    <w:p w14:paraId="7FA9CBF4" w14:textId="77777777" w:rsidR="005600AE" w:rsidRPr="006D7C62" w:rsidRDefault="005600AE" w:rsidP="008327D7">
      <w:pPr>
        <w:rPr>
          <w:rFonts w:asciiTheme="majorHAnsi" w:hAnsiTheme="majorHAnsi"/>
        </w:rPr>
      </w:pPr>
      <w:r w:rsidRPr="006D7C62">
        <w:rPr>
          <w:rFonts w:asciiTheme="majorHAnsi" w:hAnsiTheme="majorHAnsi"/>
        </w:rPr>
        <w:t>Uptake of atmospheric CO</w:t>
      </w:r>
      <w:r w:rsidRPr="006D7C62">
        <w:rPr>
          <w:rFonts w:asciiTheme="majorHAnsi" w:hAnsiTheme="majorHAnsi"/>
          <w:vertAlign w:val="subscript"/>
        </w:rPr>
        <w:t>2</w:t>
      </w:r>
      <w:r w:rsidRPr="006D7C62">
        <w:rPr>
          <w:rFonts w:asciiTheme="majorHAnsi" w:hAnsiTheme="majorHAnsi"/>
        </w:rPr>
        <w:t xml:space="preserve"> shall be assigned with a characterization factor of -1 kg CO</w:t>
      </w:r>
      <w:r w:rsidRPr="006D7C62">
        <w:rPr>
          <w:rFonts w:asciiTheme="majorHAnsi" w:hAnsiTheme="majorHAnsi"/>
          <w:vertAlign w:val="subscript"/>
        </w:rPr>
        <w:t>2</w:t>
      </w:r>
      <w:r w:rsidRPr="006D7C62">
        <w:rPr>
          <w:rFonts w:asciiTheme="majorHAnsi" w:hAnsiTheme="majorHAnsi"/>
        </w:rPr>
        <w:t>eq per kg CO</w:t>
      </w:r>
      <w:r w:rsidRPr="006D7C62">
        <w:rPr>
          <w:rFonts w:asciiTheme="majorHAnsi" w:hAnsiTheme="majorHAnsi"/>
          <w:vertAlign w:val="subscript"/>
        </w:rPr>
        <w:t>2</w:t>
      </w:r>
      <w:r w:rsidRPr="006D7C62">
        <w:rPr>
          <w:rFonts w:asciiTheme="majorHAnsi" w:hAnsiTheme="majorHAnsi"/>
        </w:rPr>
        <w:t>; the emission of CO</w:t>
      </w:r>
      <w:r w:rsidRPr="006D7C62">
        <w:rPr>
          <w:rFonts w:asciiTheme="majorHAnsi" w:hAnsiTheme="majorHAnsi"/>
          <w:vertAlign w:val="subscript"/>
        </w:rPr>
        <w:t>2</w:t>
      </w:r>
      <w:r w:rsidRPr="006D7C62">
        <w:rPr>
          <w:rFonts w:asciiTheme="majorHAnsi" w:hAnsiTheme="majorHAnsi"/>
        </w:rPr>
        <w:t xml:space="preserve"> shall be assigned with a factor of 1 kg CO</w:t>
      </w:r>
      <w:r w:rsidRPr="006D7C62">
        <w:rPr>
          <w:rFonts w:asciiTheme="majorHAnsi" w:hAnsiTheme="majorHAnsi"/>
          <w:vertAlign w:val="subscript"/>
        </w:rPr>
        <w:t>2</w:t>
      </w:r>
      <w:r w:rsidRPr="006D7C62">
        <w:rPr>
          <w:rFonts w:asciiTheme="majorHAnsi" w:hAnsiTheme="majorHAnsi"/>
        </w:rPr>
        <w:t>eq per kg CO</w:t>
      </w:r>
      <w:r w:rsidRPr="006D7C62">
        <w:rPr>
          <w:rFonts w:asciiTheme="majorHAnsi" w:hAnsiTheme="majorHAnsi"/>
          <w:vertAlign w:val="subscript"/>
        </w:rPr>
        <w:t>2</w:t>
      </w:r>
      <w:r w:rsidRPr="006D7C62">
        <w:rPr>
          <w:rFonts w:asciiTheme="majorHAnsi" w:hAnsiTheme="majorHAnsi"/>
        </w:rPr>
        <w:t>. If plants absorb atmospheric CO</w:t>
      </w:r>
      <w:r w:rsidRPr="006D7C62">
        <w:rPr>
          <w:rFonts w:asciiTheme="majorHAnsi" w:hAnsiTheme="majorHAnsi"/>
          <w:vertAlign w:val="subscript"/>
        </w:rPr>
        <w:t>2</w:t>
      </w:r>
      <w:r w:rsidRPr="006D7C62">
        <w:rPr>
          <w:rFonts w:asciiTheme="majorHAnsi" w:hAnsiTheme="majorHAnsi"/>
        </w:rPr>
        <w:t>, the CO</w:t>
      </w:r>
      <w:r w:rsidRPr="006D7C62">
        <w:rPr>
          <w:rFonts w:asciiTheme="majorHAnsi" w:hAnsiTheme="majorHAnsi"/>
          <w:vertAlign w:val="subscript"/>
        </w:rPr>
        <w:t>2</w:t>
      </w:r>
      <w:r w:rsidRPr="006D7C62">
        <w:rPr>
          <w:rFonts w:asciiTheme="majorHAnsi" w:hAnsiTheme="majorHAnsi"/>
        </w:rPr>
        <w:t xml:space="preserve"> uptake shall be considered in the separate emission value </w:t>
      </w:r>
      <w:r>
        <w:rPr>
          <w:rFonts w:asciiTheme="majorHAnsi" w:hAnsiTheme="majorHAnsi"/>
        </w:rPr>
        <w:t>3</w:t>
      </w:r>
      <w:r w:rsidRPr="006D7C62">
        <w:rPr>
          <w:rFonts w:asciiTheme="majorHAnsi" w:hAnsiTheme="majorHAnsi"/>
        </w:rPr>
        <w:t xml:space="preserve"> (Net biogenic GHG emissions and removals including biogenic CO</w:t>
      </w:r>
      <w:r w:rsidRPr="006D7C62">
        <w:rPr>
          <w:rFonts w:asciiTheme="majorHAnsi" w:hAnsiTheme="majorHAnsi"/>
          <w:vertAlign w:val="subscript"/>
        </w:rPr>
        <w:t>2</w:t>
      </w:r>
      <w:r w:rsidRPr="006D7C62">
        <w:rPr>
          <w:rFonts w:asciiTheme="majorHAnsi" w:hAnsiTheme="majorHAnsi"/>
        </w:rPr>
        <w:t>).</w:t>
      </w:r>
    </w:p>
    <w:p w14:paraId="4E992C23" w14:textId="77777777" w:rsidR="005600AE" w:rsidRPr="005600AE" w:rsidRDefault="005600AE" w:rsidP="008327D7"/>
    <w:p w14:paraId="345C391B" w14:textId="3C456F09" w:rsidR="00E85A78" w:rsidRDefault="00E85A78" w:rsidP="008327D7">
      <w:pPr>
        <w:pStyle w:val="Heading3"/>
      </w:pPr>
      <w:bookmarkStart w:id="62" w:name="_Toc178672675"/>
      <w:r>
        <w:t>Logistics</w:t>
      </w:r>
      <w:bookmarkEnd w:id="62"/>
    </w:p>
    <w:p w14:paraId="5F358B21" w14:textId="6B893A2C" w:rsidR="00E85A78" w:rsidRPr="00F64E03" w:rsidRDefault="00E85A78" w:rsidP="55D15248">
      <w:pPr>
        <w:rPr>
          <w:rFonts w:asciiTheme="majorHAnsi" w:hAnsiTheme="majorHAnsi"/>
          <w:color w:val="859721" w:themeColor="accent2" w:themeShade="BF"/>
        </w:rPr>
      </w:pPr>
      <w:r w:rsidRPr="00F64E03">
        <w:rPr>
          <w:rFonts w:asciiTheme="majorHAnsi" w:hAnsiTheme="majorHAnsi"/>
          <w:color w:val="859721" w:themeColor="accent2" w:themeShade="BF"/>
        </w:rPr>
        <w:t xml:space="preserve">In addition to emissions from production, manufacturing, use stage and end of life, there are also emissions from the transportation </w:t>
      </w:r>
      <w:r w:rsidR="3FF2CA2D" w:rsidRPr="00F64E03">
        <w:rPr>
          <w:rFonts w:asciiTheme="majorHAnsi" w:hAnsiTheme="majorHAnsi"/>
          <w:color w:val="859721" w:themeColor="accent2" w:themeShade="BF"/>
        </w:rPr>
        <w:t xml:space="preserve">and logistics </w:t>
      </w:r>
      <w:r w:rsidRPr="00F64E03">
        <w:rPr>
          <w:rFonts w:asciiTheme="majorHAnsi" w:hAnsiTheme="majorHAnsi"/>
          <w:color w:val="859721" w:themeColor="accent2" w:themeShade="BF"/>
        </w:rPr>
        <w:t xml:space="preserve">of vehicles, products, or materials. </w:t>
      </w:r>
    </w:p>
    <w:p w14:paraId="0C5EBFB8" w14:textId="77777777" w:rsidR="00E85A78" w:rsidRPr="00F64E03" w:rsidRDefault="00E85A78" w:rsidP="008327D7">
      <w:pPr>
        <w:rPr>
          <w:rFonts w:asciiTheme="majorHAnsi" w:hAnsiTheme="majorHAnsi"/>
          <w:color w:val="859721" w:themeColor="accent2" w:themeShade="BF"/>
        </w:rPr>
      </w:pPr>
      <w:r w:rsidRPr="00F64E03">
        <w:rPr>
          <w:rFonts w:asciiTheme="majorHAnsi" w:hAnsiTheme="majorHAnsi"/>
          <w:color w:val="859721" w:themeColor="accent2" w:themeShade="BF"/>
        </w:rPr>
        <w:t xml:space="preserve">Emissions from transportation shall cover emissions from well-to-wheel, i.e., the system boundaries span from energy provision, production and distribution ending at the transportation operation itself. Emissions from the production of the transportation means and infrastructure, e.g., roads, vehicles, ships and railways, shall not be included. </w:t>
      </w:r>
    </w:p>
    <w:p w14:paraId="29EDA414" w14:textId="17CE7D08" w:rsidR="00E85A78" w:rsidRPr="006D7C62" w:rsidRDefault="006B076E" w:rsidP="55D15248">
      <w:pPr>
        <w:rPr>
          <w:rFonts w:asciiTheme="majorHAnsi" w:hAnsiTheme="majorHAnsi"/>
        </w:rPr>
      </w:pPr>
      <w:r>
        <w:rPr>
          <w:noProof/>
        </w:rPr>
        <w:drawing>
          <wp:inline distT="0" distB="0" distL="0" distR="0" wp14:anchorId="118A31A4" wp14:editId="59BA9623">
            <wp:extent cx="4926330" cy="1263118"/>
            <wp:effectExtent l="0" t="0" r="7620" b="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926330" cy="1263118"/>
                    </a:xfrm>
                    <a:prstGeom prst="rect">
                      <a:avLst/>
                    </a:prstGeom>
                  </pic:spPr>
                </pic:pic>
              </a:graphicData>
            </a:graphic>
          </wp:inline>
        </w:drawing>
      </w:r>
    </w:p>
    <w:p w14:paraId="1CBC4984" w14:textId="39C9F77A" w:rsidR="00E85A78" w:rsidRPr="006D7C62" w:rsidRDefault="00E85A78" w:rsidP="008327D7">
      <w:pPr>
        <w:pStyle w:val="Caption"/>
        <w:rPr>
          <w:rFonts w:asciiTheme="majorHAnsi" w:hAnsiTheme="majorHAnsi"/>
        </w:rPr>
      </w:pPr>
      <w:bookmarkStart w:id="63" w:name="_Toc178673567"/>
      <w:r w:rsidRPr="006D7C62">
        <w:rPr>
          <w:rFonts w:asciiTheme="majorHAnsi" w:hAnsiTheme="majorHAnsi"/>
        </w:rPr>
        <w:t xml:space="preserve">Figure </w:t>
      </w:r>
      <w:r w:rsidRPr="006D7C62">
        <w:rPr>
          <w:rFonts w:asciiTheme="majorHAnsi" w:hAnsiTheme="majorHAnsi"/>
        </w:rPr>
        <w:fldChar w:fldCharType="begin"/>
      </w:r>
      <w:r w:rsidRPr="006D7C62">
        <w:rPr>
          <w:rFonts w:asciiTheme="majorHAnsi" w:hAnsiTheme="majorHAnsi"/>
        </w:rPr>
        <w:instrText xml:space="preserve"> SEQ Figure \* ARABIC </w:instrText>
      </w:r>
      <w:r w:rsidRPr="006D7C62">
        <w:rPr>
          <w:rFonts w:asciiTheme="majorHAnsi" w:hAnsiTheme="majorHAnsi"/>
        </w:rPr>
        <w:fldChar w:fldCharType="separate"/>
      </w:r>
      <w:r w:rsidR="008272DB">
        <w:rPr>
          <w:rFonts w:asciiTheme="majorHAnsi" w:hAnsiTheme="majorHAnsi"/>
          <w:noProof/>
        </w:rPr>
        <w:t>9</w:t>
      </w:r>
      <w:r w:rsidRPr="006D7C62">
        <w:rPr>
          <w:rFonts w:asciiTheme="majorHAnsi" w:hAnsiTheme="majorHAnsi"/>
        </w:rPr>
        <w:fldChar w:fldCharType="end"/>
      </w:r>
      <w:r w:rsidRPr="006D7C62">
        <w:rPr>
          <w:rFonts w:asciiTheme="majorHAnsi" w:hAnsiTheme="majorHAnsi"/>
        </w:rPr>
        <w:t>: System boundaries for transportation.</w:t>
      </w:r>
      <w:bookmarkEnd w:id="63"/>
    </w:p>
    <w:p w14:paraId="7E5D13E8" w14:textId="77777777" w:rsidR="00E85A78" w:rsidRPr="00F64E03" w:rsidRDefault="00E85A78" w:rsidP="008327D7">
      <w:pPr>
        <w:rPr>
          <w:rFonts w:asciiTheme="majorHAnsi" w:hAnsiTheme="majorHAnsi"/>
          <w:color w:val="859721" w:themeColor="accent2" w:themeShade="BF"/>
        </w:rPr>
      </w:pPr>
      <w:r w:rsidRPr="00F64E03">
        <w:rPr>
          <w:rFonts w:asciiTheme="majorHAnsi" w:eastAsia="Manrope Light" w:hAnsiTheme="majorHAnsi" w:cs="Manrope Light"/>
          <w:color w:val="859721" w:themeColor="accent2" w:themeShade="BF"/>
          <w:szCs w:val="20"/>
        </w:rPr>
        <w:t>In case of transport chains (transport of a product by more than one transport mode) the chain links shall be individually quantified and subsequently summed up.</w:t>
      </w:r>
      <w:r w:rsidRPr="00F64E03">
        <w:rPr>
          <w:rFonts w:asciiTheme="majorHAnsi" w:hAnsiTheme="majorHAnsi"/>
          <w:color w:val="859721" w:themeColor="accent2" w:themeShade="BF"/>
        </w:rPr>
        <w:t xml:space="preserve"> </w:t>
      </w:r>
    </w:p>
    <w:p w14:paraId="53D1AC02" w14:textId="4D8389AC" w:rsidR="00E85A78" w:rsidRPr="00F64E03" w:rsidRDefault="00E85A78" w:rsidP="008327D7">
      <w:pPr>
        <w:rPr>
          <w:rFonts w:asciiTheme="majorHAnsi" w:hAnsiTheme="majorHAnsi"/>
          <w:color w:val="859721" w:themeColor="accent2" w:themeShade="BF"/>
        </w:rPr>
      </w:pPr>
      <w:r w:rsidRPr="00F64E03">
        <w:rPr>
          <w:rFonts w:asciiTheme="majorHAnsi" w:hAnsiTheme="majorHAnsi"/>
          <w:color w:val="859721" w:themeColor="accent2" w:themeShade="BF"/>
        </w:rPr>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F64E03">
        <w:rPr>
          <w:rFonts w:asciiTheme="majorHAnsi" w:eastAsia="Manrope Light" w:hAnsiTheme="majorHAnsi" w:cs="Manrope Light"/>
          <w:color w:val="859721" w:themeColor="accent2" w:themeShade="BF"/>
          <w:szCs w:val="20"/>
        </w:rPr>
        <w:t>Only transport emissions quantified on the basis of measured fuel/energy consumption shall be considered as primary data. In case of collective transport the primary data based transport emissions require allocation to the individual product. Such allocations do not change the classification of emission data as being primary data.</w:t>
      </w:r>
    </w:p>
    <w:p w14:paraId="2DC0A4F7" w14:textId="77777777" w:rsidR="00E85A78" w:rsidRPr="00F64E03" w:rsidRDefault="00E85A78" w:rsidP="00C947DF">
      <w:pPr>
        <w:rPr>
          <w:rFonts w:asciiTheme="majorHAnsi" w:eastAsia="Manrope Light" w:hAnsiTheme="majorHAnsi" w:cs="Manrope Light"/>
          <w:color w:val="859721" w:themeColor="accent2" w:themeShade="BF"/>
        </w:rPr>
      </w:pPr>
      <w:r w:rsidRPr="00F64E03">
        <w:rPr>
          <w:rFonts w:asciiTheme="majorHAnsi" w:hAnsiTheme="majorHAnsi"/>
          <w:color w:val="859721" w:themeColor="accent2" w:themeShade="BF"/>
        </w:rPr>
        <w:t xml:space="preserve">Direct measurement of fuel/energy </w:t>
      </w:r>
      <w:r w:rsidRPr="00F64E03">
        <w:rPr>
          <w:rFonts w:asciiTheme="majorHAnsi" w:eastAsia="Manrope Light" w:hAnsiTheme="majorHAnsi" w:cs="Manrope Light"/>
          <w:color w:val="859721" w:themeColor="accent2" w:themeShade="BF"/>
        </w:rPr>
        <w:t xml:space="preserve">consumption of a transport operation </w:t>
      </w:r>
      <w:r w:rsidRPr="00F64E03">
        <w:rPr>
          <w:rFonts w:asciiTheme="majorHAnsi" w:hAnsiTheme="majorHAnsi"/>
          <w:color w:val="859721" w:themeColor="accent2" w:themeShade="BF"/>
        </w:rPr>
        <w:t>may however not always be possible</w:t>
      </w:r>
      <w:r w:rsidRPr="00F64E03">
        <w:rPr>
          <w:rFonts w:asciiTheme="majorHAnsi" w:eastAsia="Manrope Light" w:hAnsiTheme="majorHAnsi" w:cs="Manrope Light"/>
          <w:color w:val="859721" w:themeColor="accent2" w:themeShade="BF"/>
        </w:rPr>
        <w:t xml:space="preserve"> and modelling transport emissions is required</w:t>
      </w:r>
      <w:r w:rsidRPr="00F64E03">
        <w:rPr>
          <w:rFonts w:asciiTheme="majorHAnsi" w:hAnsiTheme="majorHAnsi"/>
          <w:color w:val="859721" w:themeColor="accent2" w:themeShade="BF"/>
        </w:rPr>
        <w:t xml:space="preserve">. </w:t>
      </w:r>
      <w:r w:rsidRPr="00F64E03">
        <w:rPr>
          <w:rFonts w:asciiTheme="majorHAnsi" w:eastAsia="Manrope Light" w:hAnsiTheme="majorHAnsi" w:cs="Manrope Light"/>
          <w:color w:val="859721" w:themeColor="accent2" w:themeShade="BF"/>
        </w:rPr>
        <w:t xml:space="preserve">Calculation of transport emissions shall follow the recommendation set out in the GLEC Framework V3.0, except for the mandate to include emissions from the construction and dismantling of energy infrastructure. The GLEC framework allows for three </w:t>
      </w:r>
      <w:r w:rsidRPr="00F64E03">
        <w:rPr>
          <w:rFonts w:asciiTheme="majorHAnsi" w:eastAsia="Manrope Light" w:hAnsiTheme="majorHAnsi" w:cs="Manrope Light"/>
          <w:color w:val="859721" w:themeColor="accent2" w:themeShade="BF"/>
        </w:rPr>
        <w:lastRenderedPageBreak/>
        <w:t xml:space="preserve">approaches to establish transport distances: Shortest feasible distance (SFD), great circle distance (GCD) and actual distance. These approaches shall be used according to the following hierarchy: </w:t>
      </w:r>
    </w:p>
    <w:p w14:paraId="52856235" w14:textId="77777777" w:rsidR="00E85A78" w:rsidRPr="00F64E03" w:rsidRDefault="00E85A78" w:rsidP="006C1918">
      <w:pPr>
        <w:pStyle w:val="ListParagraph"/>
        <w:numPr>
          <w:ilvl w:val="0"/>
          <w:numId w:val="23"/>
        </w:numPr>
        <w:spacing w:after="0"/>
        <w:rPr>
          <w:rFonts w:asciiTheme="majorHAnsi" w:eastAsia="Manrope Light" w:hAnsiTheme="majorHAnsi" w:cs="Manrope Light"/>
          <w:color w:val="859721" w:themeColor="accent2" w:themeShade="BF"/>
          <w:szCs w:val="20"/>
        </w:rPr>
      </w:pPr>
      <w:r w:rsidRPr="00F64E03">
        <w:rPr>
          <w:rFonts w:asciiTheme="majorHAnsi" w:eastAsia="Manrope Light" w:hAnsiTheme="majorHAnsi" w:cs="Manrope Light"/>
          <w:color w:val="859721" w:themeColor="accent2" w:themeShade="BF"/>
          <w:szCs w:val="20"/>
        </w:rPr>
        <w:t>Actual distance</w:t>
      </w:r>
    </w:p>
    <w:p w14:paraId="62157A39" w14:textId="77777777" w:rsidR="00E85A78" w:rsidRPr="00F64E03" w:rsidRDefault="00E85A78" w:rsidP="006C1918">
      <w:pPr>
        <w:pStyle w:val="ListParagraph"/>
        <w:numPr>
          <w:ilvl w:val="0"/>
          <w:numId w:val="23"/>
        </w:numPr>
        <w:spacing w:after="0"/>
        <w:rPr>
          <w:rFonts w:asciiTheme="majorHAnsi" w:eastAsia="Manrope Light" w:hAnsiTheme="majorHAnsi" w:cs="Manrope Light"/>
          <w:color w:val="859721" w:themeColor="accent2" w:themeShade="BF"/>
          <w:szCs w:val="20"/>
        </w:rPr>
      </w:pPr>
      <w:r w:rsidRPr="00F64E03">
        <w:rPr>
          <w:rFonts w:asciiTheme="majorHAnsi" w:eastAsia="Manrope Light" w:hAnsiTheme="majorHAnsi" w:cs="Manrope Light"/>
          <w:color w:val="859721" w:themeColor="accent2" w:themeShade="BF"/>
          <w:szCs w:val="20"/>
        </w:rPr>
        <w:t>SFD</w:t>
      </w:r>
    </w:p>
    <w:p w14:paraId="6CFEB6EB" w14:textId="77777777" w:rsidR="00E85A78" w:rsidRPr="00F64E03" w:rsidRDefault="00E85A78" w:rsidP="006C1918">
      <w:pPr>
        <w:pStyle w:val="ListParagraph"/>
        <w:numPr>
          <w:ilvl w:val="0"/>
          <w:numId w:val="23"/>
        </w:numPr>
        <w:spacing w:after="0"/>
        <w:rPr>
          <w:rFonts w:asciiTheme="majorHAnsi" w:eastAsia="Manrope Light" w:hAnsiTheme="majorHAnsi" w:cs="Manrope Light"/>
          <w:color w:val="859721" w:themeColor="accent2" w:themeShade="BF"/>
          <w:szCs w:val="20"/>
        </w:rPr>
      </w:pPr>
      <w:r w:rsidRPr="00F64E03">
        <w:rPr>
          <w:rFonts w:asciiTheme="majorHAnsi" w:eastAsia="Manrope Light" w:hAnsiTheme="majorHAnsi" w:cs="Manrope Light"/>
          <w:color w:val="859721" w:themeColor="accent2" w:themeShade="BF"/>
          <w:szCs w:val="20"/>
        </w:rPr>
        <w:t>GCD</w:t>
      </w:r>
      <w:r w:rsidRPr="00F64E03">
        <w:rPr>
          <w:rFonts w:asciiTheme="majorHAnsi" w:hAnsiTheme="majorHAnsi"/>
          <w:color w:val="859721" w:themeColor="accent2" w:themeShade="BF"/>
        </w:rPr>
        <w:t xml:space="preserve"> </w:t>
      </w:r>
    </w:p>
    <w:p w14:paraId="02BC49E3" w14:textId="17FB8699" w:rsidR="00E85A78" w:rsidRPr="00F64E03" w:rsidRDefault="00E85A78" w:rsidP="55D15248">
      <w:pPr>
        <w:rPr>
          <w:rFonts w:asciiTheme="majorHAnsi" w:hAnsiTheme="majorHAnsi"/>
          <w:color w:val="859721" w:themeColor="accent2" w:themeShade="BF"/>
        </w:rPr>
      </w:pPr>
      <w:r w:rsidRPr="00F64E03">
        <w:rPr>
          <w:rFonts w:asciiTheme="majorHAnsi" w:hAnsiTheme="majorHAnsi"/>
          <w:color w:val="859721" w:themeColor="accent2" w:themeShade="BF"/>
        </w:rPr>
        <w:t>Emissions reduction from the use of low-carbon fuels may only be claimed if a statement of sustainability (origin and emissions reduction) for the fuel is provided as issued by a bonded warehouse.</w:t>
      </w:r>
    </w:p>
    <w:p w14:paraId="5A039DA0" w14:textId="2B0BF9DA" w:rsidR="008327D7" w:rsidRDefault="008327D7" w:rsidP="008327D7">
      <w:pPr>
        <w:pStyle w:val="Heading3"/>
      </w:pPr>
      <w:bookmarkStart w:id="64" w:name="_Toc178672676"/>
      <w:r>
        <w:t>Chain of custody</w:t>
      </w:r>
      <w:bookmarkEnd w:id="64"/>
    </w:p>
    <w:p w14:paraId="09170CA6" w14:textId="1D00F44F" w:rsidR="008327D7" w:rsidRPr="006D7C62" w:rsidRDefault="008327D7" w:rsidP="008327D7">
      <w:pPr>
        <w:rPr>
          <w:rFonts w:asciiTheme="majorHAnsi" w:eastAsiaTheme="majorEastAsia" w:hAnsiTheme="majorHAnsi" w:cstheme="majorBidi" w:hint="eastAsia"/>
        </w:rPr>
      </w:pPr>
      <w:r w:rsidRPr="006D7C62">
        <w:rPr>
          <w:rFonts w:asciiTheme="majorHAnsi" w:eastAsiaTheme="majorEastAsia" w:hAnsiTheme="majorHAnsi" w:cstheme="majorBidi"/>
        </w:rPr>
        <w:t xml:space="preserve">Chain of custody is an administrative process by which information about materials is transferred, monitored, and controlled as those materials move through supply chains [ISO 22095:2020]. There are, in principle, four possible chain of custody models, illustrated in </w:t>
      </w:r>
      <w:r w:rsidRPr="006D7C62">
        <w:rPr>
          <w:rFonts w:asciiTheme="majorHAnsi" w:eastAsiaTheme="majorEastAsia" w:hAnsiTheme="majorHAnsi" w:cstheme="majorBidi"/>
        </w:rPr>
        <w:fldChar w:fldCharType="begin"/>
      </w:r>
      <w:r w:rsidRPr="006D7C62">
        <w:rPr>
          <w:rFonts w:asciiTheme="majorHAnsi" w:eastAsiaTheme="majorEastAsia" w:hAnsiTheme="majorHAnsi" w:cstheme="majorBidi"/>
        </w:rPr>
        <w:instrText xml:space="preserve"> REF _Ref130836926 \h </w:instrText>
      </w:r>
      <w:r>
        <w:rPr>
          <w:rFonts w:asciiTheme="majorHAnsi" w:eastAsiaTheme="majorEastAsia" w:hAnsiTheme="majorHAnsi" w:cstheme="majorBidi"/>
        </w:rPr>
        <w:instrText xml:space="preserve"> \* MERGEFORMAT </w:instrText>
      </w:r>
      <w:r w:rsidRPr="006D7C62">
        <w:rPr>
          <w:rFonts w:asciiTheme="majorHAnsi" w:eastAsiaTheme="majorEastAsia" w:hAnsiTheme="majorHAnsi" w:cstheme="majorBidi"/>
        </w:rPr>
      </w:r>
      <w:r w:rsidRPr="006D7C62">
        <w:rPr>
          <w:rFonts w:asciiTheme="majorHAnsi" w:eastAsiaTheme="majorEastAsia" w:hAnsiTheme="majorHAnsi" w:cstheme="majorBidi"/>
        </w:rPr>
        <w:fldChar w:fldCharType="separate"/>
      </w:r>
      <w:r w:rsidRPr="006D7C62">
        <w:rPr>
          <w:rFonts w:asciiTheme="majorHAnsi" w:hAnsiTheme="majorHAnsi"/>
        </w:rPr>
        <w:t xml:space="preserve">Figure </w:t>
      </w:r>
      <w:r>
        <w:rPr>
          <w:rFonts w:asciiTheme="majorHAnsi" w:hAnsiTheme="majorHAnsi"/>
          <w:noProof/>
        </w:rPr>
        <w:t>10</w:t>
      </w:r>
      <w:r w:rsidRPr="006D7C62">
        <w:rPr>
          <w:rFonts w:asciiTheme="majorHAnsi" w:eastAsiaTheme="majorEastAsia" w:hAnsiTheme="majorHAnsi" w:cstheme="majorBidi"/>
        </w:rPr>
        <w:fldChar w:fldCharType="end"/>
      </w:r>
      <w:r w:rsidRPr="006D7C62">
        <w:rPr>
          <w:rFonts w:asciiTheme="majorHAnsi" w:eastAsiaTheme="majorEastAsia" w:hAnsiTheme="majorHAnsi" w:cstheme="majorBidi"/>
        </w:rPr>
        <w:t>. Their common objective is to guarantee correct accounting and corroborate a link between ingoing content, e.g., ‘sustainable’, ‘recycled’ or ‘organic’ by harmonized definitions, and the final outgoing product. They differ whether it is a physical or administrative link. Furthermore, they differ in the set of rules for balancing, and the option to keep materials streams segregated or not</w:t>
      </w:r>
      <w:r w:rsidRPr="006D7C62">
        <w:rPr>
          <w:rStyle w:val="FootnoteReference"/>
          <w:rFonts w:asciiTheme="majorHAnsi" w:eastAsiaTheme="majorEastAsia" w:hAnsiTheme="majorHAnsi" w:cstheme="majorBidi"/>
        </w:rPr>
        <w:footnoteReference w:id="5"/>
      </w:r>
      <w:r w:rsidRPr="006D7C62">
        <w:rPr>
          <w:rFonts w:asciiTheme="majorHAnsi" w:eastAsiaTheme="majorEastAsia" w:hAnsiTheme="majorHAnsi" w:cstheme="majorBidi"/>
        </w:rPr>
        <w:t>.</w:t>
      </w:r>
    </w:p>
    <w:p w14:paraId="544CEB82" w14:textId="0F194567" w:rsidR="008327D7" w:rsidRPr="006D7C62" w:rsidRDefault="008327D7" w:rsidP="008327D7">
      <w:pPr>
        <w:rPr>
          <w:rFonts w:asciiTheme="majorHAnsi" w:eastAsiaTheme="majorEastAsia" w:hAnsiTheme="majorHAnsi" w:cstheme="majorBidi" w:hint="eastAsia"/>
        </w:rPr>
      </w:pPr>
    </w:p>
    <w:p w14:paraId="25F3C4B4" w14:textId="4A64DEE1" w:rsidR="008327D7" w:rsidRPr="006D7C62" w:rsidRDefault="00A7554F" w:rsidP="008327D7">
      <w:pPr>
        <w:keepNext/>
        <w:rPr>
          <w:rFonts w:asciiTheme="majorHAnsi" w:hAnsiTheme="majorHAnsi"/>
        </w:rPr>
      </w:pPr>
      <w:r>
        <w:rPr>
          <w:rFonts w:asciiTheme="majorHAnsi" w:hAnsiTheme="majorHAnsi"/>
          <w:noProof/>
        </w:rPr>
        <w:drawing>
          <wp:inline distT="0" distB="0" distL="0" distR="0" wp14:anchorId="1D07FC2C" wp14:editId="14ECC126">
            <wp:extent cx="5752568" cy="2511485"/>
            <wp:effectExtent l="0" t="0" r="635" b="0"/>
            <wp:docPr id="192" name="Grafik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85192" cy="2525728"/>
                    </a:xfrm>
                    <a:prstGeom prst="rect">
                      <a:avLst/>
                    </a:prstGeom>
                    <a:noFill/>
                  </pic:spPr>
                </pic:pic>
              </a:graphicData>
            </a:graphic>
          </wp:inline>
        </w:drawing>
      </w:r>
    </w:p>
    <w:p w14:paraId="13CDE524" w14:textId="0A2DA58D" w:rsidR="008327D7" w:rsidRPr="006D7C62" w:rsidRDefault="008327D7" w:rsidP="008327D7">
      <w:pPr>
        <w:pStyle w:val="Caption"/>
        <w:rPr>
          <w:rFonts w:asciiTheme="majorHAnsi" w:eastAsiaTheme="majorEastAsia" w:hAnsiTheme="majorHAnsi" w:cstheme="majorBidi" w:hint="eastAsia"/>
        </w:rPr>
      </w:pPr>
      <w:bookmarkStart w:id="65" w:name="_Toc178673568"/>
      <w:r w:rsidRPr="006D7C62">
        <w:rPr>
          <w:rFonts w:asciiTheme="majorHAnsi" w:hAnsiTheme="majorHAnsi"/>
        </w:rPr>
        <w:t xml:space="preserve">Figure </w:t>
      </w:r>
      <w:r w:rsidRPr="006D7C62">
        <w:rPr>
          <w:rFonts w:asciiTheme="majorHAnsi" w:hAnsiTheme="majorHAnsi"/>
        </w:rPr>
        <w:fldChar w:fldCharType="begin"/>
      </w:r>
      <w:r w:rsidRPr="006D7C62">
        <w:rPr>
          <w:rFonts w:asciiTheme="majorHAnsi" w:hAnsiTheme="majorHAnsi"/>
        </w:rPr>
        <w:instrText xml:space="preserve"> SEQ Figure \* ARABIC </w:instrText>
      </w:r>
      <w:r w:rsidRPr="006D7C62">
        <w:rPr>
          <w:rFonts w:asciiTheme="majorHAnsi" w:hAnsiTheme="majorHAnsi"/>
        </w:rPr>
        <w:fldChar w:fldCharType="separate"/>
      </w:r>
      <w:r w:rsidR="008272DB">
        <w:rPr>
          <w:rFonts w:asciiTheme="majorHAnsi" w:hAnsiTheme="majorHAnsi"/>
          <w:noProof/>
        </w:rPr>
        <w:t>10</w:t>
      </w:r>
      <w:r w:rsidRPr="006D7C62">
        <w:rPr>
          <w:rFonts w:asciiTheme="majorHAnsi" w:hAnsiTheme="majorHAnsi"/>
        </w:rPr>
        <w:fldChar w:fldCharType="end"/>
      </w:r>
      <w:r w:rsidRPr="006D7C62">
        <w:rPr>
          <w:rFonts w:asciiTheme="majorHAnsi" w:hAnsiTheme="majorHAnsi"/>
        </w:rPr>
        <w:t>: Overview of chain of custody models</w:t>
      </w:r>
      <w:bookmarkEnd w:id="65"/>
    </w:p>
    <w:p w14:paraId="5CDC4EF3" w14:textId="77777777" w:rsidR="008327D7" w:rsidRPr="006D7C62" w:rsidRDefault="008327D7" w:rsidP="008327D7">
      <w:pPr>
        <w:rPr>
          <w:rFonts w:asciiTheme="majorHAnsi" w:hAnsiTheme="majorHAnsi"/>
        </w:rPr>
      </w:pPr>
    </w:p>
    <w:p w14:paraId="0ACD94F3" w14:textId="77777777" w:rsidR="008327D7" w:rsidRPr="006D7C62" w:rsidRDefault="008327D7" w:rsidP="008327D7">
      <w:pPr>
        <w:rPr>
          <w:rFonts w:asciiTheme="majorHAnsi" w:hAnsiTheme="majorHAnsi"/>
        </w:rPr>
      </w:pPr>
      <w:r w:rsidRPr="006D7C62">
        <w:rPr>
          <w:rFonts w:asciiTheme="majorHAnsi" w:hAnsiTheme="majorHAnsi"/>
        </w:rPr>
        <w:t>The following table was adapted from the above-cited Whitepaper and provides high-level explanations and differentiations for the four chain of custody models:</w:t>
      </w:r>
    </w:p>
    <w:p w14:paraId="0BD7EB7F" w14:textId="2300AF6C" w:rsidR="008327D7" w:rsidRPr="006D7C62" w:rsidRDefault="008327D7" w:rsidP="008327D7">
      <w:pPr>
        <w:pStyle w:val="Caption"/>
        <w:spacing w:after="0"/>
        <w:rPr>
          <w:rFonts w:asciiTheme="majorHAnsi" w:hAnsiTheme="majorHAnsi"/>
        </w:rPr>
      </w:pPr>
      <w:bookmarkStart w:id="66" w:name="_Toc178673578"/>
      <w:r w:rsidRPr="006D7C62">
        <w:rPr>
          <w:rFonts w:asciiTheme="majorHAnsi" w:hAnsiTheme="majorHAnsi"/>
        </w:rPr>
        <w:t xml:space="preserve">Table </w:t>
      </w:r>
      <w:r w:rsidRPr="006D7C62">
        <w:rPr>
          <w:rFonts w:asciiTheme="majorHAnsi" w:hAnsiTheme="majorHAnsi"/>
        </w:rPr>
        <w:fldChar w:fldCharType="begin"/>
      </w:r>
      <w:r w:rsidRPr="006D7C62">
        <w:rPr>
          <w:rFonts w:asciiTheme="majorHAnsi" w:hAnsiTheme="majorHAnsi"/>
        </w:rPr>
        <w:instrText xml:space="preserve"> SEQ Table \* ARABIC </w:instrText>
      </w:r>
      <w:r w:rsidRPr="006D7C62">
        <w:rPr>
          <w:rFonts w:asciiTheme="majorHAnsi" w:hAnsiTheme="majorHAnsi"/>
        </w:rPr>
        <w:fldChar w:fldCharType="separate"/>
      </w:r>
      <w:r w:rsidR="008272DB">
        <w:rPr>
          <w:rFonts w:asciiTheme="majorHAnsi" w:hAnsiTheme="majorHAnsi"/>
          <w:noProof/>
        </w:rPr>
        <w:t>3</w:t>
      </w:r>
      <w:r w:rsidRPr="006D7C62">
        <w:rPr>
          <w:rFonts w:asciiTheme="majorHAnsi" w:hAnsiTheme="majorHAnsi"/>
        </w:rPr>
        <w:fldChar w:fldCharType="end"/>
      </w:r>
      <w:r w:rsidRPr="006D7C62">
        <w:rPr>
          <w:rFonts w:asciiTheme="majorHAnsi" w:hAnsiTheme="majorHAnsi"/>
        </w:rPr>
        <w:t>: Explanation chain of custody models</w:t>
      </w:r>
      <w:bookmarkEnd w:id="66"/>
      <w:r w:rsidRPr="006D7C62">
        <w:rPr>
          <w:rFonts w:asciiTheme="majorHAnsi" w:hAnsiTheme="majorHAnsi"/>
        </w:rPr>
        <w:t xml:space="preserve"> </w:t>
      </w:r>
    </w:p>
    <w:p w14:paraId="757229F8" w14:textId="213CF967" w:rsidR="008327D7" w:rsidRPr="006D7C62" w:rsidRDefault="008327D7" w:rsidP="008327D7">
      <w:pPr>
        <w:pStyle w:val="Caption"/>
        <w:rPr>
          <w:rFonts w:asciiTheme="majorHAnsi" w:eastAsiaTheme="majorEastAsia" w:hAnsiTheme="majorHAnsi" w:cstheme="majorBidi" w:hint="eastAsia"/>
        </w:rPr>
      </w:pPr>
      <w:r w:rsidRPr="006D7C62">
        <w:rPr>
          <w:rFonts w:asciiTheme="majorHAnsi" w:hAnsiTheme="majorHAnsi"/>
        </w:rPr>
        <w:t xml:space="preserve">[adapted from the above-cited </w:t>
      </w:r>
      <w:hyperlink r:id="rId28" w:history="1">
        <w:r w:rsidRPr="006D7C62">
          <w:rPr>
            <w:rStyle w:val="Hyperlink"/>
            <w:rFonts w:asciiTheme="majorHAnsi" w:hAnsiTheme="majorHAnsi"/>
          </w:rPr>
          <w:t>EMF Whitepaper</w:t>
        </w:r>
      </w:hyperlink>
      <w:r w:rsidRPr="006D7C62">
        <w:rPr>
          <w:rFonts w:asciiTheme="majorHAnsi" w:hAnsiTheme="majorHAnsi"/>
        </w:rPr>
        <w:t xml:space="preserve"> </w:t>
      </w:r>
      <w:r w:rsidRPr="006D7C62">
        <w:rPr>
          <w:rFonts w:asciiTheme="majorHAnsi" w:hAnsiTheme="majorHAnsi"/>
        </w:rPr>
        <w:fldChar w:fldCharType="begin"/>
      </w:r>
      <w:r w:rsidRPr="006D7C62">
        <w:rPr>
          <w:rFonts w:asciiTheme="majorHAnsi" w:hAnsiTheme="majorHAnsi"/>
        </w:rPr>
        <w:instrText xml:space="preserve"> REF _Ref130836958 \h </w:instrText>
      </w:r>
      <w:r>
        <w:rPr>
          <w:rFonts w:asciiTheme="majorHAnsi" w:hAnsiTheme="majorHAnsi"/>
        </w:rPr>
        <w:instrText xml:space="preserve"> \* MERGEFORMAT </w:instrText>
      </w:r>
      <w:r w:rsidRPr="006D7C62">
        <w:rPr>
          <w:rFonts w:asciiTheme="majorHAnsi" w:hAnsiTheme="majorHAnsi"/>
        </w:rPr>
      </w:r>
      <w:r w:rsidRPr="006D7C62">
        <w:rPr>
          <w:rFonts w:asciiTheme="majorHAnsi" w:hAnsiTheme="majorHAnsi"/>
        </w:rPr>
        <w:fldChar w:fldCharType="separate"/>
      </w:r>
      <w:r w:rsidRPr="006D7C62">
        <w:rPr>
          <w:rFonts w:asciiTheme="majorHAnsi" w:hAnsiTheme="majorHAnsi"/>
        </w:rPr>
        <w:t xml:space="preserve">Table </w:t>
      </w:r>
      <w:r>
        <w:rPr>
          <w:rFonts w:asciiTheme="majorHAnsi" w:hAnsiTheme="majorHAnsi"/>
          <w:noProof/>
        </w:rPr>
        <w:t>1</w:t>
      </w:r>
      <w:r w:rsidRPr="006D7C62">
        <w:rPr>
          <w:rFonts w:asciiTheme="majorHAnsi" w:hAnsiTheme="majorHAnsi"/>
        </w:rPr>
        <w:fldChar w:fldCharType="end"/>
      </w:r>
      <w:r w:rsidRPr="006D7C62">
        <w:rPr>
          <w:rFonts w:asciiTheme="majorHAnsi" w:hAnsiTheme="majorHAnsi"/>
        </w:rPr>
        <w:t>, page 11]</w:t>
      </w:r>
    </w:p>
    <w:tbl>
      <w:tblPr>
        <w:tblStyle w:val="Cantena-X"/>
        <w:tblW w:w="5000" w:type="pct"/>
        <w:tblLook w:val="04A0" w:firstRow="1" w:lastRow="0" w:firstColumn="1" w:lastColumn="0" w:noHBand="0" w:noVBand="1"/>
      </w:tblPr>
      <w:tblGrid>
        <w:gridCol w:w="1908"/>
        <w:gridCol w:w="4266"/>
        <w:gridCol w:w="2898"/>
      </w:tblGrid>
      <w:tr w:rsidR="008327D7" w:rsidRPr="006D7C62" w14:paraId="0264146A" w14:textId="77777777" w:rsidTr="008327D7">
        <w:trPr>
          <w:cnfStyle w:val="100000000000" w:firstRow="1" w:lastRow="0" w:firstColumn="0" w:lastColumn="0" w:oddVBand="0" w:evenVBand="0" w:oddHBand="0" w:evenHBand="0" w:firstRowFirstColumn="0" w:firstRowLastColumn="0" w:lastRowFirstColumn="0" w:lastRowLastColumn="0"/>
          <w:trHeight w:val="20"/>
          <w:tblHeader/>
        </w:trPr>
        <w:tc>
          <w:tcPr>
            <w:tcW w:w="1052" w:type="pct"/>
            <w:shd w:val="clear" w:color="auto" w:fill="046B99" w:themeFill="accent5"/>
          </w:tcPr>
          <w:p w14:paraId="37C11032" w14:textId="77777777" w:rsidR="008327D7" w:rsidRPr="008327D7" w:rsidRDefault="008327D7" w:rsidP="00EE2E56">
            <w:pPr>
              <w:pStyle w:val="TableText"/>
              <w:rPr>
                <w:rFonts w:eastAsiaTheme="majorEastAsia" w:hint="eastAsia"/>
                <w:b/>
                <w:bCs/>
                <w:color w:val="FFFFFF" w:themeColor="background1"/>
              </w:rPr>
            </w:pPr>
            <w:r w:rsidRPr="008327D7">
              <w:rPr>
                <w:rFonts w:eastAsiaTheme="majorEastAsia"/>
                <w:b/>
                <w:bCs/>
                <w:color w:val="FFFFFF" w:themeColor="background1"/>
              </w:rPr>
              <w:t>Model</w:t>
            </w:r>
          </w:p>
        </w:tc>
        <w:tc>
          <w:tcPr>
            <w:tcW w:w="2351" w:type="pct"/>
            <w:shd w:val="clear" w:color="auto" w:fill="046B99" w:themeFill="accent5"/>
          </w:tcPr>
          <w:p w14:paraId="049726CF" w14:textId="77777777" w:rsidR="008327D7" w:rsidRPr="008327D7" w:rsidRDefault="008327D7" w:rsidP="00EE2E56">
            <w:pPr>
              <w:pStyle w:val="TableText"/>
              <w:rPr>
                <w:rFonts w:eastAsiaTheme="majorEastAsia" w:hint="eastAsia"/>
                <w:b/>
                <w:bCs/>
                <w:iCs/>
                <w:color w:val="FFFFFF" w:themeColor="background1"/>
              </w:rPr>
            </w:pPr>
            <w:r w:rsidRPr="008327D7">
              <w:rPr>
                <w:rFonts w:eastAsiaTheme="majorEastAsia"/>
                <w:b/>
                <w:bCs/>
                <w:iCs/>
                <w:color w:val="FFFFFF" w:themeColor="background1"/>
              </w:rPr>
              <w:t>Explanation</w:t>
            </w:r>
          </w:p>
        </w:tc>
        <w:tc>
          <w:tcPr>
            <w:tcW w:w="1597" w:type="pct"/>
            <w:shd w:val="clear" w:color="auto" w:fill="046B99" w:themeFill="accent5"/>
          </w:tcPr>
          <w:p w14:paraId="35B8821B" w14:textId="77777777" w:rsidR="008327D7" w:rsidRPr="008327D7" w:rsidRDefault="008327D7" w:rsidP="00EE2E56">
            <w:pPr>
              <w:pStyle w:val="TableText"/>
              <w:rPr>
                <w:rFonts w:eastAsiaTheme="majorEastAsia" w:hint="eastAsia"/>
                <w:b/>
                <w:bCs/>
                <w:color w:val="FFFFFF" w:themeColor="background1"/>
              </w:rPr>
            </w:pPr>
            <w:r w:rsidRPr="008327D7">
              <w:rPr>
                <w:rFonts w:eastAsiaTheme="majorEastAsia"/>
                <w:b/>
                <w:bCs/>
                <w:color w:val="FFFFFF" w:themeColor="background1"/>
              </w:rPr>
              <w:t>Example</w:t>
            </w:r>
          </w:p>
        </w:tc>
      </w:tr>
      <w:tr w:rsidR="008327D7" w:rsidRPr="006D7C62" w14:paraId="55C2362B" w14:textId="77777777" w:rsidTr="00EE2E56">
        <w:trPr>
          <w:cnfStyle w:val="000000100000" w:firstRow="0" w:lastRow="0" w:firstColumn="0" w:lastColumn="0" w:oddVBand="0" w:evenVBand="0" w:oddHBand="1" w:evenHBand="0" w:firstRowFirstColumn="0" w:firstRowLastColumn="0" w:lastRowFirstColumn="0" w:lastRowLastColumn="0"/>
          <w:trHeight w:val="20"/>
        </w:trPr>
        <w:tc>
          <w:tcPr>
            <w:tcW w:w="1052" w:type="pct"/>
          </w:tcPr>
          <w:p w14:paraId="546FC860" w14:textId="77777777" w:rsidR="008327D7" w:rsidRPr="006D7C62" w:rsidRDefault="008327D7" w:rsidP="00EE2E56">
            <w:pPr>
              <w:pStyle w:val="TableText"/>
              <w:rPr>
                <w:rStyle w:val="Strong"/>
                <w:rFonts w:asciiTheme="majorHAnsi" w:eastAsiaTheme="majorEastAsia" w:hAnsiTheme="majorHAnsi" w:hint="eastAsia"/>
              </w:rPr>
            </w:pPr>
            <w:r w:rsidRPr="006D7C62">
              <w:rPr>
                <w:rStyle w:val="Strong"/>
                <w:rFonts w:asciiTheme="majorHAnsi" w:eastAsiaTheme="majorEastAsia" w:hAnsiTheme="majorHAnsi"/>
              </w:rPr>
              <w:t>Identity preservation</w:t>
            </w:r>
          </w:p>
        </w:tc>
        <w:tc>
          <w:tcPr>
            <w:tcW w:w="2351" w:type="pct"/>
          </w:tcPr>
          <w:p w14:paraId="5F66E89C" w14:textId="77777777" w:rsidR="008327D7" w:rsidRPr="006D7C62" w:rsidRDefault="008327D7" w:rsidP="00EE2E56">
            <w:pPr>
              <w:pStyle w:val="TableText"/>
              <w:rPr>
                <w:rFonts w:eastAsiaTheme="majorEastAsia" w:hint="eastAsia"/>
              </w:rPr>
            </w:pPr>
            <w:r w:rsidRPr="006D7C62">
              <w:rPr>
                <w:rFonts w:eastAsiaTheme="majorEastAsia"/>
              </w:rPr>
              <w:t>It is possible to physically track the product to its desired origin, ensuring unique trace</w:t>
            </w:r>
            <w:r w:rsidRPr="006D7C62">
              <w:rPr>
                <w:rFonts w:eastAsiaTheme="majorEastAsia"/>
              </w:rPr>
              <w:softHyphen/>
              <w:t>ability and physical separation of products from other sources along the supply chain.</w:t>
            </w:r>
          </w:p>
        </w:tc>
        <w:tc>
          <w:tcPr>
            <w:tcW w:w="1597" w:type="pct"/>
          </w:tcPr>
          <w:p w14:paraId="09F6A26F" w14:textId="77777777" w:rsidR="008327D7" w:rsidRPr="006D7C62" w:rsidRDefault="008327D7" w:rsidP="00EE2E56">
            <w:pPr>
              <w:pStyle w:val="TableText"/>
              <w:rPr>
                <w:rFonts w:eastAsiaTheme="majorEastAsia" w:hint="eastAsia"/>
              </w:rPr>
            </w:pPr>
            <w:r w:rsidRPr="006D7C62">
              <w:rPr>
                <w:rFonts w:eastAsiaTheme="majorEastAsia"/>
              </w:rPr>
              <w:t xml:space="preserve">Buying food from a single certified </w:t>
            </w:r>
            <w:r w:rsidRPr="006D7C62">
              <w:rPr>
                <w:rFonts w:eastAsiaTheme="majorEastAsia"/>
                <w:iCs/>
              </w:rPr>
              <w:t>producer</w:t>
            </w:r>
            <w:r w:rsidRPr="006D7C62">
              <w:rPr>
                <w:rFonts w:eastAsiaTheme="majorEastAsia"/>
              </w:rPr>
              <w:t>.</w:t>
            </w:r>
          </w:p>
        </w:tc>
      </w:tr>
      <w:tr w:rsidR="008327D7" w:rsidRPr="006D7C62" w14:paraId="10A0526E" w14:textId="77777777" w:rsidTr="00EE2E56">
        <w:trPr>
          <w:cnfStyle w:val="000000010000" w:firstRow="0" w:lastRow="0" w:firstColumn="0" w:lastColumn="0" w:oddVBand="0" w:evenVBand="0" w:oddHBand="0" w:evenHBand="1" w:firstRowFirstColumn="0" w:firstRowLastColumn="0" w:lastRowFirstColumn="0" w:lastRowLastColumn="0"/>
          <w:trHeight w:val="20"/>
        </w:trPr>
        <w:tc>
          <w:tcPr>
            <w:tcW w:w="1052" w:type="pct"/>
          </w:tcPr>
          <w:p w14:paraId="16A4F228" w14:textId="77777777" w:rsidR="008327D7" w:rsidRPr="006D7C62" w:rsidRDefault="008327D7" w:rsidP="00EE2E56">
            <w:pPr>
              <w:pStyle w:val="TableText"/>
              <w:rPr>
                <w:rStyle w:val="Strong"/>
                <w:rFonts w:asciiTheme="majorHAnsi" w:eastAsiaTheme="majorEastAsia" w:hAnsiTheme="majorHAnsi" w:hint="eastAsia"/>
              </w:rPr>
            </w:pPr>
            <w:r w:rsidRPr="006D7C62">
              <w:rPr>
                <w:rStyle w:val="Strong"/>
                <w:rFonts w:asciiTheme="majorHAnsi" w:eastAsiaTheme="majorEastAsia" w:hAnsiTheme="majorHAnsi"/>
              </w:rPr>
              <w:t>Segregation</w:t>
            </w:r>
          </w:p>
        </w:tc>
        <w:tc>
          <w:tcPr>
            <w:tcW w:w="2351" w:type="pct"/>
          </w:tcPr>
          <w:p w14:paraId="50EA9689" w14:textId="77777777" w:rsidR="008327D7" w:rsidRPr="006D7C62" w:rsidRDefault="008327D7" w:rsidP="00EE2E56">
            <w:pPr>
              <w:pStyle w:val="TableText"/>
              <w:rPr>
                <w:rFonts w:eastAsiaTheme="majorEastAsia" w:hint="eastAsia"/>
              </w:rPr>
            </w:pPr>
            <w:r w:rsidRPr="006D7C62">
              <w:rPr>
                <w:rFonts w:eastAsiaTheme="majorEastAsia"/>
              </w:rPr>
              <w:t>Consists in the aggregation of volumes of products of identical origin or produced accor</w:t>
            </w:r>
            <w:r w:rsidRPr="006D7C62">
              <w:rPr>
                <w:rFonts w:eastAsiaTheme="majorEastAsia"/>
              </w:rPr>
              <w:softHyphen/>
              <w:t>ding to the same standards in one stock item.</w:t>
            </w:r>
          </w:p>
        </w:tc>
        <w:tc>
          <w:tcPr>
            <w:tcW w:w="1597" w:type="pct"/>
          </w:tcPr>
          <w:p w14:paraId="529DF3D7" w14:textId="77777777" w:rsidR="008327D7" w:rsidRPr="006D7C62" w:rsidRDefault="008327D7" w:rsidP="00EE2E56">
            <w:pPr>
              <w:pStyle w:val="TableText"/>
              <w:rPr>
                <w:rFonts w:eastAsiaTheme="majorEastAsia" w:hint="eastAsia"/>
              </w:rPr>
            </w:pPr>
            <w:r w:rsidRPr="006D7C62">
              <w:rPr>
                <w:rFonts w:eastAsiaTheme="majorEastAsia"/>
              </w:rPr>
              <w:t>Buying food from a trader that exclusively handles identically certified supplies</w:t>
            </w:r>
          </w:p>
        </w:tc>
      </w:tr>
      <w:tr w:rsidR="008327D7" w:rsidRPr="006D7C62" w14:paraId="3DA2D8E8" w14:textId="77777777" w:rsidTr="00EE2E56">
        <w:trPr>
          <w:cnfStyle w:val="000000100000" w:firstRow="0" w:lastRow="0" w:firstColumn="0" w:lastColumn="0" w:oddVBand="0" w:evenVBand="0" w:oddHBand="1" w:evenHBand="0" w:firstRowFirstColumn="0" w:firstRowLastColumn="0" w:lastRowFirstColumn="0" w:lastRowLastColumn="0"/>
          <w:cantSplit/>
          <w:trHeight w:val="20"/>
        </w:trPr>
        <w:tc>
          <w:tcPr>
            <w:tcW w:w="1052" w:type="pct"/>
          </w:tcPr>
          <w:p w14:paraId="7186F8D6" w14:textId="77777777" w:rsidR="008327D7" w:rsidRPr="006D7C62" w:rsidRDefault="008327D7" w:rsidP="00EE2E56">
            <w:pPr>
              <w:pStyle w:val="TableText"/>
              <w:rPr>
                <w:rStyle w:val="Strong"/>
                <w:rFonts w:asciiTheme="majorHAnsi" w:eastAsiaTheme="majorEastAsia" w:hAnsiTheme="majorHAnsi" w:hint="eastAsia"/>
              </w:rPr>
            </w:pPr>
            <w:r w:rsidRPr="006D7C62">
              <w:rPr>
                <w:rStyle w:val="Strong"/>
                <w:rFonts w:asciiTheme="majorHAnsi" w:eastAsiaTheme="majorEastAsia" w:hAnsiTheme="majorHAnsi"/>
              </w:rPr>
              <w:lastRenderedPageBreak/>
              <w:t>Mass balance</w:t>
            </w:r>
          </w:p>
        </w:tc>
        <w:tc>
          <w:tcPr>
            <w:tcW w:w="2351" w:type="pct"/>
          </w:tcPr>
          <w:p w14:paraId="62051064" w14:textId="77777777" w:rsidR="008327D7" w:rsidRPr="006D7C62" w:rsidRDefault="008327D7" w:rsidP="00EE2E56">
            <w:pPr>
              <w:pStyle w:val="TableText"/>
              <w:rPr>
                <w:rFonts w:eastAsiaTheme="majorEastAsia" w:hint="eastAsia"/>
              </w:rPr>
            </w:pPr>
            <w:r w:rsidRPr="006D7C62">
              <w:rPr>
                <w:rFonts w:eastAsiaTheme="majorEastAsia"/>
              </w:rPr>
              <w:t>Considering the output, no physical or che</w:t>
            </w:r>
            <w:r w:rsidRPr="006D7C62">
              <w:rPr>
                <w:rFonts w:eastAsiaTheme="majorEastAsia"/>
              </w:rPr>
              <w:softHyphen/>
              <w:t>mical difference exists between in-scope and out-of-scope. It involves balancing volume reconciliation to ensure the exact volumes of in and out-of-scope source is maintained along the supply chain. Given that the volume or the ratio of sustainable material integrated is reflected in the product produced and sold to customers. This model requires that a reconciliation period is defined (e.g., a month, a year).</w:t>
            </w:r>
          </w:p>
        </w:tc>
        <w:tc>
          <w:tcPr>
            <w:tcW w:w="1597" w:type="pct"/>
          </w:tcPr>
          <w:p w14:paraId="7752C6D5" w14:textId="77777777" w:rsidR="008327D7" w:rsidRPr="006D7C62" w:rsidRDefault="008327D7" w:rsidP="00EE2E56">
            <w:pPr>
              <w:pStyle w:val="TableText"/>
              <w:rPr>
                <w:rFonts w:eastAsiaTheme="majorEastAsia" w:hint="eastAsia"/>
              </w:rPr>
            </w:pPr>
            <w:r w:rsidRPr="006D7C62">
              <w:rPr>
                <w:rFonts w:eastAsiaTheme="majorEastAsia"/>
              </w:rPr>
              <w:t>Buying a certain percentage of a supply from certified origin. Applies to, e.g., sustainable forestry for wooden materials, recycled, bio-based or renew</w:t>
            </w:r>
            <w:r w:rsidRPr="006D7C62">
              <w:rPr>
                <w:rFonts w:eastAsiaTheme="majorEastAsia"/>
              </w:rPr>
              <w:softHyphen/>
              <w:t>able materials, organic cotton</w:t>
            </w:r>
          </w:p>
        </w:tc>
      </w:tr>
      <w:tr w:rsidR="008327D7" w:rsidRPr="006D7C62" w14:paraId="04FE1C39" w14:textId="77777777" w:rsidTr="00EE2E56">
        <w:trPr>
          <w:cnfStyle w:val="000000010000" w:firstRow="0" w:lastRow="0" w:firstColumn="0" w:lastColumn="0" w:oddVBand="0" w:evenVBand="0" w:oddHBand="0" w:evenHBand="1" w:firstRowFirstColumn="0" w:firstRowLastColumn="0" w:lastRowFirstColumn="0" w:lastRowLastColumn="0"/>
          <w:trHeight w:val="20"/>
        </w:trPr>
        <w:tc>
          <w:tcPr>
            <w:tcW w:w="1052" w:type="pct"/>
          </w:tcPr>
          <w:p w14:paraId="2B681C1E" w14:textId="77777777" w:rsidR="008327D7" w:rsidRPr="006D7C62" w:rsidRDefault="008327D7" w:rsidP="00EE2E56">
            <w:pPr>
              <w:pStyle w:val="TableText"/>
              <w:rPr>
                <w:rStyle w:val="Strong"/>
                <w:rFonts w:asciiTheme="majorHAnsi" w:eastAsiaTheme="majorEastAsia" w:hAnsiTheme="majorHAnsi" w:hint="eastAsia"/>
              </w:rPr>
            </w:pPr>
            <w:r w:rsidRPr="006D7C62">
              <w:rPr>
                <w:rStyle w:val="Strong"/>
                <w:rFonts w:asciiTheme="majorHAnsi" w:eastAsiaTheme="majorEastAsia" w:hAnsiTheme="majorHAnsi"/>
              </w:rPr>
              <w:t xml:space="preserve">Book and claim – </w:t>
            </w:r>
            <w:r w:rsidRPr="006D7C62">
              <w:rPr>
                <w:rStyle w:val="Strong"/>
                <w:rFonts w:asciiTheme="majorHAnsi" w:hAnsiTheme="majorHAnsi"/>
              </w:rPr>
              <w:t xml:space="preserve">restricted </w:t>
            </w:r>
            <w:r w:rsidRPr="006D7C62">
              <w:rPr>
                <w:rStyle w:val="Strong"/>
                <w:rFonts w:asciiTheme="majorHAnsi" w:eastAsiaTheme="majorEastAsia" w:hAnsiTheme="majorHAnsi"/>
              </w:rPr>
              <w:t>certi</w:t>
            </w:r>
            <w:r w:rsidRPr="006D7C62">
              <w:rPr>
                <w:rStyle w:val="Strong"/>
                <w:rFonts w:asciiTheme="majorHAnsi" w:eastAsiaTheme="majorEastAsia" w:hAnsiTheme="majorHAnsi"/>
              </w:rPr>
              <w:softHyphen/>
              <w:t>ficate trading</w:t>
            </w:r>
          </w:p>
        </w:tc>
        <w:tc>
          <w:tcPr>
            <w:tcW w:w="2351" w:type="pct"/>
          </w:tcPr>
          <w:p w14:paraId="540B6A96" w14:textId="77777777" w:rsidR="008327D7" w:rsidRPr="006D7C62" w:rsidRDefault="008327D7" w:rsidP="00EE2E56">
            <w:pPr>
              <w:pStyle w:val="TableText"/>
              <w:rPr>
                <w:rFonts w:eastAsiaTheme="majorEastAsia" w:hint="eastAsia"/>
              </w:rPr>
            </w:pPr>
            <w:r w:rsidRPr="006D7C62">
              <w:rPr>
                <w:rFonts w:eastAsiaTheme="majorEastAsia"/>
              </w:rPr>
              <w:t>The certified product/component is disconnected from the certification data but belongs to the same production system or value chain. The certified product evolves in separate flows from the certified supply. Certificates are issued at the beginning of the supply chain by an independent body reflecting the sustainable content of supplies. The intended outcome is that outputs from one supply chain is associated with total claims corresponding to the certified input.</w:t>
            </w:r>
          </w:p>
        </w:tc>
        <w:tc>
          <w:tcPr>
            <w:tcW w:w="1597" w:type="pct"/>
          </w:tcPr>
          <w:p w14:paraId="5504E577" w14:textId="77777777" w:rsidR="008327D7" w:rsidRPr="006D7C62" w:rsidRDefault="008327D7" w:rsidP="00EE2E56">
            <w:pPr>
              <w:pStyle w:val="TableText"/>
              <w:rPr>
                <w:rFonts w:eastAsiaTheme="majorEastAsia" w:hint="eastAsia"/>
              </w:rPr>
            </w:pPr>
            <w:r w:rsidRPr="006D7C62">
              <w:rPr>
                <w:rFonts w:eastAsiaTheme="majorEastAsia"/>
              </w:rPr>
              <w:t>Buying material with renewable/recycled/ biobased content.</w:t>
            </w:r>
          </w:p>
          <w:p w14:paraId="37E3F26E" w14:textId="77777777" w:rsidR="008327D7" w:rsidRPr="006D7C62" w:rsidRDefault="008327D7" w:rsidP="00EE2E56">
            <w:pPr>
              <w:pStyle w:val="TableText"/>
              <w:rPr>
                <w:rFonts w:eastAsiaTheme="majorEastAsia" w:hint="eastAsia"/>
              </w:rPr>
            </w:pPr>
            <w:r w:rsidRPr="006D7C62">
              <w:rPr>
                <w:rFonts w:eastAsiaTheme="majorEastAsia"/>
              </w:rPr>
              <w:t xml:space="preserve">Certificates with guarantee of origin </w:t>
            </w:r>
            <w:r w:rsidRPr="006D7C62">
              <w:rPr>
                <w:rStyle w:val="Strong"/>
                <w:rFonts w:asciiTheme="majorHAnsi" w:hAnsiTheme="majorHAnsi"/>
              </w:rPr>
              <w:t>or comparable certifications</w:t>
            </w:r>
            <w:r w:rsidRPr="006D7C62">
              <w:t xml:space="preserve"> </w:t>
            </w:r>
            <w:r w:rsidRPr="006D7C62">
              <w:rPr>
                <w:rFonts w:eastAsiaTheme="majorEastAsia"/>
              </w:rPr>
              <w:t>declaring e.g., recycled, renewable, biobased content.</w:t>
            </w:r>
          </w:p>
          <w:p w14:paraId="3ED82487" w14:textId="77777777" w:rsidR="008327D7" w:rsidRPr="006D7C62" w:rsidRDefault="008327D7" w:rsidP="00EE2E56">
            <w:pPr>
              <w:pStyle w:val="TableText"/>
              <w:rPr>
                <w:rFonts w:eastAsiaTheme="majorEastAsia" w:hint="eastAsia"/>
              </w:rPr>
            </w:pPr>
            <w:r w:rsidRPr="006D7C62">
              <w:rPr>
                <w:rFonts w:eastAsiaTheme="majorEastAsia"/>
              </w:rPr>
              <w:t>CO</w:t>
            </w:r>
            <w:r w:rsidRPr="006D7C62">
              <w:rPr>
                <w:rFonts w:eastAsiaTheme="majorEastAsia"/>
                <w:vertAlign w:val="subscript"/>
              </w:rPr>
              <w:t>2</w:t>
            </w:r>
            <w:r w:rsidRPr="006D7C62">
              <w:rPr>
                <w:rFonts w:eastAsiaTheme="majorEastAsia"/>
              </w:rPr>
              <w:t xml:space="preserve"> capture certificates from a production system con</w:t>
            </w:r>
            <w:r w:rsidRPr="006D7C62">
              <w:rPr>
                <w:rFonts w:eastAsiaTheme="majorEastAsia"/>
              </w:rPr>
              <w:softHyphen/>
              <w:t>trolled by the company, e.g., carbon capture and storage.</w:t>
            </w:r>
          </w:p>
        </w:tc>
      </w:tr>
    </w:tbl>
    <w:p w14:paraId="238D6DA2" w14:textId="77777777" w:rsidR="008327D7" w:rsidRPr="006D7C62" w:rsidRDefault="008327D7" w:rsidP="008327D7">
      <w:pPr>
        <w:rPr>
          <w:rFonts w:asciiTheme="majorHAnsi" w:hAnsiTheme="majorHAnsi"/>
        </w:rPr>
      </w:pPr>
    </w:p>
    <w:p w14:paraId="03B398CD" w14:textId="47BBCC18" w:rsidR="008327D7" w:rsidRPr="006D7C62" w:rsidRDefault="008327D7" w:rsidP="55D15248">
      <w:pPr>
        <w:rPr>
          <w:rFonts w:asciiTheme="majorHAnsi" w:hAnsiTheme="majorHAnsi"/>
          <w:spacing w:val="-2"/>
        </w:rPr>
      </w:pPr>
      <w:r w:rsidRPr="55D15248">
        <w:rPr>
          <w:rFonts w:asciiTheme="majorHAnsi" w:hAnsiTheme="majorHAnsi"/>
          <w:spacing w:val="-2"/>
        </w:rPr>
        <w:t xml:space="preserve">To calculate the PCF according to </w:t>
      </w:r>
      <w:r w:rsidR="00C55818">
        <w:rPr>
          <w:rFonts w:asciiTheme="majorHAnsi" w:hAnsiTheme="majorHAnsi"/>
          <w:spacing w:val="-2"/>
        </w:rPr>
        <w:t>this mutual resolution</w:t>
      </w:r>
      <w:r w:rsidRPr="55D15248">
        <w:rPr>
          <w:rFonts w:asciiTheme="majorHAnsi" w:hAnsiTheme="majorHAnsi"/>
          <w:spacing w:val="-2"/>
        </w:rPr>
        <w:t>, all types of models may be taken into account if the requirements listed below are met and an independent third-party chain of custody verification for the balance of materials is available. The balance between input and output shall be correct.</w:t>
      </w:r>
    </w:p>
    <w:p w14:paraId="1BF9A5C0" w14:textId="10CA1314" w:rsidR="008327D7" w:rsidRPr="006D7C62" w:rsidRDefault="008327D7" w:rsidP="008327D7">
      <w:pPr>
        <w:rPr>
          <w:rFonts w:asciiTheme="majorHAnsi" w:hAnsiTheme="majorHAnsi"/>
        </w:rPr>
      </w:pPr>
      <w:r w:rsidRPr="006D7C62">
        <w:rPr>
          <w:rFonts w:asciiTheme="majorHAnsi" w:hAnsiTheme="majorHAnsi"/>
          <w:spacing w:val="-2"/>
        </w:rPr>
        <w:t xml:space="preserve">The mass balance approach helps </w:t>
      </w:r>
      <w:r w:rsidRPr="006D7C62">
        <w:rPr>
          <w:rFonts w:asciiTheme="majorHAnsi" w:hAnsiTheme="majorHAnsi"/>
        </w:rPr>
        <w:t>enable</w:t>
      </w:r>
      <w:r w:rsidRPr="006D7C62">
        <w:rPr>
          <w:rFonts w:asciiTheme="majorHAnsi" w:hAnsiTheme="majorHAnsi"/>
          <w:spacing w:val="-2"/>
        </w:rPr>
        <w:t xml:space="preserve"> fossil raw materials to be replaced by more sustainable alternative materials (e.g</w:t>
      </w:r>
      <w:r w:rsidRPr="006D7C62">
        <w:rPr>
          <w:rFonts w:asciiTheme="majorHAnsi" w:hAnsiTheme="majorHAnsi"/>
        </w:rPr>
        <w:t>.,</w:t>
      </w:r>
      <w:r w:rsidRPr="006D7C62">
        <w:rPr>
          <w:rFonts w:asciiTheme="majorHAnsi" w:hAnsiTheme="majorHAnsi"/>
          <w:spacing w:val="-2"/>
        </w:rPr>
        <w:t xml:space="preserve"> with recycled content, bio-content). In contrast to a segregated use of alternative raw materials, mass balance enables </w:t>
      </w:r>
      <w:r w:rsidRPr="006D7C62">
        <w:rPr>
          <w:rFonts w:asciiTheme="majorHAnsi" w:hAnsiTheme="majorHAnsi"/>
        </w:rPr>
        <w:t>the</w:t>
      </w:r>
      <w:r w:rsidRPr="006D7C62">
        <w:rPr>
          <w:rFonts w:asciiTheme="majorHAnsi" w:hAnsiTheme="majorHAnsi"/>
          <w:spacing w:val="-2"/>
        </w:rPr>
        <w:t xml:space="preserve"> use of existing production networks with low or no investments into new process technologies and production facilities. A book and claim model can be applied when there is no direct connection between the final product and the certified supply. An example </w:t>
      </w:r>
      <w:r w:rsidRPr="006D7C62">
        <w:rPr>
          <w:rFonts w:asciiTheme="majorHAnsi" w:hAnsiTheme="majorHAnsi"/>
        </w:rPr>
        <w:t>of</w:t>
      </w:r>
      <w:r w:rsidRPr="006D7C62">
        <w:rPr>
          <w:rFonts w:asciiTheme="majorHAnsi" w:hAnsiTheme="majorHAnsi"/>
          <w:spacing w:val="-2"/>
        </w:rPr>
        <w:t xml:space="preserve"> a </w:t>
      </w:r>
      <w:r w:rsidRPr="006D7C62">
        <w:rPr>
          <w:rFonts w:asciiTheme="majorHAnsi" w:hAnsiTheme="majorHAnsi"/>
        </w:rPr>
        <w:t>book</w:t>
      </w:r>
      <w:r w:rsidRPr="006D7C62">
        <w:rPr>
          <w:rFonts w:asciiTheme="majorHAnsi" w:hAnsiTheme="majorHAnsi"/>
          <w:spacing w:val="-2"/>
        </w:rPr>
        <w:t xml:space="preserve"> and </w:t>
      </w:r>
      <w:r w:rsidRPr="006D7C62">
        <w:rPr>
          <w:rFonts w:asciiTheme="majorHAnsi" w:hAnsiTheme="majorHAnsi"/>
        </w:rPr>
        <w:t>claim</w:t>
      </w:r>
      <w:r w:rsidRPr="006D7C62">
        <w:rPr>
          <w:rFonts w:asciiTheme="majorHAnsi" w:hAnsiTheme="majorHAnsi"/>
          <w:spacing w:val="-2"/>
        </w:rPr>
        <w:t xml:space="preserve"> </w:t>
      </w:r>
      <w:r w:rsidRPr="006D7C62">
        <w:rPr>
          <w:rFonts w:asciiTheme="majorHAnsi" w:hAnsiTheme="majorHAnsi"/>
        </w:rPr>
        <w:t>model</w:t>
      </w:r>
      <w:r w:rsidRPr="006D7C62">
        <w:rPr>
          <w:rFonts w:asciiTheme="majorHAnsi" w:hAnsiTheme="majorHAnsi"/>
          <w:spacing w:val="-2"/>
        </w:rPr>
        <w:t xml:space="preserve"> is applied in green electricity markets and receives more attention in other sectors as way to support circular transformation of the industry</w:t>
      </w:r>
      <w:r w:rsidRPr="006D7C62">
        <w:rPr>
          <w:rFonts w:asciiTheme="majorHAnsi" w:hAnsiTheme="majorHAnsi"/>
        </w:rPr>
        <w:t>;</w:t>
      </w:r>
      <w:r w:rsidRPr="006D7C62">
        <w:rPr>
          <w:rFonts w:asciiTheme="majorHAnsi" w:hAnsiTheme="majorHAnsi"/>
          <w:spacing w:val="-2"/>
        </w:rPr>
        <w:t xml:space="preserve"> therefore</w:t>
      </w:r>
      <w:r w:rsidRPr="006D7C62">
        <w:rPr>
          <w:rFonts w:asciiTheme="majorHAnsi" w:hAnsiTheme="majorHAnsi"/>
        </w:rPr>
        <w:t>,</w:t>
      </w:r>
      <w:r w:rsidRPr="006D7C62">
        <w:rPr>
          <w:rFonts w:asciiTheme="majorHAnsi" w:hAnsiTheme="majorHAnsi"/>
          <w:spacing w:val="-2"/>
        </w:rPr>
        <w:t xml:space="preserve"> it is accepted as a solution.</w:t>
      </w:r>
    </w:p>
    <w:p w14:paraId="7CF51752" w14:textId="77777777" w:rsidR="008327D7" w:rsidRDefault="008327D7" w:rsidP="008327D7">
      <w:pPr>
        <w:pStyle w:val="Heading4"/>
        <w:rPr>
          <w:rFonts w:asciiTheme="majorHAnsi" w:hAnsiTheme="majorHAnsi" w:hint="eastAsia"/>
        </w:rPr>
      </w:pPr>
      <w:r w:rsidRPr="006D7C62">
        <w:rPr>
          <w:rFonts w:asciiTheme="majorHAnsi" w:hAnsiTheme="majorHAnsi"/>
        </w:rPr>
        <w:t>Guiding principles</w:t>
      </w:r>
    </w:p>
    <w:p w14:paraId="62EB0E42" w14:textId="77777777" w:rsidR="008327D7" w:rsidRPr="006D7C62" w:rsidRDefault="008327D7" w:rsidP="008327D7">
      <w:pPr>
        <w:rPr>
          <w:rFonts w:asciiTheme="majorHAnsi" w:hAnsiTheme="majorHAnsi"/>
        </w:rPr>
      </w:pPr>
      <w:r w:rsidRPr="006D7C62">
        <w:rPr>
          <w:rFonts w:asciiTheme="majorHAnsi" w:hAnsiTheme="majorHAnsi"/>
        </w:rPr>
        <w:t>In implementing chain-of-custody methods, including mass balancing, the following set of guiding principles shall be fulfilled:</w:t>
      </w:r>
    </w:p>
    <w:p w14:paraId="6E8ED456" w14:textId="77777777" w:rsidR="008327D7" w:rsidRPr="00C55818" w:rsidRDefault="008327D7" w:rsidP="006C1918">
      <w:pPr>
        <w:pStyle w:val="Nummerierung"/>
        <w:numPr>
          <w:ilvl w:val="0"/>
          <w:numId w:val="32"/>
        </w:numPr>
        <w:rPr>
          <w:rFonts w:asciiTheme="majorHAnsi" w:hAnsiTheme="majorHAnsi"/>
        </w:rPr>
      </w:pPr>
      <w:r w:rsidRPr="006D7C62">
        <w:rPr>
          <w:rFonts w:asciiTheme="majorHAnsi" w:hAnsiTheme="majorHAnsi"/>
        </w:rPr>
        <w:t xml:space="preserve">The use of chain-of-custody approaches shall achieve significant changes and an effective transition towards a more circular, more bio-based and lower GHG emissions production in </w:t>
      </w:r>
      <w:r w:rsidRPr="00C55818">
        <w:rPr>
          <w:rFonts w:asciiTheme="majorHAnsi" w:hAnsiTheme="majorHAnsi"/>
        </w:rPr>
        <w:t>complex value chains.</w:t>
      </w:r>
    </w:p>
    <w:p w14:paraId="3732C0B5" w14:textId="77777777" w:rsidR="00C55818" w:rsidRPr="00C55818" w:rsidRDefault="008327D7" w:rsidP="006C1918">
      <w:pPr>
        <w:pStyle w:val="Nummerierung"/>
        <w:numPr>
          <w:ilvl w:val="0"/>
          <w:numId w:val="32"/>
        </w:numPr>
        <w:rPr>
          <w:rFonts w:asciiTheme="majorHAnsi" w:hAnsiTheme="majorHAnsi"/>
        </w:rPr>
      </w:pPr>
      <w:r w:rsidRPr="00C55818">
        <w:rPr>
          <w:rFonts w:asciiTheme="majorHAnsi" w:hAnsiTheme="majorHAnsi"/>
        </w:rPr>
        <w:t xml:space="preserve">The choice and implementation of chain-of-custody approaches and models shall be transparent, clear, and credible – abiding by relevant standards such as ISO and CEN. </w:t>
      </w:r>
      <w:r w:rsidR="00C55818" w:rsidRPr="00C55818">
        <w:rPr>
          <w:rFonts w:asciiTheme="majorHAnsi" w:hAnsiTheme="majorHAnsi"/>
        </w:rPr>
        <w:br/>
      </w:r>
      <w:r w:rsidRPr="00C55818">
        <w:rPr>
          <w:rFonts w:asciiTheme="majorHAnsi" w:hAnsiTheme="majorHAnsi"/>
        </w:rPr>
        <w:t xml:space="preserve">Note: Certification schemes are not yet available in all sectors. </w:t>
      </w:r>
    </w:p>
    <w:p w14:paraId="0CCEB80D" w14:textId="6A28B849" w:rsidR="008327D7" w:rsidRPr="00C55818" w:rsidRDefault="008327D7" w:rsidP="006C1918">
      <w:pPr>
        <w:pStyle w:val="Nummerierung"/>
        <w:numPr>
          <w:ilvl w:val="0"/>
          <w:numId w:val="32"/>
        </w:numPr>
        <w:rPr>
          <w:rFonts w:asciiTheme="majorHAnsi" w:hAnsiTheme="majorHAnsi"/>
        </w:rPr>
      </w:pPr>
      <w:r w:rsidRPr="00C55818">
        <w:rPr>
          <w:rFonts w:asciiTheme="majorHAnsi" w:hAnsiTheme="majorHAnsi"/>
        </w:rPr>
        <w:t>Labels and claims referring to chain-of-custody controlled specified characteristics and used on products shall fulfill the following requirements:</w:t>
      </w:r>
    </w:p>
    <w:p w14:paraId="717780AB" w14:textId="77777777" w:rsidR="008327D7" w:rsidRPr="00C55818" w:rsidRDefault="008327D7" w:rsidP="006C1918">
      <w:pPr>
        <w:pStyle w:val="ListParagraph"/>
        <w:numPr>
          <w:ilvl w:val="1"/>
          <w:numId w:val="33"/>
        </w:numPr>
        <w:ind w:left="1276" w:hanging="425"/>
        <w:rPr>
          <w:rFonts w:asciiTheme="majorHAnsi" w:hAnsiTheme="majorHAnsi"/>
        </w:rPr>
      </w:pPr>
      <w:r w:rsidRPr="00C55818">
        <w:rPr>
          <w:rFonts w:asciiTheme="majorHAnsi" w:hAnsiTheme="majorHAnsi"/>
        </w:rPr>
        <w:t>description of the chain-of-custody approaches and models</w:t>
      </w:r>
    </w:p>
    <w:p w14:paraId="109017EF" w14:textId="77777777" w:rsidR="008327D7" w:rsidRPr="00C55818" w:rsidRDefault="008327D7" w:rsidP="006C1918">
      <w:pPr>
        <w:pStyle w:val="ListParagraph"/>
        <w:numPr>
          <w:ilvl w:val="1"/>
          <w:numId w:val="33"/>
        </w:numPr>
        <w:ind w:left="1276" w:hanging="425"/>
        <w:rPr>
          <w:rFonts w:asciiTheme="majorHAnsi" w:hAnsiTheme="majorHAnsi"/>
        </w:rPr>
      </w:pPr>
      <w:r w:rsidRPr="00C55818">
        <w:rPr>
          <w:rFonts w:asciiTheme="majorHAnsi" w:hAnsiTheme="majorHAnsi"/>
        </w:rPr>
        <w:t>accurate and appropriate implementation of the chain-of-custody model</w:t>
      </w:r>
    </w:p>
    <w:p w14:paraId="02F2F063" w14:textId="77777777" w:rsidR="008327D7" w:rsidRPr="00C55818" w:rsidRDefault="008327D7" w:rsidP="006C1918">
      <w:pPr>
        <w:pStyle w:val="ListParagraph"/>
        <w:numPr>
          <w:ilvl w:val="1"/>
          <w:numId w:val="33"/>
        </w:numPr>
        <w:ind w:left="1276" w:hanging="425"/>
        <w:rPr>
          <w:rFonts w:asciiTheme="majorHAnsi" w:hAnsiTheme="majorHAnsi"/>
        </w:rPr>
      </w:pPr>
      <w:r w:rsidRPr="00C55818">
        <w:rPr>
          <w:rFonts w:asciiTheme="majorHAnsi" w:hAnsiTheme="majorHAnsi"/>
        </w:rPr>
        <w:t>compliant with existing standards and regulations</w:t>
      </w:r>
    </w:p>
    <w:p w14:paraId="280A7037" w14:textId="5BBC91D2" w:rsidR="00C55818" w:rsidRPr="00C55818" w:rsidRDefault="008327D7" w:rsidP="006C1918">
      <w:pPr>
        <w:pStyle w:val="ListParagraph"/>
        <w:numPr>
          <w:ilvl w:val="1"/>
          <w:numId w:val="33"/>
        </w:numPr>
        <w:ind w:left="1276" w:hanging="425"/>
        <w:rPr>
          <w:rFonts w:asciiTheme="majorHAnsi" w:hAnsiTheme="majorHAnsi"/>
        </w:rPr>
      </w:pPr>
      <w:r w:rsidRPr="00C55818">
        <w:rPr>
          <w:rFonts w:asciiTheme="majorHAnsi" w:hAnsiTheme="majorHAnsi"/>
        </w:rPr>
        <w:t>non-misleading</w:t>
      </w:r>
      <w:r w:rsidR="00C55818">
        <w:rPr>
          <w:rFonts w:asciiTheme="majorHAnsi" w:hAnsiTheme="majorHAnsi"/>
        </w:rPr>
        <w:br/>
      </w:r>
    </w:p>
    <w:p w14:paraId="1D2CA7F3" w14:textId="77777777" w:rsidR="00C55818" w:rsidRPr="00C55818" w:rsidRDefault="008327D7" w:rsidP="00C55818">
      <w:pPr>
        <w:pStyle w:val="ListParagraph"/>
        <w:numPr>
          <w:ilvl w:val="0"/>
          <w:numId w:val="0"/>
        </w:numPr>
        <w:spacing w:before="120"/>
        <w:ind w:left="720"/>
        <w:rPr>
          <w:rFonts w:asciiTheme="majorHAnsi" w:hAnsiTheme="majorHAnsi"/>
          <w:lang w:val="en-GB"/>
        </w:rPr>
      </w:pPr>
      <w:r w:rsidRPr="00C55818">
        <w:rPr>
          <w:rFonts w:asciiTheme="majorHAnsi" w:hAnsiTheme="majorHAnsi"/>
          <w:lang w:val="en-GB"/>
        </w:rPr>
        <w:lastRenderedPageBreak/>
        <w:t xml:space="preserve">If the “specified characteristic” content in products cannot be measured and verified, labels and claims shall mention this. For example, this often applies to mass balancing (e.g., chemically recycled content in plastics). </w:t>
      </w:r>
    </w:p>
    <w:p w14:paraId="3BCE4557" w14:textId="5CC56E7D" w:rsidR="008327D7" w:rsidRPr="00C55818" w:rsidRDefault="008327D7" w:rsidP="006C1918">
      <w:pPr>
        <w:pStyle w:val="Nummerierung"/>
        <w:numPr>
          <w:ilvl w:val="0"/>
          <w:numId w:val="32"/>
        </w:numPr>
      </w:pPr>
      <w:r w:rsidRPr="00C55818">
        <w:t>No double counting: A reliable accounting system shall be installed at each operating site to ensure that the claimed volume on the output side exactly matches the actual volume on the input side within the declared time and regional scope.</w:t>
      </w:r>
    </w:p>
    <w:p w14:paraId="7346DFFC" w14:textId="77777777" w:rsidR="008327D7" w:rsidRPr="006D7C62" w:rsidRDefault="008327D7" w:rsidP="008327D7">
      <w:pPr>
        <w:rPr>
          <w:rFonts w:asciiTheme="majorHAnsi" w:hAnsiTheme="majorHAnsi"/>
        </w:rPr>
      </w:pPr>
      <w:r w:rsidRPr="006D7C62">
        <w:rPr>
          <w:rFonts w:asciiTheme="majorHAnsi" w:hAnsiTheme="majorHAnsi"/>
        </w:rPr>
        <w:t>Additional requirements for a mass balance chain of custody approach:</w:t>
      </w:r>
    </w:p>
    <w:p w14:paraId="010BCE65" w14:textId="77777777" w:rsidR="008327D7" w:rsidRPr="006D7C62" w:rsidRDefault="008327D7" w:rsidP="006C1918">
      <w:pPr>
        <w:pStyle w:val="ListParagraph"/>
        <w:numPr>
          <w:ilvl w:val="0"/>
          <w:numId w:val="3"/>
        </w:numPr>
        <w:ind w:left="284" w:hanging="284"/>
        <w:rPr>
          <w:rFonts w:asciiTheme="majorHAnsi" w:hAnsiTheme="majorHAnsi"/>
        </w:rPr>
      </w:pPr>
      <w:r w:rsidRPr="006D7C62">
        <w:rPr>
          <w:rFonts w:asciiTheme="majorHAnsi" w:hAnsiTheme="majorHAnsi"/>
        </w:rPr>
        <w:t>The operating sites in the spatial boundaries for mass balancing are under the operational control of the same company/corporate group/joint venture.</w:t>
      </w:r>
    </w:p>
    <w:p w14:paraId="3CF9B84E" w14:textId="77777777" w:rsidR="008327D7" w:rsidRPr="006D7C62" w:rsidRDefault="008327D7" w:rsidP="006C1918">
      <w:pPr>
        <w:pStyle w:val="ListParagraph"/>
        <w:numPr>
          <w:ilvl w:val="0"/>
          <w:numId w:val="3"/>
        </w:numPr>
        <w:ind w:left="284" w:hanging="284"/>
        <w:rPr>
          <w:rFonts w:asciiTheme="majorHAnsi" w:hAnsiTheme="majorHAnsi"/>
        </w:rPr>
      </w:pPr>
      <w:r w:rsidRPr="006D7C62">
        <w:rPr>
          <w:rFonts w:asciiTheme="majorHAnsi" w:hAnsiTheme="majorHAnsi"/>
        </w:rPr>
        <w:t>It shall be technically possible according to standard industry practice to produce a mass-balanced product from an alternative feedstock. Share of mass-balanced material can be technically lower than the attributed share.</w:t>
      </w:r>
    </w:p>
    <w:p w14:paraId="53206A58" w14:textId="77777777" w:rsidR="008327D7" w:rsidRPr="006D7C62" w:rsidRDefault="008327D7" w:rsidP="006C1918">
      <w:pPr>
        <w:pStyle w:val="ListParagraph"/>
        <w:numPr>
          <w:ilvl w:val="0"/>
          <w:numId w:val="3"/>
        </w:numPr>
        <w:ind w:left="284" w:hanging="284"/>
        <w:rPr>
          <w:rFonts w:asciiTheme="majorHAnsi" w:hAnsiTheme="majorHAnsi"/>
        </w:rPr>
      </w:pPr>
      <w:r w:rsidRPr="006D7C62">
        <w:rPr>
          <w:rFonts w:asciiTheme="majorHAnsi" w:hAnsiTheme="majorHAnsi"/>
        </w:rPr>
        <w:t>Applied emissions factors for the mass-balance system boundaries shall be product and process specific.</w:t>
      </w:r>
    </w:p>
    <w:p w14:paraId="4CF4B5B0" w14:textId="77777777" w:rsidR="008327D7" w:rsidRPr="008327D7" w:rsidRDefault="008327D7" w:rsidP="008327D7"/>
    <w:p w14:paraId="15A81FF1" w14:textId="544E15E5" w:rsidR="00A37462" w:rsidRDefault="00A37462">
      <w:pPr>
        <w:pStyle w:val="Heading3"/>
      </w:pPr>
      <w:bookmarkStart w:id="67" w:name="_Ref173500427"/>
      <w:bookmarkStart w:id="68" w:name="_Ref173500440"/>
      <w:bookmarkStart w:id="69" w:name="_Toc178672677"/>
      <w:r>
        <w:t>Carbon offsets</w:t>
      </w:r>
      <w:bookmarkEnd w:id="67"/>
      <w:bookmarkEnd w:id="68"/>
      <w:bookmarkEnd w:id="69"/>
    </w:p>
    <w:p w14:paraId="11DF0710" w14:textId="50DED559" w:rsidR="00A37462" w:rsidRPr="006D7C62" w:rsidRDefault="00A37462" w:rsidP="00A37462">
      <w:pPr>
        <w:rPr>
          <w:rFonts w:asciiTheme="majorHAnsi" w:hAnsiTheme="majorHAnsi"/>
        </w:rPr>
      </w:pPr>
      <w:r w:rsidRPr="006D7C62">
        <w:rPr>
          <w:rFonts w:asciiTheme="majorHAnsi" w:hAnsiTheme="majorHAnsi"/>
        </w:rPr>
        <w:t>Any GHG offsets (such as defined in the glossary) shall be excluded from the reported PCF.</w:t>
      </w:r>
    </w:p>
    <w:p w14:paraId="341EA21E" w14:textId="6ECBA798" w:rsidR="00A37462" w:rsidRPr="006D7C62" w:rsidRDefault="00A37462" w:rsidP="55D15248">
      <w:pPr>
        <w:rPr>
          <w:rFonts w:asciiTheme="majorHAnsi" w:hAnsiTheme="majorHAnsi"/>
        </w:rPr>
      </w:pPr>
      <w:r w:rsidRPr="55D15248">
        <w:rPr>
          <w:rFonts w:asciiTheme="majorHAnsi" w:hAnsiTheme="majorHAnsi"/>
        </w:rPr>
        <w:t xml:space="preserve">If applicable, offsets </w:t>
      </w:r>
      <w:r w:rsidR="00A7554F" w:rsidRPr="55D15248">
        <w:rPr>
          <w:rFonts w:asciiTheme="majorHAnsi" w:hAnsiTheme="majorHAnsi"/>
        </w:rPr>
        <w:t xml:space="preserve">shall be reported </w:t>
      </w:r>
      <w:r w:rsidRPr="55D15248">
        <w:rPr>
          <w:rFonts w:asciiTheme="majorHAnsi" w:hAnsiTheme="majorHAnsi"/>
        </w:rPr>
        <w:t>separately from the PCF. This includes both offsets with and without certificates. If carbon offsets have been purchased, they shall transparently mention the origin of reported carbon offsets and refer to the original certificate.</w:t>
      </w:r>
    </w:p>
    <w:p w14:paraId="163E204F" w14:textId="4B78CBC5" w:rsidR="00A37462" w:rsidRPr="006D7C62" w:rsidRDefault="00A37462" w:rsidP="00A37462">
      <w:pPr>
        <w:rPr>
          <w:rFonts w:asciiTheme="majorHAnsi" w:hAnsiTheme="majorHAnsi"/>
        </w:rPr>
      </w:pPr>
      <w:r w:rsidRPr="006D7C62">
        <w:rPr>
          <w:rFonts w:asciiTheme="majorHAnsi" w:hAnsiTheme="majorHAnsi"/>
        </w:rPr>
        <w:t xml:space="preserve">For rules on taking a renewable electricity certificate into account, refer to Section </w:t>
      </w:r>
      <w:r w:rsidR="00D1116F">
        <w:rPr>
          <w:rFonts w:asciiTheme="majorHAnsi" w:hAnsiTheme="majorHAnsi"/>
        </w:rPr>
        <w:fldChar w:fldCharType="begin"/>
      </w:r>
      <w:r w:rsidR="00D1116F">
        <w:rPr>
          <w:rFonts w:asciiTheme="majorHAnsi" w:hAnsiTheme="majorHAnsi"/>
        </w:rPr>
        <w:instrText xml:space="preserve"> REF _Ref177112020 \r \h </w:instrText>
      </w:r>
      <w:r w:rsidR="00D1116F">
        <w:rPr>
          <w:rFonts w:asciiTheme="majorHAnsi" w:hAnsiTheme="majorHAnsi"/>
        </w:rPr>
      </w:r>
      <w:r w:rsidR="00D1116F">
        <w:rPr>
          <w:rFonts w:asciiTheme="majorHAnsi" w:hAnsiTheme="majorHAnsi"/>
        </w:rPr>
        <w:fldChar w:fldCharType="separate"/>
      </w:r>
      <w:r w:rsidR="00D1116F">
        <w:rPr>
          <w:rFonts w:asciiTheme="majorHAnsi" w:hAnsiTheme="majorHAnsi"/>
        </w:rPr>
        <w:t>2.2.8</w:t>
      </w:r>
      <w:r w:rsidR="00D1116F">
        <w:rPr>
          <w:rFonts w:asciiTheme="majorHAnsi" w:hAnsiTheme="majorHAnsi"/>
        </w:rPr>
        <w:fldChar w:fldCharType="end"/>
      </w:r>
      <w:r w:rsidR="00D1116F">
        <w:rPr>
          <w:rFonts w:asciiTheme="majorHAnsi" w:hAnsiTheme="majorHAnsi"/>
        </w:rPr>
        <w:t>.</w:t>
      </w:r>
    </w:p>
    <w:p w14:paraId="0B81E947" w14:textId="7C50FC91" w:rsidR="00A37462" w:rsidRPr="00A37462" w:rsidRDefault="00A37462" w:rsidP="00A37462">
      <w:pPr>
        <w:rPr>
          <w:rFonts w:asciiTheme="majorHAnsi" w:hAnsiTheme="majorHAnsi"/>
        </w:rPr>
      </w:pPr>
      <w:r w:rsidRPr="006D7C62">
        <w:rPr>
          <w:rFonts w:asciiTheme="majorHAnsi" w:hAnsiTheme="majorHAnsi"/>
        </w:rPr>
        <w:t xml:space="preserve">Any carbon-neutrality claims based on carbon offsetting for </w:t>
      </w:r>
      <w:r w:rsidR="00C55818">
        <w:rPr>
          <w:rFonts w:asciiTheme="majorHAnsi" w:hAnsiTheme="majorHAnsi"/>
        </w:rPr>
        <w:t>automotive products</w:t>
      </w:r>
      <w:r w:rsidRPr="006D7C62">
        <w:rPr>
          <w:rFonts w:asciiTheme="majorHAnsi" w:hAnsiTheme="majorHAnsi"/>
        </w:rPr>
        <w:t xml:space="preserve"> are out of the scope of th</w:t>
      </w:r>
      <w:r w:rsidR="00A7554F">
        <w:rPr>
          <w:rFonts w:asciiTheme="majorHAnsi" w:hAnsiTheme="majorHAnsi"/>
        </w:rPr>
        <w:t>e here described methodology</w:t>
      </w:r>
      <w:r w:rsidRPr="006D7C62">
        <w:rPr>
          <w:rFonts w:asciiTheme="majorHAnsi" w:hAnsiTheme="majorHAnsi"/>
        </w:rPr>
        <w:t>.</w:t>
      </w:r>
    </w:p>
    <w:p w14:paraId="2F6589E2" w14:textId="3E9655E5" w:rsidR="00E85A78" w:rsidRDefault="00E85A78">
      <w:pPr>
        <w:pStyle w:val="Heading2"/>
      </w:pPr>
      <w:bookmarkStart w:id="70" w:name="_Toc178672678"/>
      <w:r>
        <w:t>Definitions</w:t>
      </w:r>
      <w:bookmarkEnd w:id="70"/>
    </w:p>
    <w:tbl>
      <w:tblPr>
        <w:tblStyle w:val="Cantena-X"/>
        <w:tblW w:w="5000" w:type="pct"/>
        <w:tblLook w:val="0420" w:firstRow="1" w:lastRow="0" w:firstColumn="0" w:lastColumn="0" w:noHBand="0" w:noVBand="1"/>
      </w:tblPr>
      <w:tblGrid>
        <w:gridCol w:w="2530"/>
        <w:gridCol w:w="4697"/>
        <w:gridCol w:w="1845"/>
      </w:tblGrid>
      <w:tr w:rsidR="0034409B" w:rsidRPr="006D7C62" w14:paraId="1E88EB29" w14:textId="77777777" w:rsidTr="00C947DF">
        <w:trPr>
          <w:cnfStyle w:val="100000000000" w:firstRow="1" w:lastRow="0" w:firstColumn="0" w:lastColumn="0" w:oddVBand="0" w:evenVBand="0" w:oddHBand="0" w:evenHBand="0" w:firstRowFirstColumn="0" w:firstRowLastColumn="0" w:lastRowFirstColumn="0" w:lastRowLastColumn="0"/>
          <w:tblHeader/>
        </w:trPr>
        <w:tc>
          <w:tcPr>
            <w:tcW w:w="1394" w:type="pct"/>
            <w:shd w:val="clear" w:color="auto" w:fill="046B99" w:themeFill="accent5"/>
            <w:hideMark/>
          </w:tcPr>
          <w:p w14:paraId="0A276751" w14:textId="77777777" w:rsidR="0034409B" w:rsidRPr="005600AE" w:rsidRDefault="0034409B" w:rsidP="00661597">
            <w:pPr>
              <w:pStyle w:val="TableText"/>
              <w:rPr>
                <w:color w:val="FFFFFF" w:themeColor="background1"/>
              </w:rPr>
            </w:pPr>
            <w:r w:rsidRPr="005600AE">
              <w:rPr>
                <w:color w:val="FFFFFF" w:themeColor="background1"/>
              </w:rPr>
              <w:t>Term</w:t>
            </w:r>
          </w:p>
        </w:tc>
        <w:tc>
          <w:tcPr>
            <w:tcW w:w="2589" w:type="pct"/>
            <w:shd w:val="clear" w:color="auto" w:fill="046B99" w:themeFill="accent5"/>
            <w:hideMark/>
          </w:tcPr>
          <w:p w14:paraId="24B34C3E" w14:textId="77777777" w:rsidR="0034409B" w:rsidRPr="005600AE" w:rsidRDefault="0034409B" w:rsidP="00661597">
            <w:pPr>
              <w:pStyle w:val="TableText"/>
              <w:rPr>
                <w:color w:val="FFFFFF" w:themeColor="background1"/>
              </w:rPr>
            </w:pPr>
            <w:r w:rsidRPr="005600AE">
              <w:rPr>
                <w:color w:val="FFFFFF" w:themeColor="background1"/>
              </w:rPr>
              <w:t>Definition</w:t>
            </w:r>
          </w:p>
        </w:tc>
        <w:tc>
          <w:tcPr>
            <w:tcW w:w="1017" w:type="pct"/>
            <w:shd w:val="clear" w:color="auto" w:fill="046B99" w:themeFill="accent5"/>
            <w:hideMark/>
          </w:tcPr>
          <w:p w14:paraId="0D80BABF" w14:textId="77777777" w:rsidR="0034409B" w:rsidRPr="005600AE" w:rsidRDefault="0034409B" w:rsidP="00661597">
            <w:pPr>
              <w:pStyle w:val="TableText"/>
              <w:rPr>
                <w:color w:val="FFFFFF" w:themeColor="background1"/>
              </w:rPr>
            </w:pPr>
            <w:r w:rsidRPr="005600AE">
              <w:rPr>
                <w:color w:val="FFFFFF" w:themeColor="background1"/>
              </w:rPr>
              <w:t>Source</w:t>
            </w:r>
          </w:p>
        </w:tc>
      </w:tr>
      <w:tr w:rsidR="0034409B" w:rsidRPr="006D7C62" w14:paraId="1112BD1F"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05B23919" w14:textId="77777777" w:rsidR="0034409B" w:rsidRPr="006D7C62" w:rsidRDefault="0034409B" w:rsidP="00661597">
            <w:pPr>
              <w:pStyle w:val="TableText"/>
              <w:rPr>
                <w:rStyle w:val="Strong"/>
                <w:rFonts w:asciiTheme="majorHAnsi" w:hAnsiTheme="majorHAnsi"/>
              </w:rPr>
            </w:pPr>
            <w:r w:rsidRPr="006D7C62">
              <w:rPr>
                <w:rStyle w:val="Strong"/>
                <w:rFonts w:asciiTheme="majorHAnsi" w:hAnsiTheme="majorHAnsi"/>
              </w:rPr>
              <w:t>Allocation</w:t>
            </w:r>
          </w:p>
        </w:tc>
        <w:tc>
          <w:tcPr>
            <w:tcW w:w="2589" w:type="pct"/>
            <w:hideMark/>
          </w:tcPr>
          <w:p w14:paraId="21452636" w14:textId="0E6761D1" w:rsidR="0034409B" w:rsidRPr="006D7C62" w:rsidRDefault="001D36AC" w:rsidP="00661597">
            <w:pPr>
              <w:pStyle w:val="TableText"/>
            </w:pPr>
            <w:r w:rsidRPr="001D36AC">
              <w:t>Partitioning the input or output flows of a process or a product system between the product system under study and one or more other product systems</w:t>
            </w:r>
          </w:p>
        </w:tc>
        <w:tc>
          <w:tcPr>
            <w:tcW w:w="1017" w:type="pct"/>
            <w:hideMark/>
          </w:tcPr>
          <w:p w14:paraId="74D7ACF2" w14:textId="32EB9B1E" w:rsidR="0034409B" w:rsidRPr="006D7C62" w:rsidRDefault="001D36AC" w:rsidP="00661597">
            <w:pPr>
              <w:pStyle w:val="TableText"/>
              <w:rPr>
                <w:lang w:val="de-DE"/>
              </w:rPr>
            </w:pPr>
            <w:r w:rsidRPr="001D36AC">
              <w:rPr>
                <w:lang w:val="de-DE"/>
              </w:rPr>
              <w:t>DIN EN ISO 14040, Feb. 2021</w:t>
            </w:r>
          </w:p>
        </w:tc>
      </w:tr>
      <w:tr w:rsidR="0034409B" w:rsidRPr="006D7C62" w14:paraId="78D9E2A1"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16EE15D2" w14:textId="77777777" w:rsidR="0034409B" w:rsidRPr="006D7C62" w:rsidRDefault="0034409B" w:rsidP="00661597">
            <w:pPr>
              <w:pStyle w:val="TableText"/>
              <w:rPr>
                <w:rStyle w:val="Strong"/>
                <w:rFonts w:asciiTheme="majorHAnsi" w:hAnsiTheme="majorHAnsi"/>
              </w:rPr>
            </w:pPr>
            <w:r w:rsidRPr="006D7C62">
              <w:rPr>
                <w:rStyle w:val="Strong"/>
                <w:rFonts w:asciiTheme="majorHAnsi" w:hAnsiTheme="majorHAnsi"/>
              </w:rPr>
              <w:t>Attributable process</w:t>
            </w:r>
          </w:p>
        </w:tc>
        <w:tc>
          <w:tcPr>
            <w:tcW w:w="2589" w:type="pct"/>
            <w:hideMark/>
          </w:tcPr>
          <w:p w14:paraId="46C7DEAC" w14:textId="51CFE9D2" w:rsidR="0034409B" w:rsidRPr="006D7C62" w:rsidRDefault="001D36AC" w:rsidP="00661597">
            <w:pPr>
              <w:pStyle w:val="TableText"/>
            </w:pPr>
            <w:r w:rsidRPr="001D36AC">
              <w:t>Those processes that consist of all service, material and energy flows that become, make and carry a product throughout its life cycle.</w:t>
            </w:r>
          </w:p>
        </w:tc>
        <w:tc>
          <w:tcPr>
            <w:tcW w:w="1017" w:type="pct"/>
            <w:hideMark/>
          </w:tcPr>
          <w:p w14:paraId="7CB64DF6" w14:textId="77777777" w:rsidR="0034409B" w:rsidRPr="006D7C62" w:rsidRDefault="0034409B" w:rsidP="00661597">
            <w:pPr>
              <w:pStyle w:val="TableText"/>
            </w:pPr>
            <w:r w:rsidRPr="006D7C62">
              <w:t>WBCSD Pathfinder</w:t>
            </w:r>
          </w:p>
        </w:tc>
      </w:tr>
      <w:tr w:rsidR="001D36AC" w:rsidRPr="006D7C62" w14:paraId="457CADBB"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F993653" w14:textId="66BA4F7A" w:rsidR="001D36AC" w:rsidRPr="006D7C62" w:rsidRDefault="001D36AC" w:rsidP="00661597">
            <w:pPr>
              <w:pStyle w:val="TableText"/>
              <w:rPr>
                <w:rStyle w:val="Strong"/>
                <w:rFonts w:asciiTheme="majorHAnsi" w:hAnsiTheme="majorHAnsi"/>
              </w:rPr>
            </w:pPr>
            <w:r w:rsidRPr="001D36AC">
              <w:rPr>
                <w:rStyle w:val="Strong"/>
                <w:rFonts w:asciiTheme="majorHAnsi" w:hAnsiTheme="majorHAnsi"/>
              </w:rPr>
              <w:t>Attributionable</w:t>
            </w:r>
          </w:p>
        </w:tc>
        <w:tc>
          <w:tcPr>
            <w:tcW w:w="2589" w:type="pct"/>
          </w:tcPr>
          <w:p w14:paraId="53C5D482" w14:textId="14AF266C" w:rsidR="001D36AC" w:rsidRPr="006D7C62" w:rsidRDefault="001D36AC" w:rsidP="00661597">
            <w:pPr>
              <w:pStyle w:val="TableText"/>
            </w:pPr>
            <w:r>
              <w:t>P</w:t>
            </w:r>
            <w:r w:rsidRPr="001D36AC">
              <w:t>rocess-based modelling intended to provide a static representation of average conditions, excluding market-mediated effects.</w:t>
            </w:r>
          </w:p>
        </w:tc>
        <w:tc>
          <w:tcPr>
            <w:tcW w:w="1017" w:type="pct"/>
          </w:tcPr>
          <w:p w14:paraId="67766E91" w14:textId="504BD4AA" w:rsidR="001D36AC" w:rsidRPr="006D7C62" w:rsidRDefault="001D36AC" w:rsidP="00661597">
            <w:pPr>
              <w:pStyle w:val="TableText"/>
              <w:rPr>
                <w:lang w:val="fr-FR"/>
              </w:rPr>
            </w:pPr>
            <w:r w:rsidRPr="001D36AC">
              <w:rPr>
                <w:lang w:val="fr-FR"/>
              </w:rPr>
              <w:t>PEF guidelines (EC-JRC, 2021)</w:t>
            </w:r>
          </w:p>
        </w:tc>
      </w:tr>
      <w:tr w:rsidR="001D36AC" w:rsidRPr="006D7C62" w14:paraId="679CD99E"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CCFCD1C" w14:textId="7B09ECB1" w:rsidR="001D36AC" w:rsidRPr="006D7C62" w:rsidRDefault="001D36AC" w:rsidP="00661597">
            <w:pPr>
              <w:pStyle w:val="TableText"/>
              <w:rPr>
                <w:rStyle w:val="Strong"/>
                <w:rFonts w:asciiTheme="majorHAnsi" w:hAnsiTheme="majorHAnsi"/>
              </w:rPr>
            </w:pPr>
            <w:r w:rsidRPr="001D36AC">
              <w:rPr>
                <w:rStyle w:val="Strong"/>
                <w:rFonts w:asciiTheme="majorHAnsi" w:hAnsiTheme="majorHAnsi"/>
              </w:rPr>
              <w:t>Average data</w:t>
            </w:r>
          </w:p>
        </w:tc>
        <w:tc>
          <w:tcPr>
            <w:tcW w:w="2589" w:type="pct"/>
          </w:tcPr>
          <w:p w14:paraId="0AFC877D" w14:textId="46CB52D7" w:rsidR="001D36AC" w:rsidRPr="006D7C62" w:rsidRDefault="001D36AC" w:rsidP="00661597">
            <w:pPr>
              <w:pStyle w:val="TableText"/>
            </w:pPr>
            <w:r>
              <w:t>P</w:t>
            </w:r>
            <w:r w:rsidRPr="001D36AC">
              <w:t>roduction-weighted average of specific data</w:t>
            </w:r>
          </w:p>
        </w:tc>
        <w:tc>
          <w:tcPr>
            <w:tcW w:w="1017" w:type="pct"/>
          </w:tcPr>
          <w:p w14:paraId="14E6717F" w14:textId="3E86CD01" w:rsidR="001D36AC" w:rsidRPr="001D36AC" w:rsidRDefault="001D36AC" w:rsidP="00661597">
            <w:pPr>
              <w:pStyle w:val="TableText"/>
            </w:pPr>
            <w:r w:rsidRPr="001D36AC">
              <w:t>PEF guidelines (EC-JRC, 2021)</w:t>
            </w:r>
          </w:p>
        </w:tc>
      </w:tr>
      <w:tr w:rsidR="001D36AC" w:rsidRPr="006D7C62" w14:paraId="6DA6685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050EB195" w14:textId="0B731014" w:rsidR="001D36AC" w:rsidRPr="006D7C62" w:rsidRDefault="001D36AC" w:rsidP="00661597">
            <w:pPr>
              <w:pStyle w:val="TableText"/>
              <w:rPr>
                <w:rStyle w:val="Strong"/>
                <w:rFonts w:asciiTheme="majorHAnsi" w:hAnsiTheme="majorHAnsi"/>
              </w:rPr>
            </w:pPr>
            <w:r w:rsidRPr="001D36AC">
              <w:rPr>
                <w:rStyle w:val="Strong"/>
                <w:rFonts w:asciiTheme="majorHAnsi" w:hAnsiTheme="majorHAnsi"/>
              </w:rPr>
              <w:t>Bill of Materials</w:t>
            </w:r>
          </w:p>
        </w:tc>
        <w:tc>
          <w:tcPr>
            <w:tcW w:w="2589" w:type="pct"/>
          </w:tcPr>
          <w:p w14:paraId="1FBF6744" w14:textId="5070FD81" w:rsidR="001D36AC" w:rsidRPr="006D7C62" w:rsidRDefault="001D36AC" w:rsidP="00661597">
            <w:pPr>
              <w:pStyle w:val="TableText"/>
            </w:pPr>
            <w:r>
              <w:t>A</w:t>
            </w:r>
            <w:r w:rsidRPr="001D36AC">
              <w:t xml:space="preserve"> bill of materials or product structure (sometimes bill of material, BOM or associated list) is a list of raw materials, sub-assemblies, intermediate assemblies, sub-components, parts and the quantities of each needed to manufacture the product in</w:t>
            </w:r>
            <w:r>
              <w:t xml:space="preserve"> </w:t>
            </w:r>
            <w:r w:rsidRPr="001D36AC">
              <w:t>the scope. In some sectors it is equivalent to the bill of components.</w:t>
            </w:r>
          </w:p>
        </w:tc>
        <w:tc>
          <w:tcPr>
            <w:tcW w:w="1017" w:type="pct"/>
          </w:tcPr>
          <w:p w14:paraId="0CE94FC8" w14:textId="291484B7" w:rsidR="001D36AC" w:rsidRPr="006D7C62" w:rsidRDefault="001D36AC" w:rsidP="00661597">
            <w:pPr>
              <w:pStyle w:val="TableText"/>
              <w:rPr>
                <w:lang w:val="fr-FR"/>
              </w:rPr>
            </w:pPr>
            <w:r>
              <w:rPr>
                <w:lang w:val="fr-FR"/>
              </w:rPr>
              <w:t xml:space="preserve">Adapted from </w:t>
            </w:r>
            <w:r w:rsidRPr="001D36AC">
              <w:rPr>
                <w:lang w:val="fr-FR"/>
              </w:rPr>
              <w:t>PEF guidelines (EC-JRC, 2021)</w:t>
            </w:r>
          </w:p>
        </w:tc>
      </w:tr>
      <w:tr w:rsidR="0034409B" w:rsidRPr="006D7C62" w14:paraId="2D73364F"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59D83BE3" w14:textId="77777777" w:rsidR="0034409B" w:rsidRPr="006D7C62" w:rsidRDefault="0034409B" w:rsidP="00661597">
            <w:pPr>
              <w:pStyle w:val="TableText"/>
              <w:rPr>
                <w:rStyle w:val="Strong"/>
                <w:rFonts w:asciiTheme="majorHAnsi" w:hAnsiTheme="majorHAnsi"/>
              </w:rPr>
            </w:pPr>
            <w:r w:rsidRPr="006D7C62">
              <w:rPr>
                <w:rStyle w:val="Strong"/>
                <w:rFonts w:asciiTheme="majorHAnsi" w:hAnsiTheme="majorHAnsi"/>
              </w:rPr>
              <w:t>Biogenic carbon</w:t>
            </w:r>
          </w:p>
        </w:tc>
        <w:tc>
          <w:tcPr>
            <w:tcW w:w="2589" w:type="pct"/>
          </w:tcPr>
          <w:p w14:paraId="577E67FA" w14:textId="77777777" w:rsidR="0034409B" w:rsidRPr="006D7C62" w:rsidRDefault="0034409B" w:rsidP="00661597">
            <w:pPr>
              <w:pStyle w:val="TableText"/>
            </w:pPr>
            <w:r w:rsidRPr="006D7C62">
              <w:t>Carbon derived from biomass</w:t>
            </w:r>
          </w:p>
        </w:tc>
        <w:tc>
          <w:tcPr>
            <w:tcW w:w="1017" w:type="pct"/>
          </w:tcPr>
          <w:p w14:paraId="542F1631" w14:textId="6052670D" w:rsidR="0034409B" w:rsidRPr="006D7C62" w:rsidRDefault="001D36AC" w:rsidP="00661597">
            <w:pPr>
              <w:pStyle w:val="TableText"/>
              <w:rPr>
                <w:lang w:val="fr-FR"/>
              </w:rPr>
            </w:pPr>
            <w:r w:rsidRPr="001D36AC">
              <w:rPr>
                <w:lang w:val="fr-FR"/>
              </w:rPr>
              <w:t>DIN EN ISO 14067, Feb. 2019</w:t>
            </w:r>
          </w:p>
        </w:tc>
      </w:tr>
      <w:tr w:rsidR="001D36AC" w:rsidRPr="006D7C62" w14:paraId="2EF6EF7F"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4818856F" w14:textId="1D174647" w:rsidR="001D36AC" w:rsidRPr="006D7C62" w:rsidRDefault="001D36AC" w:rsidP="00661597">
            <w:pPr>
              <w:pStyle w:val="TableText"/>
              <w:rPr>
                <w:rStyle w:val="Strong"/>
                <w:rFonts w:asciiTheme="majorHAnsi" w:hAnsiTheme="majorHAnsi"/>
              </w:rPr>
            </w:pPr>
            <w:r w:rsidRPr="001D36AC">
              <w:rPr>
                <w:rStyle w:val="Strong"/>
                <w:rFonts w:asciiTheme="majorHAnsi" w:hAnsiTheme="majorHAnsi"/>
              </w:rPr>
              <w:t>Biomass</w:t>
            </w:r>
          </w:p>
        </w:tc>
        <w:tc>
          <w:tcPr>
            <w:tcW w:w="2589" w:type="pct"/>
          </w:tcPr>
          <w:p w14:paraId="308B1E64" w14:textId="195674B3" w:rsidR="001D36AC" w:rsidRDefault="001D36AC" w:rsidP="001D36AC">
            <w:pPr>
              <w:pStyle w:val="TableText"/>
            </w:pPr>
            <w:r>
              <w:t>Material of biological origin, excluding material embedded in geological formations and material</w:t>
            </w:r>
          </w:p>
          <w:p w14:paraId="6FC3C5F8" w14:textId="6419BA11" w:rsidR="001D36AC" w:rsidRPr="006D7C62" w:rsidRDefault="001D36AC" w:rsidP="001D36AC">
            <w:pPr>
              <w:pStyle w:val="TableText"/>
            </w:pPr>
            <w:r>
              <w:t xml:space="preserve">transformed to fossilized material. Biomass includes organic material (both living and dead), e.g. trees, crops, grasses, tree litter, algae, animals, manure </w:t>
            </w:r>
            <w:r>
              <w:lastRenderedPageBreak/>
              <w:t>and waste of biological origin. Biomass excludes peat.</w:t>
            </w:r>
          </w:p>
        </w:tc>
        <w:tc>
          <w:tcPr>
            <w:tcW w:w="1017" w:type="pct"/>
          </w:tcPr>
          <w:p w14:paraId="448EA258" w14:textId="6B4B541E" w:rsidR="001D36AC" w:rsidRPr="006D7C62" w:rsidRDefault="001D36AC" w:rsidP="00661597">
            <w:pPr>
              <w:pStyle w:val="TableText"/>
              <w:rPr>
                <w:lang w:val="de-DE"/>
              </w:rPr>
            </w:pPr>
            <w:r w:rsidRPr="001D36AC">
              <w:rPr>
                <w:lang w:val="de-DE"/>
              </w:rPr>
              <w:lastRenderedPageBreak/>
              <w:t xml:space="preserve">ISO 14 067 / </w:t>
            </w:r>
            <w:r>
              <w:rPr>
                <w:lang w:val="de-DE"/>
              </w:rPr>
              <w:br/>
            </w:r>
            <w:r w:rsidRPr="001D36AC">
              <w:rPr>
                <w:lang w:val="de-DE"/>
              </w:rPr>
              <w:t>ISO 14021</w:t>
            </w:r>
          </w:p>
        </w:tc>
      </w:tr>
      <w:tr w:rsidR="001D36AC" w:rsidRPr="006D7C62" w14:paraId="07F40F6F"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7F74CBE" w14:textId="17BED30A" w:rsidR="001D36AC" w:rsidRPr="006D7C62" w:rsidRDefault="001D36AC" w:rsidP="001D36AC">
            <w:pPr>
              <w:pStyle w:val="TableText"/>
              <w:rPr>
                <w:rStyle w:val="Strong"/>
                <w:rFonts w:asciiTheme="majorHAnsi" w:hAnsiTheme="majorHAnsi"/>
              </w:rPr>
            </w:pPr>
            <w:r>
              <w:rPr>
                <w:rFonts w:ascii="Calibri" w:hAnsi="Calibri" w:cs="Calibri"/>
                <w:color w:val="595959"/>
              </w:rPr>
              <w:t>Carbon offsetting</w:t>
            </w:r>
          </w:p>
        </w:tc>
        <w:tc>
          <w:tcPr>
            <w:tcW w:w="2589" w:type="pct"/>
          </w:tcPr>
          <w:p w14:paraId="2547D8E9" w14:textId="7F158DF4" w:rsidR="001D36AC" w:rsidRPr="006D7C62" w:rsidRDefault="001D36AC" w:rsidP="001D36AC">
            <w:pPr>
              <w:pStyle w:val="TableText"/>
              <w:rPr>
                <w:strike/>
              </w:rPr>
            </w:pPr>
            <w:r>
              <w:rPr>
                <w:rFonts w:ascii="Calibri" w:hAnsi="Calibri" w:cs="Calibri"/>
                <w:color w:val="595959"/>
              </w:rPr>
              <w:t>Mechanism for compensating for a full PCF or a partial PCF through the prevention of the release of, reduc</w:t>
            </w:r>
            <w:r>
              <w:rPr>
                <w:rFonts w:ascii="Calibri" w:hAnsi="Calibri" w:cs="Calibri"/>
                <w:color w:val="595959"/>
              </w:rPr>
              <w:softHyphen/>
              <w:t>tion in, or removal of an amount of GHG emissions in a process outside the product system under study</w:t>
            </w:r>
          </w:p>
        </w:tc>
        <w:tc>
          <w:tcPr>
            <w:tcW w:w="1017" w:type="pct"/>
          </w:tcPr>
          <w:p w14:paraId="50592BD9" w14:textId="38547AAB" w:rsidR="001D36AC" w:rsidRPr="006D7C62" w:rsidRDefault="001D36AC" w:rsidP="001D36AC">
            <w:pPr>
              <w:pStyle w:val="TableText"/>
              <w:rPr>
                <w:lang w:val="de-DE"/>
              </w:rPr>
            </w:pPr>
            <w:r>
              <w:rPr>
                <w:rFonts w:ascii="Calibri" w:hAnsi="Calibri" w:cs="Calibri"/>
                <w:color w:val="595959"/>
              </w:rPr>
              <w:t>DIN EN ISO 14067, Feb. 2019</w:t>
            </w:r>
          </w:p>
        </w:tc>
      </w:tr>
      <w:tr w:rsidR="001D36AC" w:rsidRPr="006D7C62" w14:paraId="59959780"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2C425EC2" w14:textId="4E17543C" w:rsidR="001D36AC" w:rsidRDefault="001D36AC" w:rsidP="001D36AC">
            <w:pPr>
              <w:pStyle w:val="TableText"/>
              <w:rPr>
                <w:rFonts w:ascii="Calibri" w:hAnsi="Calibri" w:cs="Calibri"/>
                <w:color w:val="595959"/>
              </w:rPr>
            </w:pPr>
            <w:r w:rsidRPr="006D7C62">
              <w:rPr>
                <w:rStyle w:val="Strong"/>
                <w:rFonts w:asciiTheme="majorHAnsi" w:hAnsiTheme="majorHAnsi"/>
              </w:rPr>
              <w:t>Characteri</w:t>
            </w:r>
            <w:r>
              <w:rPr>
                <w:rStyle w:val="Strong"/>
                <w:rFonts w:asciiTheme="majorHAnsi" w:hAnsiTheme="majorHAnsi"/>
              </w:rPr>
              <w:t>z</w:t>
            </w:r>
            <w:r w:rsidRPr="006D7C62">
              <w:rPr>
                <w:rStyle w:val="Strong"/>
                <w:rFonts w:asciiTheme="majorHAnsi" w:hAnsiTheme="majorHAnsi"/>
              </w:rPr>
              <w:t>ation factor</w:t>
            </w:r>
          </w:p>
        </w:tc>
        <w:tc>
          <w:tcPr>
            <w:tcW w:w="2589" w:type="pct"/>
          </w:tcPr>
          <w:p w14:paraId="0939F2C6" w14:textId="7007690C" w:rsidR="001D36AC" w:rsidRDefault="001D36AC" w:rsidP="001D36AC">
            <w:pPr>
              <w:pStyle w:val="TableText"/>
              <w:rPr>
                <w:rFonts w:ascii="Calibri" w:hAnsi="Calibri" w:cs="Calibri"/>
                <w:color w:val="595959"/>
              </w:rPr>
            </w:pPr>
            <w:r>
              <w:rPr>
                <w:rStyle w:val="ui-provider"/>
              </w:rPr>
              <w:t xml:space="preserve">Factor derived from a characterization model, which is applied to convert an assigned </w:t>
            </w:r>
            <w:hyperlink r:id="rId29" w:anchor=":term:3.4.26" w:tgtFrame="_blank" w:tooltip="https://www.iso.org/obp/ui#:term:3.4.26" w:history="1">
              <w:r>
                <w:rPr>
                  <w:rStyle w:val="Hyperlink"/>
                </w:rPr>
                <w:t>life cycle inventory analysis (3.4.26)</w:t>
              </w:r>
            </w:hyperlink>
            <w:r>
              <w:rPr>
                <w:rStyle w:val="ui-provider"/>
              </w:rPr>
              <w:t xml:space="preserve"> result to the common unit of the category </w:t>
            </w:r>
            <w:hyperlink r:id="rId30" w:anchor=":term:3.10.8" w:tgtFrame="_blank" w:tooltip="https://www.iso.org/obp/ui#:term:3.10.8" w:history="1">
              <w:r>
                <w:rPr>
                  <w:rStyle w:val="Hyperlink"/>
                </w:rPr>
                <w:t>indicator (3.10.8)</w:t>
              </w:r>
            </w:hyperlink>
            <w:r>
              <w:rPr>
                <w:rStyle w:val="ui-provider"/>
              </w:rPr>
              <w:t xml:space="preserve"> </w:t>
            </w:r>
          </w:p>
        </w:tc>
        <w:tc>
          <w:tcPr>
            <w:tcW w:w="1017" w:type="pct"/>
          </w:tcPr>
          <w:p w14:paraId="0F23558C" w14:textId="6755D6BC" w:rsidR="001D36AC" w:rsidRDefault="001D36AC" w:rsidP="001D36AC">
            <w:pPr>
              <w:pStyle w:val="TableText"/>
              <w:rPr>
                <w:rFonts w:ascii="Calibri" w:hAnsi="Calibri" w:cs="Calibri"/>
                <w:color w:val="595959"/>
              </w:rPr>
            </w:pPr>
            <w:r>
              <w:rPr>
                <w:rStyle w:val="ui-provider"/>
              </w:rPr>
              <w:t>ISO 14050:2020, 3.6.23</w:t>
            </w:r>
          </w:p>
        </w:tc>
      </w:tr>
      <w:tr w:rsidR="001D36AC" w:rsidRPr="006D7C62" w14:paraId="17FDFEA6"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900C282" w14:textId="0092EBF6" w:rsidR="001D36AC" w:rsidRPr="006D7C62" w:rsidRDefault="001D36AC" w:rsidP="001D36AC">
            <w:pPr>
              <w:pStyle w:val="TableText"/>
              <w:rPr>
                <w:rStyle w:val="Strong"/>
                <w:rFonts w:asciiTheme="majorHAnsi" w:hAnsiTheme="majorHAnsi"/>
              </w:rPr>
            </w:pPr>
            <w:r>
              <w:rPr>
                <w:rFonts w:ascii="Calibri" w:hAnsi="Calibri" w:cs="Calibri"/>
                <w:color w:val="595959"/>
              </w:rPr>
              <w:t xml:space="preserve">Climate Change </w:t>
            </w:r>
          </w:p>
        </w:tc>
        <w:tc>
          <w:tcPr>
            <w:tcW w:w="2589" w:type="pct"/>
          </w:tcPr>
          <w:p w14:paraId="6D32BD01" w14:textId="55AD17A2" w:rsidR="001D36AC" w:rsidRPr="006D7C62" w:rsidRDefault="001D36AC" w:rsidP="001D36AC">
            <w:pPr>
              <w:pStyle w:val="TableText"/>
            </w:pPr>
            <w:r>
              <w:rPr>
                <w:rFonts w:ascii="Calibri" w:hAnsi="Calibri" w:cs="Calibri"/>
                <w:color w:val="595959"/>
              </w:rPr>
              <w:t>Environmental Footprint impact category considering all inputs and outputs that result in greenhouse gas (GHG) emissions. The consequences include increased average global temperatures and sudden regional climatic changes.</w:t>
            </w:r>
          </w:p>
        </w:tc>
        <w:tc>
          <w:tcPr>
            <w:tcW w:w="1017" w:type="pct"/>
          </w:tcPr>
          <w:p w14:paraId="4E89D004" w14:textId="0BF63D1B" w:rsidR="001D36AC" w:rsidRPr="0069374F" w:rsidRDefault="001D36AC" w:rsidP="001D36AC">
            <w:pPr>
              <w:pStyle w:val="TableText"/>
            </w:pPr>
            <w:r>
              <w:rPr>
                <w:rFonts w:ascii="Calibri" w:hAnsi="Calibri" w:cs="Calibri"/>
                <w:color w:val="595959"/>
              </w:rPr>
              <w:t>PEF guidelines (EC-JRC, 2021)</w:t>
            </w:r>
          </w:p>
        </w:tc>
      </w:tr>
      <w:tr w:rsidR="001D36AC" w:rsidRPr="006D7C62" w14:paraId="65F40333"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061EEDF1"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Closed-loop recycling</w:t>
            </w:r>
          </w:p>
        </w:tc>
        <w:tc>
          <w:tcPr>
            <w:tcW w:w="2589" w:type="pct"/>
            <w:hideMark/>
          </w:tcPr>
          <w:p w14:paraId="6B9ADC89" w14:textId="3A0EE62E" w:rsidR="001D36AC" w:rsidRPr="006D7C62" w:rsidRDefault="001D36AC" w:rsidP="001D36AC">
            <w:pPr>
              <w:pStyle w:val="TableText"/>
            </w:pPr>
            <w:r w:rsidRPr="001D36AC">
              <w:t>In a closed loop, the secondary material from one product system is either reused in the same product system (real closed-loop) or used in another product system without changing the inherent technical properties of the material (quasi closed-loop).</w:t>
            </w:r>
          </w:p>
        </w:tc>
        <w:tc>
          <w:tcPr>
            <w:tcW w:w="1017" w:type="pct"/>
            <w:hideMark/>
          </w:tcPr>
          <w:p w14:paraId="2F0B777F" w14:textId="77777777" w:rsidR="001D36AC" w:rsidRPr="006D7C62" w:rsidRDefault="001D36AC" w:rsidP="001D36AC">
            <w:pPr>
              <w:pStyle w:val="TableText"/>
            </w:pPr>
            <w:r w:rsidRPr="006D7C62">
              <w:t xml:space="preserve">ISO 5157:2023(en), 3.2.6.6 </w:t>
            </w:r>
          </w:p>
        </w:tc>
      </w:tr>
      <w:tr w:rsidR="001D36AC" w:rsidRPr="006D7C62" w14:paraId="682478A2"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5D2BA0FB"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CO</w:t>
            </w:r>
            <w:r w:rsidRPr="006D7C62">
              <w:rPr>
                <w:rStyle w:val="Strong"/>
                <w:rFonts w:asciiTheme="majorHAnsi" w:hAnsiTheme="majorHAnsi"/>
                <w:vertAlign w:val="subscript"/>
              </w:rPr>
              <w:t>2</w:t>
            </w:r>
            <w:r w:rsidRPr="006D7C62">
              <w:rPr>
                <w:rStyle w:val="Strong"/>
                <w:rFonts w:asciiTheme="majorHAnsi" w:hAnsiTheme="majorHAnsi"/>
              </w:rPr>
              <w:t>eq (carbon dioxide equivalent)</w:t>
            </w:r>
          </w:p>
        </w:tc>
        <w:tc>
          <w:tcPr>
            <w:tcW w:w="2589" w:type="pct"/>
            <w:hideMark/>
          </w:tcPr>
          <w:p w14:paraId="6DCB94C6" w14:textId="77777777" w:rsidR="001D36AC" w:rsidRPr="006D7C62" w:rsidRDefault="001D36AC" w:rsidP="001D36AC">
            <w:pPr>
              <w:pStyle w:val="TableText"/>
            </w:pPr>
            <w:r w:rsidRPr="006D7C62">
              <w:t>Unit for comparing the radiative forcing of a greenhouse gas to that of carbon dioxide</w:t>
            </w:r>
          </w:p>
          <w:p w14:paraId="361756BB" w14:textId="77777777" w:rsidR="001D36AC" w:rsidRPr="006D7C62" w:rsidRDefault="001D36AC" w:rsidP="001D36AC">
            <w:pPr>
              <w:pStyle w:val="TableText"/>
            </w:pPr>
          </w:p>
        </w:tc>
        <w:tc>
          <w:tcPr>
            <w:tcW w:w="1017" w:type="pct"/>
            <w:hideMark/>
          </w:tcPr>
          <w:p w14:paraId="386725DE" w14:textId="77777777" w:rsidR="001D36AC" w:rsidRPr="006D7C62" w:rsidRDefault="001D36AC" w:rsidP="001D36AC">
            <w:pPr>
              <w:pStyle w:val="TableText"/>
              <w:rPr>
                <w:lang w:val="fr-FR"/>
              </w:rPr>
            </w:pPr>
            <w:r w:rsidRPr="006D7C62">
              <w:rPr>
                <w:lang w:val="fr-FR"/>
              </w:rPr>
              <w:t>ISO 14050:2020(en) Environmental management — Vocabulary, 3.9.3.</w:t>
            </w:r>
            <w:r w:rsidRPr="006D7C62">
              <w:rPr>
                <w:lang w:val="fr-FR"/>
              </w:rPr>
              <w:br/>
            </w:r>
          </w:p>
        </w:tc>
      </w:tr>
      <w:tr w:rsidR="001D36AC" w:rsidRPr="006C1918" w14:paraId="5C682734"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5A34C786"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Co-product</w:t>
            </w:r>
          </w:p>
        </w:tc>
        <w:tc>
          <w:tcPr>
            <w:tcW w:w="2589" w:type="pct"/>
          </w:tcPr>
          <w:p w14:paraId="35D7565E" w14:textId="77777777" w:rsidR="001D36AC" w:rsidRPr="006D7C62" w:rsidRDefault="001D36AC" w:rsidP="001D36AC">
            <w:pPr>
              <w:pStyle w:val="TableText"/>
            </w:pPr>
            <w:r w:rsidRPr="006D7C62">
              <w:t>Any of two or more products coming from the same unit process or product system</w:t>
            </w:r>
          </w:p>
        </w:tc>
        <w:tc>
          <w:tcPr>
            <w:tcW w:w="1017" w:type="pct"/>
          </w:tcPr>
          <w:p w14:paraId="21192333" w14:textId="77777777" w:rsidR="001D36AC" w:rsidRPr="006D7C62" w:rsidRDefault="001D36AC" w:rsidP="001D36AC">
            <w:pPr>
              <w:pStyle w:val="TableText"/>
              <w:rPr>
                <w:lang w:val="de-DE"/>
              </w:rPr>
            </w:pPr>
            <w:r w:rsidRPr="006D7C62">
              <w:rPr>
                <w:lang w:val="de-DE"/>
              </w:rPr>
              <w:t>DIN EN ISO 14067,</w:t>
            </w:r>
            <w:r w:rsidRPr="006D7C62">
              <w:rPr>
                <w:lang w:val="de-DE"/>
              </w:rPr>
              <w:br/>
              <w:t>Feb. 2019, p. 22</w:t>
            </w:r>
          </w:p>
        </w:tc>
      </w:tr>
      <w:tr w:rsidR="001D36AC" w:rsidRPr="006D7C62" w14:paraId="44E1B1B3"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22B4E144"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Cradle-to-gate</w:t>
            </w:r>
          </w:p>
        </w:tc>
        <w:tc>
          <w:tcPr>
            <w:tcW w:w="2589" w:type="pct"/>
            <w:hideMark/>
          </w:tcPr>
          <w:p w14:paraId="1032AC59" w14:textId="77777777" w:rsidR="001D36AC" w:rsidRPr="006D7C62" w:rsidRDefault="001D36AC" w:rsidP="001D36AC">
            <w:pPr>
              <w:pStyle w:val="TableText"/>
            </w:pPr>
            <w:r w:rsidRPr="006D7C62">
              <w:t>System boundary that is applied for a partial PCF assessment that includes a part of the product’s life cycle. Cradle-to-gate</w:t>
            </w:r>
            <w:r w:rsidRPr="006D7C62" w:rsidDel="004768B3">
              <w:t xml:space="preserve"> </w:t>
            </w:r>
            <w:r w:rsidRPr="006D7C62">
              <w:t>represents</w:t>
            </w:r>
            <w:r w:rsidRPr="006D7C62" w:rsidDel="004768B3">
              <w:t xml:space="preserve"> </w:t>
            </w:r>
            <w:r w:rsidRPr="006D7C62">
              <w:t>the GHG emissions and removals arising from all life cycle stages, up to the point where the product leaves the production site (the ”gate”). This explicitly excludes the life cycle stages use and end-of-life.</w:t>
            </w:r>
          </w:p>
        </w:tc>
        <w:tc>
          <w:tcPr>
            <w:tcW w:w="1017" w:type="pct"/>
            <w:hideMark/>
          </w:tcPr>
          <w:p w14:paraId="030A801E" w14:textId="77777777" w:rsidR="001D36AC" w:rsidRPr="006D7C62" w:rsidRDefault="001D36AC" w:rsidP="001D36AC">
            <w:pPr>
              <w:pStyle w:val="TableText"/>
            </w:pPr>
            <w:r w:rsidRPr="006D7C62">
              <w:t xml:space="preserve">adapted from </w:t>
            </w:r>
            <w:r>
              <w:t>TFS</w:t>
            </w:r>
            <w:r w:rsidRPr="006D7C62">
              <w:t xml:space="preserve"> PCF Guideline and in reference to ISO 14067 6.3.4.2 System boundary options</w:t>
            </w:r>
          </w:p>
        </w:tc>
      </w:tr>
      <w:tr w:rsidR="001D36AC" w:rsidRPr="001D36AC" w14:paraId="08B4F8D1"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139BB70" w14:textId="65850DE5" w:rsidR="001D36AC" w:rsidRPr="006D7C62" w:rsidRDefault="001D36AC" w:rsidP="001D36AC">
            <w:pPr>
              <w:pStyle w:val="TableText"/>
              <w:rPr>
                <w:rStyle w:val="Strong"/>
                <w:rFonts w:asciiTheme="majorHAnsi" w:hAnsiTheme="majorHAnsi"/>
              </w:rPr>
            </w:pPr>
            <w:r w:rsidRPr="001D36AC">
              <w:rPr>
                <w:rStyle w:val="Strong"/>
                <w:rFonts w:asciiTheme="majorHAnsi" w:hAnsiTheme="majorHAnsi"/>
              </w:rPr>
              <w:t>Cradle to grave</w:t>
            </w:r>
          </w:p>
        </w:tc>
        <w:tc>
          <w:tcPr>
            <w:tcW w:w="2589" w:type="pct"/>
          </w:tcPr>
          <w:p w14:paraId="6ED86CA9" w14:textId="1EF39289" w:rsidR="001D36AC" w:rsidRPr="006D7C62" w:rsidRDefault="001D36AC" w:rsidP="001D36AC">
            <w:pPr>
              <w:pStyle w:val="TableText"/>
            </w:pPr>
            <w:r>
              <w:t>A</w:t>
            </w:r>
            <w:r w:rsidRPr="001D36AC">
              <w:t xml:space="preserve"> product</w:t>
            </w:r>
            <w:r w:rsidRPr="001D36AC">
              <w:rPr>
                <w:rFonts w:hint="cs"/>
              </w:rPr>
              <w:t>’</w:t>
            </w:r>
            <w:r w:rsidRPr="001D36AC">
              <w:t>s life cycle that includes raw material extraction, processing, distribution, storage, use, and disposal or recycling stages. All relevant inputs and outputs are considered for all of the stages of the life cycle.</w:t>
            </w:r>
          </w:p>
        </w:tc>
        <w:tc>
          <w:tcPr>
            <w:tcW w:w="1017" w:type="pct"/>
          </w:tcPr>
          <w:p w14:paraId="7FCD7957" w14:textId="3E853AB3" w:rsidR="001D36AC" w:rsidRPr="001D36AC" w:rsidRDefault="001D36AC" w:rsidP="001D36AC">
            <w:pPr>
              <w:pStyle w:val="TableText"/>
            </w:pPr>
            <w:r w:rsidRPr="001D36AC">
              <w:t>PEF guidelines (EC-JRC, 2021)</w:t>
            </w:r>
          </w:p>
        </w:tc>
      </w:tr>
      <w:tr w:rsidR="001A4508" w:rsidRPr="00A7554F" w14:paraId="2A24F930"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216AFFB7" w14:textId="77777777"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Cut-off criteria</w:t>
            </w:r>
          </w:p>
        </w:tc>
        <w:tc>
          <w:tcPr>
            <w:tcW w:w="2589" w:type="pct"/>
          </w:tcPr>
          <w:p w14:paraId="20E0D83D" w14:textId="2050D904" w:rsidR="001A4508" w:rsidRPr="006D7C62" w:rsidRDefault="001A4508" w:rsidP="001A4508">
            <w:pPr>
              <w:pStyle w:val="TableText"/>
            </w:pPr>
            <w:r>
              <w:rPr>
                <w:rFonts w:ascii="Calibri" w:hAnsi="Calibri" w:cs="Calibri"/>
                <w:color w:val="595959"/>
              </w:rPr>
              <w:t>Specification of the amount of material or energy flow or the level of significance of GHG emissions associated with unit process or the product system, to be excluded from a PCF study</w:t>
            </w:r>
          </w:p>
        </w:tc>
        <w:tc>
          <w:tcPr>
            <w:tcW w:w="1017" w:type="pct"/>
          </w:tcPr>
          <w:p w14:paraId="6CD45DF2" w14:textId="5EABFCC1" w:rsidR="001A4508" w:rsidRPr="006D7C62" w:rsidRDefault="001A4508" w:rsidP="001A4508">
            <w:pPr>
              <w:pStyle w:val="TableText"/>
              <w:rPr>
                <w:lang w:val="de-DE"/>
              </w:rPr>
            </w:pPr>
            <w:r>
              <w:rPr>
                <w:rFonts w:ascii="Calibri" w:hAnsi="Calibri" w:cs="Calibri"/>
                <w:color w:val="595959"/>
              </w:rPr>
              <w:t>DIN EN ISO 14067, Feb. 2019</w:t>
            </w:r>
          </w:p>
        </w:tc>
      </w:tr>
      <w:tr w:rsidR="001A4508" w:rsidRPr="007F6976" w14:paraId="13C79E3E"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67786C0B" w14:textId="77777777" w:rsidR="001A4508" w:rsidRPr="006D7C62" w:rsidRDefault="001A4508" w:rsidP="001A4508">
            <w:pPr>
              <w:pStyle w:val="TableText"/>
              <w:rPr>
                <w:rStyle w:val="Strong"/>
                <w:rFonts w:asciiTheme="majorHAnsi" w:eastAsiaTheme="minorHAnsi" w:hAnsiTheme="majorHAnsi" w:cstheme="minorBidi"/>
                <w:szCs w:val="22"/>
                <w:lang w:eastAsia="en-US"/>
              </w:rPr>
            </w:pPr>
            <w:r w:rsidRPr="006D7C62">
              <w:rPr>
                <w:rStyle w:val="Strong"/>
                <w:rFonts w:asciiTheme="majorHAnsi" w:hAnsiTheme="majorHAnsi"/>
              </w:rPr>
              <w:t>Declared unit</w:t>
            </w:r>
          </w:p>
        </w:tc>
        <w:tc>
          <w:tcPr>
            <w:tcW w:w="2589" w:type="pct"/>
            <w:vAlign w:val="center"/>
            <w:hideMark/>
          </w:tcPr>
          <w:p w14:paraId="11D5D863" w14:textId="7E2FDD80" w:rsidR="001A4508" w:rsidRPr="00C55818" w:rsidRDefault="31B7E690" w:rsidP="00C55818">
            <w:pPr>
              <w:pStyle w:val="TableText"/>
              <w:rPr>
                <w:bCs/>
              </w:rPr>
            </w:pPr>
            <w:r w:rsidRPr="55D15248">
              <w:rPr>
                <w:rFonts w:ascii="Calibri" w:hAnsi="Calibri" w:cs="Calibri"/>
                <w:color w:val="595959" w:themeColor="text1" w:themeTint="A6"/>
              </w:rPr>
              <w:t>Quantity of a product for use as a reference unit in the quantification of a partial PCF</w:t>
            </w:r>
          </w:p>
        </w:tc>
        <w:tc>
          <w:tcPr>
            <w:tcW w:w="1017" w:type="pct"/>
            <w:vAlign w:val="center"/>
            <w:hideMark/>
          </w:tcPr>
          <w:p w14:paraId="53DB0124" w14:textId="6E318E60" w:rsidR="001A4508" w:rsidRPr="00C55818" w:rsidRDefault="31B7E690" w:rsidP="55D15248">
            <w:pPr>
              <w:pStyle w:val="TableText"/>
              <w:rPr>
                <w:bCs/>
                <w:lang w:val="de-DE"/>
              </w:rPr>
            </w:pPr>
            <w:r w:rsidRPr="00370697">
              <w:rPr>
                <w:rFonts w:ascii="Calibri" w:hAnsi="Calibri" w:cs="Calibri"/>
                <w:color w:val="595959" w:themeColor="text1" w:themeTint="A6"/>
                <w:lang w:val="de-DE"/>
              </w:rPr>
              <w:t>DIN EN ISO 14067, Feb. 2019</w:t>
            </w:r>
          </w:p>
        </w:tc>
      </w:tr>
      <w:tr w:rsidR="001D36AC" w:rsidRPr="006D7C62" w14:paraId="5E603AFE"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6C0E7408"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Direct emissions</w:t>
            </w:r>
          </w:p>
        </w:tc>
        <w:tc>
          <w:tcPr>
            <w:tcW w:w="2589" w:type="pct"/>
            <w:hideMark/>
          </w:tcPr>
          <w:p w14:paraId="01864A00" w14:textId="77777777" w:rsidR="001D36AC" w:rsidRPr="006D7C62" w:rsidRDefault="001D36AC" w:rsidP="001D36AC">
            <w:pPr>
              <w:pStyle w:val="TableText"/>
            </w:pPr>
            <w:r w:rsidRPr="006D7C62">
              <w:t>GHG emissions from the processes that are owned or controlled by the reporting company</w:t>
            </w:r>
          </w:p>
        </w:tc>
        <w:tc>
          <w:tcPr>
            <w:tcW w:w="1017" w:type="pct"/>
            <w:hideMark/>
          </w:tcPr>
          <w:p w14:paraId="17D1957B" w14:textId="77777777" w:rsidR="001D36AC" w:rsidRPr="006D7C62" w:rsidRDefault="001D36AC" w:rsidP="001D36AC">
            <w:pPr>
              <w:pStyle w:val="TableText"/>
            </w:pPr>
            <w:r w:rsidRPr="006D7C62">
              <w:t>WBCSD Pathfinder</w:t>
            </w:r>
          </w:p>
        </w:tc>
      </w:tr>
      <w:tr w:rsidR="001D36AC" w:rsidRPr="006D7C62" w14:paraId="587A3B18"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2CC4072A"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Downstream emissions</w:t>
            </w:r>
          </w:p>
        </w:tc>
        <w:tc>
          <w:tcPr>
            <w:tcW w:w="2589" w:type="pct"/>
          </w:tcPr>
          <w:p w14:paraId="7753B32A" w14:textId="77777777" w:rsidR="001D36AC" w:rsidRPr="006D7C62" w:rsidRDefault="001D36AC" w:rsidP="001D36AC">
            <w:pPr>
              <w:pStyle w:val="TableText"/>
            </w:pPr>
            <w:r w:rsidRPr="006D7C62">
              <w:t>Indirect GHG emissions that occur in the value chain following the processes owned or controlled by the reporting company</w:t>
            </w:r>
          </w:p>
        </w:tc>
        <w:tc>
          <w:tcPr>
            <w:tcW w:w="1017" w:type="pct"/>
          </w:tcPr>
          <w:p w14:paraId="610D5B73" w14:textId="77777777" w:rsidR="001D36AC" w:rsidRPr="006D7C62" w:rsidRDefault="001D36AC" w:rsidP="001D36AC">
            <w:pPr>
              <w:pStyle w:val="TableText"/>
            </w:pPr>
            <w:r w:rsidRPr="006D7C62">
              <w:t>WBCSD Pathfinder</w:t>
            </w:r>
          </w:p>
        </w:tc>
      </w:tr>
      <w:tr w:rsidR="001A4508" w:rsidRPr="006D7C62" w14:paraId="39996B60"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27DEE602" w14:textId="75CAED23" w:rsidR="001A4508" w:rsidRPr="006D7C62" w:rsidRDefault="001A4508" w:rsidP="001D36AC">
            <w:pPr>
              <w:pStyle w:val="TableText"/>
              <w:rPr>
                <w:rStyle w:val="Strong"/>
                <w:rFonts w:asciiTheme="majorHAnsi" w:hAnsiTheme="majorHAnsi"/>
              </w:rPr>
            </w:pPr>
            <w:r w:rsidRPr="001A4508">
              <w:rPr>
                <w:rStyle w:val="Strong"/>
                <w:rFonts w:asciiTheme="majorHAnsi" w:hAnsiTheme="majorHAnsi"/>
              </w:rPr>
              <w:lastRenderedPageBreak/>
              <w:t>Elementary flow</w:t>
            </w:r>
          </w:p>
        </w:tc>
        <w:tc>
          <w:tcPr>
            <w:tcW w:w="2589" w:type="pct"/>
          </w:tcPr>
          <w:p w14:paraId="2D2AAF52" w14:textId="0D137D38" w:rsidR="001A4508" w:rsidRPr="006D7C62" w:rsidRDefault="001A4508" w:rsidP="001D36AC">
            <w:pPr>
              <w:pStyle w:val="TableText"/>
            </w:pPr>
            <w:r w:rsidRPr="001A4508">
              <w:t>Material or energy entering the system being studied that has been drawn from the environment without previous human transformation, or material or energy leaving the system being studied that is released into the environment without subsequent human transformation</w:t>
            </w:r>
          </w:p>
        </w:tc>
        <w:tc>
          <w:tcPr>
            <w:tcW w:w="1017" w:type="pct"/>
          </w:tcPr>
          <w:p w14:paraId="5994B966" w14:textId="7FC5EDC6" w:rsidR="001A4508" w:rsidRPr="006D7C62" w:rsidRDefault="001A4508" w:rsidP="001D36AC">
            <w:pPr>
              <w:pStyle w:val="TableText"/>
            </w:pPr>
            <w:r w:rsidRPr="001A4508">
              <w:t>DIN EN ISO 14067, Feb. 2019</w:t>
            </w:r>
          </w:p>
        </w:tc>
      </w:tr>
      <w:tr w:rsidR="001A4508" w:rsidRPr="006D7C62" w14:paraId="1E0E33DC"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7620FAF7" w14:textId="7F4D373D" w:rsidR="001A4508" w:rsidRPr="006D7C62" w:rsidRDefault="001A4508" w:rsidP="001D36AC">
            <w:pPr>
              <w:pStyle w:val="TableText"/>
              <w:rPr>
                <w:rStyle w:val="Strong"/>
                <w:rFonts w:asciiTheme="majorHAnsi" w:hAnsiTheme="majorHAnsi"/>
              </w:rPr>
            </w:pPr>
            <w:r w:rsidRPr="001A4508">
              <w:rPr>
                <w:rStyle w:val="Strong"/>
                <w:rFonts w:asciiTheme="majorHAnsi" w:hAnsiTheme="majorHAnsi"/>
              </w:rPr>
              <w:t>End-of-life</w:t>
            </w:r>
          </w:p>
        </w:tc>
        <w:tc>
          <w:tcPr>
            <w:tcW w:w="2589" w:type="pct"/>
          </w:tcPr>
          <w:p w14:paraId="6A48DA80" w14:textId="0E3E6707" w:rsidR="001A4508" w:rsidRPr="006D7C62" w:rsidRDefault="001A4508" w:rsidP="001D36AC">
            <w:pPr>
              <w:pStyle w:val="TableText"/>
            </w:pPr>
            <w:r w:rsidRPr="001A4508">
              <w:t>Point in time during the life cycle at which a product or resource is taken out of use and is disposed.</w:t>
            </w:r>
            <w:r w:rsidRPr="001A4508">
              <w:rPr>
                <w:rFonts w:hint="cs"/>
              </w:rPr>
              <w:t> </w:t>
            </w:r>
          </w:p>
        </w:tc>
        <w:tc>
          <w:tcPr>
            <w:tcW w:w="1017" w:type="pct"/>
          </w:tcPr>
          <w:p w14:paraId="07F35B9C" w14:textId="67427203" w:rsidR="001A4508" w:rsidRPr="006D7C62" w:rsidRDefault="001A4508" w:rsidP="001D36AC">
            <w:pPr>
              <w:pStyle w:val="TableText"/>
            </w:pPr>
            <w:r w:rsidRPr="001A4508">
              <w:t>ISO/DI</w:t>
            </w:r>
            <w:r>
              <w:t>N</w:t>
            </w:r>
            <w:r w:rsidRPr="001A4508">
              <w:t xml:space="preserve"> 59004</w:t>
            </w:r>
          </w:p>
        </w:tc>
      </w:tr>
      <w:tr w:rsidR="55D15248" w14:paraId="0A0B680C" w14:textId="77777777" w:rsidTr="00C55818">
        <w:trPr>
          <w:cnfStyle w:val="000000010000" w:firstRow="0" w:lastRow="0" w:firstColumn="0" w:lastColumn="0" w:oddVBand="0" w:evenVBand="0" w:oddHBand="0" w:evenHBand="1" w:firstRowFirstColumn="0" w:firstRowLastColumn="0" w:lastRowFirstColumn="0" w:lastRowLastColumn="0"/>
          <w:trHeight w:val="300"/>
        </w:trPr>
        <w:tc>
          <w:tcPr>
            <w:tcW w:w="1394" w:type="pct"/>
          </w:tcPr>
          <w:p w14:paraId="7BDC547D" w14:textId="1687AEE4" w:rsidR="7AD49F12" w:rsidRPr="00C55818" w:rsidRDefault="7AD49F12" w:rsidP="55D15248">
            <w:pPr>
              <w:pStyle w:val="TableText"/>
              <w:rPr>
                <w:rStyle w:val="Strong"/>
                <w:rFonts w:asciiTheme="majorHAnsi" w:hAnsiTheme="majorHAnsi"/>
                <w:color w:val="auto"/>
              </w:rPr>
            </w:pPr>
            <w:r w:rsidRPr="00C55818">
              <w:rPr>
                <w:rStyle w:val="Strong"/>
                <w:rFonts w:asciiTheme="majorHAnsi" w:hAnsiTheme="majorHAnsi"/>
                <w:color w:val="auto"/>
              </w:rPr>
              <w:t>End of Life allocation</w:t>
            </w:r>
          </w:p>
        </w:tc>
        <w:tc>
          <w:tcPr>
            <w:tcW w:w="2589" w:type="pct"/>
          </w:tcPr>
          <w:p w14:paraId="3D769968" w14:textId="79246AD9" w:rsidR="7AD49F12" w:rsidRPr="00C55818" w:rsidRDefault="7AD49F12" w:rsidP="55D15248">
            <w:pPr>
              <w:pStyle w:val="TableText"/>
              <w:rPr>
                <w:color w:val="auto"/>
              </w:rPr>
            </w:pPr>
            <w:r w:rsidRPr="00C55818">
              <w:rPr>
                <w:color w:val="auto"/>
              </w:rPr>
              <w:t xml:space="preserve">Rules that define how to allocate environmental credits and/or burdens derived from reuse, recycling or </w:t>
            </w:r>
            <w:r w:rsidR="7791BA09" w:rsidRPr="00C55818">
              <w:rPr>
                <w:color w:val="auto"/>
              </w:rPr>
              <w:t>recovery of materials and products after the vehicles’ first life cycle</w:t>
            </w:r>
            <w:r w:rsidR="20A166F3" w:rsidRPr="00C55818">
              <w:rPr>
                <w:color w:val="auto"/>
              </w:rPr>
              <w:t xml:space="preserve"> (after End of Life vehicle disposal)</w:t>
            </w:r>
          </w:p>
        </w:tc>
        <w:tc>
          <w:tcPr>
            <w:tcW w:w="1017" w:type="pct"/>
          </w:tcPr>
          <w:p w14:paraId="7C578C2D" w14:textId="50CC31CE" w:rsidR="31F5BA25" w:rsidRPr="00C55818" w:rsidRDefault="31F5BA25" w:rsidP="55D15248">
            <w:pPr>
              <w:pStyle w:val="TableText"/>
              <w:rPr>
                <w:color w:val="auto"/>
              </w:rPr>
            </w:pPr>
            <w:r w:rsidRPr="00C55818">
              <w:rPr>
                <w:color w:val="auto"/>
              </w:rPr>
              <w:t>Adapted from DIN EN ISO 14040</w:t>
            </w:r>
            <w:r w:rsidR="0C9BD756" w:rsidRPr="00C55818">
              <w:rPr>
                <w:color w:val="auto"/>
              </w:rPr>
              <w:t>/44</w:t>
            </w:r>
            <w:r w:rsidRPr="00C55818">
              <w:rPr>
                <w:color w:val="auto"/>
              </w:rPr>
              <w:t xml:space="preserve"> and </w:t>
            </w:r>
            <w:r w:rsidR="20A166F3" w:rsidRPr="00C55818">
              <w:rPr>
                <w:color w:val="auto"/>
              </w:rPr>
              <w:t>ILCD</w:t>
            </w:r>
            <w:r w:rsidR="414DBB10" w:rsidRPr="00C55818">
              <w:rPr>
                <w:color w:val="auto"/>
              </w:rPr>
              <w:t xml:space="preserve"> handbook</w:t>
            </w:r>
          </w:p>
        </w:tc>
      </w:tr>
      <w:tr w:rsidR="001A4508" w:rsidRPr="006D7C62" w14:paraId="75A6845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749BCA0" w14:textId="67430697" w:rsidR="001A4508" w:rsidRPr="006D7C62" w:rsidRDefault="001A4508" w:rsidP="001D36AC">
            <w:pPr>
              <w:pStyle w:val="TableText"/>
              <w:rPr>
                <w:rStyle w:val="Strong"/>
                <w:rFonts w:asciiTheme="majorHAnsi" w:hAnsiTheme="majorHAnsi"/>
              </w:rPr>
            </w:pPr>
            <w:r w:rsidRPr="001A4508">
              <w:rPr>
                <w:rStyle w:val="Strong"/>
                <w:rFonts w:asciiTheme="majorHAnsi" w:hAnsiTheme="majorHAnsi"/>
              </w:rPr>
              <w:t>End-of-waste</w:t>
            </w:r>
          </w:p>
        </w:tc>
        <w:tc>
          <w:tcPr>
            <w:tcW w:w="2589" w:type="pct"/>
          </w:tcPr>
          <w:p w14:paraId="02D61135" w14:textId="3CEC33D3" w:rsidR="001A4508" w:rsidRPr="006D7C62" w:rsidRDefault="001A4508" w:rsidP="001D36AC">
            <w:pPr>
              <w:pStyle w:val="TableText"/>
            </w:pPr>
            <w:r w:rsidRPr="001A4508">
              <w:t>The end-of-waste state for waste in Europe is reached when the material is no longer considered waste under the national implementation of the Waste Framework Directive.</w:t>
            </w:r>
          </w:p>
        </w:tc>
        <w:tc>
          <w:tcPr>
            <w:tcW w:w="1017" w:type="pct"/>
          </w:tcPr>
          <w:p w14:paraId="695ED1E1" w14:textId="63A7159A" w:rsidR="001A4508" w:rsidRPr="006D7C62" w:rsidRDefault="001A4508" w:rsidP="001D36AC">
            <w:pPr>
              <w:pStyle w:val="TableText"/>
            </w:pPr>
            <w:r w:rsidRPr="001A4508">
              <w:t>EN 15804</w:t>
            </w:r>
          </w:p>
        </w:tc>
      </w:tr>
      <w:tr w:rsidR="001D36AC" w:rsidRPr="006D7C62" w14:paraId="78042863"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6439EC45"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Functional unit</w:t>
            </w:r>
          </w:p>
        </w:tc>
        <w:tc>
          <w:tcPr>
            <w:tcW w:w="2589" w:type="pct"/>
            <w:hideMark/>
          </w:tcPr>
          <w:p w14:paraId="1D2A0A21" w14:textId="1D532D37" w:rsidR="001D36AC" w:rsidRPr="006D7C62" w:rsidRDefault="001A4508" w:rsidP="001D36AC">
            <w:pPr>
              <w:pStyle w:val="TableText"/>
            </w:pPr>
            <w:r w:rsidRPr="001A4508">
              <w:t>Quantified performance of a product system for use as a reference unit</w:t>
            </w:r>
          </w:p>
        </w:tc>
        <w:tc>
          <w:tcPr>
            <w:tcW w:w="1017" w:type="pct"/>
            <w:hideMark/>
          </w:tcPr>
          <w:p w14:paraId="70D35F83" w14:textId="68004693" w:rsidR="001D36AC" w:rsidRPr="006D7C62" w:rsidRDefault="001A4508" w:rsidP="001D36AC">
            <w:pPr>
              <w:pStyle w:val="TableText"/>
            </w:pPr>
            <w:r w:rsidRPr="001A4508">
              <w:t>DIN EN ISO 14067 / ISO 14040 : 2006</w:t>
            </w:r>
          </w:p>
        </w:tc>
      </w:tr>
      <w:tr w:rsidR="55D15248" w14:paraId="69CFEC18" w14:textId="77777777" w:rsidTr="00C55818">
        <w:trPr>
          <w:cnfStyle w:val="000000100000" w:firstRow="0" w:lastRow="0" w:firstColumn="0" w:lastColumn="0" w:oddVBand="0" w:evenVBand="0" w:oddHBand="1" w:evenHBand="0" w:firstRowFirstColumn="0" w:firstRowLastColumn="0" w:lastRowFirstColumn="0" w:lastRowLastColumn="0"/>
          <w:trHeight w:val="300"/>
        </w:trPr>
        <w:tc>
          <w:tcPr>
            <w:tcW w:w="1394" w:type="pct"/>
            <w:hideMark/>
          </w:tcPr>
          <w:p w14:paraId="0EC7A62A" w14:textId="45BC70C2" w:rsidR="251DD2C9" w:rsidRPr="00C55818" w:rsidRDefault="251DD2C9" w:rsidP="00C947DF">
            <w:pPr>
              <w:pStyle w:val="TableText"/>
              <w:rPr>
                <w:rStyle w:val="Strong"/>
                <w:rFonts w:asciiTheme="majorHAnsi" w:hAnsiTheme="majorHAnsi"/>
                <w:color w:val="auto"/>
              </w:rPr>
            </w:pPr>
            <w:r w:rsidRPr="00C55818">
              <w:rPr>
                <w:rStyle w:val="Strong"/>
                <w:rFonts w:asciiTheme="majorHAnsi" w:hAnsiTheme="majorHAnsi"/>
                <w:color w:val="auto"/>
              </w:rPr>
              <w:t>GLEC framework</w:t>
            </w:r>
          </w:p>
        </w:tc>
        <w:tc>
          <w:tcPr>
            <w:tcW w:w="2589" w:type="pct"/>
            <w:hideMark/>
          </w:tcPr>
          <w:p w14:paraId="3F40267E" w14:textId="40DBE0F5" w:rsidR="251DD2C9" w:rsidRPr="00C55818" w:rsidRDefault="251DD2C9" w:rsidP="00C947DF">
            <w:pPr>
              <w:pStyle w:val="TableText"/>
              <w:rPr>
                <w:rFonts w:eastAsiaTheme="minorEastAsia" w:cstheme="minorBidi" w:hint="eastAsia"/>
                <w:color w:val="auto"/>
              </w:rPr>
            </w:pPr>
            <w:r w:rsidRPr="00C55818">
              <w:rPr>
                <w:rFonts w:eastAsiaTheme="minorEastAsia" w:cstheme="minorBidi"/>
                <w:color w:val="auto"/>
              </w:rPr>
              <w:t xml:space="preserve">Global Logistics </w:t>
            </w:r>
            <w:r w:rsidR="3B591146" w:rsidRPr="00C55818">
              <w:rPr>
                <w:rFonts w:eastAsiaTheme="minorEastAsia" w:cstheme="minorBidi"/>
                <w:color w:val="auto"/>
              </w:rPr>
              <w:t xml:space="preserve">Emissions Council framework, to harmonize the calculation and reporting of logistics GHG emissions across multi-modal supply chains. </w:t>
            </w:r>
          </w:p>
        </w:tc>
        <w:tc>
          <w:tcPr>
            <w:tcW w:w="1017" w:type="pct"/>
            <w:hideMark/>
          </w:tcPr>
          <w:p w14:paraId="0F29D308" w14:textId="78A14101" w:rsidR="55D15248" w:rsidRPr="00C55818" w:rsidRDefault="09EBC3BD" w:rsidP="00C947DF">
            <w:pPr>
              <w:pStyle w:val="TableText"/>
              <w:rPr>
                <w:color w:val="auto"/>
              </w:rPr>
            </w:pPr>
            <w:r w:rsidRPr="00C55818">
              <w:rPr>
                <w:color w:val="auto"/>
              </w:rPr>
              <w:t xml:space="preserve">Smart Freight Center GLEC </w:t>
            </w:r>
          </w:p>
        </w:tc>
      </w:tr>
      <w:tr w:rsidR="001D36AC" w:rsidRPr="00A7554F" w14:paraId="2E4ACC05"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528E4B49"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Global warming potential (GWP)</w:t>
            </w:r>
          </w:p>
        </w:tc>
        <w:tc>
          <w:tcPr>
            <w:tcW w:w="2589" w:type="pct"/>
          </w:tcPr>
          <w:p w14:paraId="37EB09F5" w14:textId="77777777" w:rsidR="001D36AC" w:rsidRPr="006D7C62" w:rsidRDefault="001D36AC" w:rsidP="001D36AC">
            <w:pPr>
              <w:pStyle w:val="TableText"/>
            </w:pPr>
            <w:r w:rsidRPr="006D7C62">
              <w:t>Index, based on radiative properties of GHGs, measuring the radiative forcing following a pulse emission of a unit mass of a given GHG in the present-day atmosphere integrated over a chosen time horizon, relative to that of carbon dioxide (CO</w:t>
            </w:r>
            <w:r w:rsidRPr="006D7C62">
              <w:rPr>
                <w:vertAlign w:val="subscript"/>
              </w:rPr>
              <w:t>2</w:t>
            </w:r>
            <w:r w:rsidRPr="006D7C62">
              <w:t>)</w:t>
            </w:r>
          </w:p>
        </w:tc>
        <w:tc>
          <w:tcPr>
            <w:tcW w:w="1017" w:type="pct"/>
          </w:tcPr>
          <w:p w14:paraId="4EE9DF0F" w14:textId="7A03CB4B" w:rsidR="001D36AC" w:rsidRPr="006D7C62" w:rsidRDefault="001D36AC" w:rsidP="001D36AC">
            <w:pPr>
              <w:pStyle w:val="TableText"/>
              <w:rPr>
                <w:lang w:val="de-DE"/>
              </w:rPr>
            </w:pPr>
            <w:r w:rsidRPr="006D7C62">
              <w:rPr>
                <w:lang w:val="de-DE"/>
              </w:rPr>
              <w:t>DIN EN ISO 14067,</w:t>
            </w:r>
            <w:r w:rsidRPr="006D7C62">
              <w:rPr>
                <w:lang w:val="de-DE"/>
              </w:rPr>
              <w:br/>
              <w:t>Feb. 2019</w:t>
            </w:r>
          </w:p>
          <w:p w14:paraId="7D1F213B" w14:textId="77777777" w:rsidR="001D36AC" w:rsidRPr="006D7C62" w:rsidRDefault="001D36AC" w:rsidP="001D36AC">
            <w:pPr>
              <w:pStyle w:val="TableText"/>
              <w:rPr>
                <w:lang w:val="de-DE"/>
              </w:rPr>
            </w:pPr>
          </w:p>
        </w:tc>
      </w:tr>
      <w:tr w:rsidR="001D36AC" w:rsidRPr="00A7554F" w14:paraId="3A98BD57"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0681B1C3"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Greenhouse gases (GHGs)</w:t>
            </w:r>
          </w:p>
        </w:tc>
        <w:tc>
          <w:tcPr>
            <w:tcW w:w="2589" w:type="pct"/>
            <w:hideMark/>
          </w:tcPr>
          <w:p w14:paraId="388D466E" w14:textId="77777777" w:rsidR="001D36AC" w:rsidRPr="006D7C62" w:rsidRDefault="001D36AC" w:rsidP="001D36AC">
            <w:pPr>
              <w:pStyle w:val="TableText"/>
            </w:pPr>
            <w:r w:rsidRPr="006D7C62">
              <w:t>Gaseous constituent of the atmosphere, both natural and anthropogenic, that absorbs and emits radiation at specific wavelengths within the spectrum of infrared radiation emitted by the Earth’s surface, the atmosphere, and clouds</w:t>
            </w:r>
          </w:p>
        </w:tc>
        <w:tc>
          <w:tcPr>
            <w:tcW w:w="1017" w:type="pct"/>
            <w:hideMark/>
          </w:tcPr>
          <w:p w14:paraId="1ED3B378" w14:textId="30C58C94" w:rsidR="001D36AC" w:rsidRPr="006D7C62" w:rsidRDefault="001D36AC" w:rsidP="001D36AC">
            <w:pPr>
              <w:pStyle w:val="TableText"/>
              <w:rPr>
                <w:lang w:val="de-DE"/>
              </w:rPr>
            </w:pPr>
            <w:r w:rsidRPr="006D7C62">
              <w:rPr>
                <w:lang w:val="de-DE"/>
              </w:rPr>
              <w:t>DIN EN ISO 14067,</w:t>
            </w:r>
            <w:r w:rsidRPr="006D7C62">
              <w:rPr>
                <w:lang w:val="de-DE"/>
              </w:rPr>
              <w:br/>
              <w:t>Feb. 2019</w:t>
            </w:r>
          </w:p>
        </w:tc>
      </w:tr>
      <w:tr w:rsidR="001D36AC" w:rsidRPr="006D7C62" w14:paraId="6673CC2F"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10A475AB" w14:textId="77777777" w:rsidR="001D36AC" w:rsidRPr="006D7C62" w:rsidRDefault="001D36AC" w:rsidP="001D36AC">
            <w:pPr>
              <w:pStyle w:val="TableText"/>
              <w:rPr>
                <w:rStyle w:val="Strong"/>
                <w:rFonts w:asciiTheme="majorHAnsi" w:hAnsiTheme="majorHAnsi"/>
              </w:rPr>
            </w:pPr>
            <w:r w:rsidRPr="006D7C62">
              <w:rPr>
                <w:rStyle w:val="Strong"/>
                <w:rFonts w:asciiTheme="majorHAnsi" w:hAnsiTheme="majorHAnsi"/>
              </w:rPr>
              <w:t>ILCD Format</w:t>
            </w:r>
          </w:p>
        </w:tc>
        <w:tc>
          <w:tcPr>
            <w:tcW w:w="2589" w:type="pct"/>
            <w:hideMark/>
          </w:tcPr>
          <w:p w14:paraId="1042EA67" w14:textId="09DFEBD2" w:rsidR="001D36AC" w:rsidRPr="006D7C62" w:rsidRDefault="001D36AC" w:rsidP="001D36AC">
            <w:pPr>
              <w:pStyle w:val="TableText"/>
            </w:pPr>
            <w:r w:rsidRPr="006D7C62">
              <w:t>International Life Cycle Data Format</w:t>
            </w:r>
          </w:p>
        </w:tc>
        <w:tc>
          <w:tcPr>
            <w:tcW w:w="1017" w:type="pct"/>
            <w:hideMark/>
          </w:tcPr>
          <w:p w14:paraId="72273D9E" w14:textId="77777777" w:rsidR="001D36AC" w:rsidRPr="006D7C62" w:rsidRDefault="001D36AC" w:rsidP="001D36AC">
            <w:pPr>
              <w:pStyle w:val="TableText"/>
            </w:pPr>
          </w:p>
        </w:tc>
      </w:tr>
      <w:tr w:rsidR="001A4508" w:rsidRPr="006D7C62" w14:paraId="1263CF3D"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0EF47E4F" w14:textId="40ED8E34" w:rsidR="001A4508" w:rsidRPr="006D7C62" w:rsidRDefault="001A4508" w:rsidP="001A4508">
            <w:pPr>
              <w:pStyle w:val="TableText"/>
              <w:rPr>
                <w:rStyle w:val="Strong"/>
                <w:rFonts w:asciiTheme="majorHAnsi" w:hAnsiTheme="majorHAnsi"/>
              </w:rPr>
            </w:pPr>
            <w:r>
              <w:rPr>
                <w:rFonts w:ascii="Calibri" w:hAnsi="Calibri" w:cs="Calibri"/>
                <w:color w:val="595959"/>
              </w:rPr>
              <w:t>Indirect emissions scope 2</w:t>
            </w:r>
          </w:p>
        </w:tc>
        <w:tc>
          <w:tcPr>
            <w:tcW w:w="2589" w:type="pct"/>
          </w:tcPr>
          <w:p w14:paraId="549E68D3" w14:textId="74754717" w:rsidR="001A4508" w:rsidRPr="006D7C62" w:rsidRDefault="001A4508" w:rsidP="001A4508">
            <w:pPr>
              <w:pStyle w:val="TableText"/>
            </w:pPr>
            <w:r>
              <w:rPr>
                <w:rFonts w:ascii="Calibri" w:hAnsi="Calibri" w:cs="Calibri"/>
                <w:color w:val="595959"/>
              </w:rPr>
              <w:t>GHG emissions from the generation of purchased or aquired electricity, steam, heating, or cooling consumed by the reporting compagny</w:t>
            </w:r>
          </w:p>
        </w:tc>
        <w:tc>
          <w:tcPr>
            <w:tcW w:w="1017" w:type="pct"/>
          </w:tcPr>
          <w:p w14:paraId="5C285578" w14:textId="52353444" w:rsidR="001A4508" w:rsidRPr="006D7C62" w:rsidRDefault="001A4508" w:rsidP="001A4508">
            <w:pPr>
              <w:pStyle w:val="TableText"/>
            </w:pPr>
            <w:r>
              <w:rPr>
                <w:rFonts w:ascii="Calibri" w:hAnsi="Calibri" w:cs="Calibri"/>
                <w:color w:val="595959"/>
              </w:rPr>
              <w:t>adapted from GHG Protocol</w:t>
            </w:r>
          </w:p>
        </w:tc>
      </w:tr>
      <w:tr w:rsidR="001A4508" w:rsidRPr="006D7C62" w14:paraId="61A05B4A"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36B2B17" w14:textId="7ADA5562" w:rsidR="001A4508" w:rsidRPr="006D7C62" w:rsidRDefault="001A4508" w:rsidP="001A4508">
            <w:pPr>
              <w:pStyle w:val="TableText"/>
              <w:rPr>
                <w:rStyle w:val="Strong"/>
                <w:rFonts w:asciiTheme="majorHAnsi" w:hAnsiTheme="majorHAnsi"/>
              </w:rPr>
            </w:pPr>
            <w:r>
              <w:rPr>
                <w:rFonts w:ascii="Calibri" w:hAnsi="Calibri" w:cs="Calibri"/>
                <w:color w:val="595959"/>
              </w:rPr>
              <w:t xml:space="preserve">Indirect emissions scope 3 </w:t>
            </w:r>
          </w:p>
        </w:tc>
        <w:tc>
          <w:tcPr>
            <w:tcW w:w="2589" w:type="pct"/>
          </w:tcPr>
          <w:p w14:paraId="3160F1F0" w14:textId="250A7A07" w:rsidR="001A4508" w:rsidRPr="006D7C62" w:rsidRDefault="001A4508" w:rsidP="001A4508">
            <w:pPr>
              <w:pStyle w:val="TableText"/>
            </w:pPr>
            <w:r>
              <w:rPr>
                <w:rFonts w:ascii="Calibri" w:hAnsi="Calibri" w:cs="Calibri"/>
                <w:color w:val="595959"/>
              </w:rPr>
              <w:t>All indirect emissions (not included in scope 2) that occur in the value chain of the reporting compagny, including both upstream and downstream emissions</w:t>
            </w:r>
          </w:p>
        </w:tc>
        <w:tc>
          <w:tcPr>
            <w:tcW w:w="1017" w:type="pct"/>
          </w:tcPr>
          <w:p w14:paraId="6F2E6332" w14:textId="1DF827E6" w:rsidR="001A4508" w:rsidRPr="006D7C62" w:rsidRDefault="001A4508" w:rsidP="001A4508">
            <w:pPr>
              <w:pStyle w:val="TableText"/>
            </w:pPr>
            <w:r>
              <w:rPr>
                <w:rFonts w:ascii="Calibri" w:hAnsi="Calibri" w:cs="Calibri"/>
                <w:color w:val="595959"/>
              </w:rPr>
              <w:t>GHG Protocol</w:t>
            </w:r>
          </w:p>
        </w:tc>
      </w:tr>
      <w:tr w:rsidR="001A4508" w:rsidRPr="006D7C62" w14:paraId="51EF8DC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725390C" w14:textId="541F75B9" w:rsidR="001A4508" w:rsidRPr="006D7C62" w:rsidRDefault="001A4508" w:rsidP="001A4508">
            <w:pPr>
              <w:pStyle w:val="TableText"/>
              <w:rPr>
                <w:rStyle w:val="Strong"/>
                <w:rFonts w:asciiTheme="majorHAnsi" w:hAnsiTheme="majorHAnsi"/>
              </w:rPr>
            </w:pPr>
            <w:r>
              <w:rPr>
                <w:rFonts w:ascii="Calibri" w:hAnsi="Calibri" w:cs="Calibri"/>
                <w:color w:val="595959"/>
              </w:rPr>
              <w:t>Infrastructure emission</w:t>
            </w:r>
          </w:p>
        </w:tc>
        <w:tc>
          <w:tcPr>
            <w:tcW w:w="2589" w:type="pct"/>
          </w:tcPr>
          <w:p w14:paraId="0A0A5103" w14:textId="55F42BDF" w:rsidR="001A4508" w:rsidRPr="006D7C62" w:rsidRDefault="001A4508" w:rsidP="001A4508">
            <w:pPr>
              <w:pStyle w:val="TableText"/>
            </w:pPr>
            <w:r>
              <w:rPr>
                <w:rFonts w:ascii="Calibri" w:hAnsi="Calibri" w:cs="Calibri"/>
                <w:color w:val="595959"/>
              </w:rPr>
              <w:t>Embodied emissions that arise due to the production or dismantling of infrastructure.</w:t>
            </w:r>
            <w:r>
              <w:rPr>
                <w:rFonts w:ascii="Calibri" w:hAnsi="Calibri" w:cs="Calibri"/>
                <w:color w:val="595959"/>
              </w:rPr>
              <w:br/>
              <w:t>Note 1: infrastructure refers to any capital goods e.g. production facilities, energy provision (powerplants, transmission lines) or transport services (roads, railways, vehicles).</w:t>
            </w:r>
            <w:r>
              <w:rPr>
                <w:rFonts w:ascii="Calibri" w:hAnsi="Calibri" w:cs="Calibri"/>
                <w:color w:val="595959"/>
              </w:rPr>
              <w:br/>
              <w:t>Note 2: emissions arising from the operation of infrastructure (operation of a power plant) is not understood as infrastructure emissions.</w:t>
            </w:r>
          </w:p>
        </w:tc>
        <w:tc>
          <w:tcPr>
            <w:tcW w:w="1017" w:type="pct"/>
          </w:tcPr>
          <w:p w14:paraId="48D296CA" w14:textId="1343F8E9" w:rsidR="001A4508" w:rsidRPr="006D7C62" w:rsidRDefault="001A4508" w:rsidP="001A4508">
            <w:pPr>
              <w:pStyle w:val="TableText"/>
            </w:pPr>
            <w:r>
              <w:rPr>
                <w:rFonts w:ascii="Calibri" w:hAnsi="Calibri" w:cs="Calibri"/>
                <w:color w:val="595959"/>
              </w:rPr>
              <w:t> </w:t>
            </w:r>
          </w:p>
        </w:tc>
      </w:tr>
      <w:tr w:rsidR="001A4508" w:rsidRPr="006D7C62" w14:paraId="422E2B81"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5768A76" w14:textId="4F914EA7"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Input</w:t>
            </w:r>
          </w:p>
        </w:tc>
        <w:tc>
          <w:tcPr>
            <w:tcW w:w="2589" w:type="pct"/>
          </w:tcPr>
          <w:p w14:paraId="1FAAADC8" w14:textId="14833BC1" w:rsidR="001A4508" w:rsidRPr="006D7C62" w:rsidRDefault="001A4508" w:rsidP="001D36AC">
            <w:pPr>
              <w:pStyle w:val="TableText"/>
            </w:pPr>
            <w:r w:rsidRPr="006D7C62">
              <w:t>Product, material, or energy flow that enters a unit process</w:t>
            </w:r>
          </w:p>
        </w:tc>
        <w:tc>
          <w:tcPr>
            <w:tcW w:w="1017" w:type="pct"/>
          </w:tcPr>
          <w:p w14:paraId="71D98E1F" w14:textId="07F6B6BE" w:rsidR="001A4508" w:rsidRPr="006D7C62" w:rsidRDefault="001A4508" w:rsidP="001D36AC">
            <w:pPr>
              <w:pStyle w:val="TableText"/>
            </w:pPr>
            <w:r w:rsidRPr="001A4508">
              <w:t>DIN EN ISO 14040, Feb. 2021</w:t>
            </w:r>
          </w:p>
        </w:tc>
      </w:tr>
      <w:tr w:rsidR="001A4508" w:rsidRPr="001A4508" w14:paraId="57298822"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036D1599" w14:textId="2B56CA56"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lastRenderedPageBreak/>
              <w:t>Land use</w:t>
            </w:r>
          </w:p>
        </w:tc>
        <w:tc>
          <w:tcPr>
            <w:tcW w:w="2589" w:type="pct"/>
            <w:hideMark/>
          </w:tcPr>
          <w:p w14:paraId="0AE23EFD" w14:textId="112F2ECF" w:rsidR="001A4508" w:rsidRPr="006D7C62" w:rsidRDefault="001A4508" w:rsidP="001D36AC">
            <w:pPr>
              <w:pStyle w:val="TableText"/>
            </w:pPr>
            <w:r w:rsidRPr="006D7C62">
              <w:t>Human use or management of land within the relevant boundary</w:t>
            </w:r>
          </w:p>
        </w:tc>
        <w:tc>
          <w:tcPr>
            <w:tcW w:w="1017" w:type="pct"/>
            <w:hideMark/>
          </w:tcPr>
          <w:p w14:paraId="2497306D" w14:textId="2E26B2A3" w:rsidR="001A4508" w:rsidRPr="001A4508" w:rsidRDefault="001A4508" w:rsidP="001D36AC">
            <w:pPr>
              <w:pStyle w:val="TableText"/>
              <w:rPr>
                <w:lang w:val="de-DE"/>
              </w:rPr>
            </w:pPr>
            <w:r w:rsidRPr="006D7C62">
              <w:rPr>
                <w:lang w:val="de-DE"/>
              </w:rPr>
              <w:t>DIN EN ISO 14067,</w:t>
            </w:r>
            <w:r w:rsidRPr="006D7C62">
              <w:rPr>
                <w:lang w:val="de-DE"/>
              </w:rPr>
              <w:br/>
              <w:t>Feb. 2019</w:t>
            </w:r>
          </w:p>
        </w:tc>
      </w:tr>
      <w:tr w:rsidR="001A4508" w:rsidRPr="00A7554F" w14:paraId="2115A51F"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6F586594" w14:textId="13BD0B6F"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Life cycle</w:t>
            </w:r>
          </w:p>
        </w:tc>
        <w:tc>
          <w:tcPr>
            <w:tcW w:w="2589" w:type="pct"/>
          </w:tcPr>
          <w:p w14:paraId="2D3DC7D1" w14:textId="170EF65A" w:rsidR="001A4508" w:rsidRPr="006D7C62" w:rsidRDefault="001A4508" w:rsidP="001D36AC">
            <w:pPr>
              <w:pStyle w:val="TableText"/>
            </w:pPr>
            <w:r w:rsidRPr="006D7C62">
              <w:t>Consecutive and interlinked stages related to a product, from raw material acquisition or generation from natural resources to end-of-life treatment</w:t>
            </w:r>
          </w:p>
        </w:tc>
        <w:tc>
          <w:tcPr>
            <w:tcW w:w="1017" w:type="pct"/>
          </w:tcPr>
          <w:p w14:paraId="362769E1" w14:textId="588702E2" w:rsidR="001A4508" w:rsidRPr="006D7C62" w:rsidRDefault="001A4508" w:rsidP="001D36AC">
            <w:pPr>
              <w:pStyle w:val="TableText"/>
              <w:rPr>
                <w:lang w:val="de-DE"/>
              </w:rPr>
            </w:pPr>
            <w:r w:rsidRPr="006D7C62">
              <w:rPr>
                <w:lang w:val="de-DE"/>
              </w:rPr>
              <w:t>DIN EN ISO 14067,</w:t>
            </w:r>
            <w:r w:rsidRPr="006D7C62">
              <w:rPr>
                <w:lang w:val="de-DE"/>
              </w:rPr>
              <w:br/>
              <w:t>Feb. 2019</w:t>
            </w:r>
          </w:p>
        </w:tc>
      </w:tr>
      <w:tr w:rsidR="001A4508" w:rsidRPr="00A7554F" w14:paraId="539FE48D"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566C5B92" w14:textId="27C31994"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Life cycle assessment (LCA)</w:t>
            </w:r>
          </w:p>
        </w:tc>
        <w:tc>
          <w:tcPr>
            <w:tcW w:w="2589" w:type="pct"/>
            <w:hideMark/>
          </w:tcPr>
          <w:p w14:paraId="1601CA8E" w14:textId="0DC2AF14" w:rsidR="001A4508" w:rsidRPr="006D7C62" w:rsidRDefault="001A4508" w:rsidP="001D36AC">
            <w:pPr>
              <w:pStyle w:val="TableText"/>
            </w:pPr>
            <w:r w:rsidRPr="006D7C62">
              <w:t>Compilation and evaluation of the inputs, outputs and the potential environmental impacts of a product system throughout its life cycle</w:t>
            </w:r>
          </w:p>
        </w:tc>
        <w:tc>
          <w:tcPr>
            <w:tcW w:w="1017" w:type="pct"/>
            <w:hideMark/>
          </w:tcPr>
          <w:p w14:paraId="5DC46D3F" w14:textId="0E452F27" w:rsidR="001A4508" w:rsidRPr="006D7C62" w:rsidRDefault="001A4508" w:rsidP="001D36AC">
            <w:pPr>
              <w:pStyle w:val="TableText"/>
              <w:rPr>
                <w:lang w:val="de-DE"/>
              </w:rPr>
            </w:pPr>
            <w:r w:rsidRPr="006D7C62">
              <w:rPr>
                <w:lang w:val="de-DE"/>
              </w:rPr>
              <w:t>DIN EN ISO 14067,</w:t>
            </w:r>
            <w:r w:rsidRPr="006D7C62">
              <w:rPr>
                <w:lang w:val="de-DE"/>
              </w:rPr>
              <w:br/>
              <w:t>Feb. 2019</w:t>
            </w:r>
          </w:p>
        </w:tc>
      </w:tr>
      <w:tr w:rsidR="001A4508" w:rsidRPr="00A7554F" w14:paraId="47A6509C" w14:textId="77777777" w:rsidTr="00C947DF">
        <w:trPr>
          <w:cnfStyle w:val="000000010000" w:firstRow="0" w:lastRow="0" w:firstColumn="0" w:lastColumn="0" w:oddVBand="0" w:evenVBand="0" w:oddHBand="0" w:evenHBand="1" w:firstRowFirstColumn="0" w:firstRowLastColumn="0" w:lastRowFirstColumn="0" w:lastRowLastColumn="0"/>
          <w:trHeight w:val="725"/>
        </w:trPr>
        <w:tc>
          <w:tcPr>
            <w:tcW w:w="1394" w:type="pct"/>
            <w:hideMark/>
          </w:tcPr>
          <w:p w14:paraId="380FC6D2" w14:textId="645CF641"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Life cycle emissions</w:t>
            </w:r>
          </w:p>
        </w:tc>
        <w:tc>
          <w:tcPr>
            <w:tcW w:w="2589" w:type="pct"/>
            <w:hideMark/>
          </w:tcPr>
          <w:p w14:paraId="504B38B6" w14:textId="4655296F" w:rsidR="001A4508" w:rsidRPr="006D7C62" w:rsidRDefault="001A4508" w:rsidP="001D36AC">
            <w:pPr>
              <w:pStyle w:val="TableText"/>
            </w:pPr>
            <w:r w:rsidRPr="006D7C62">
              <w:t>The sum of GHG emissions resulting from all stages of the life cycle of a product and within the specified boundaries of the product</w:t>
            </w:r>
          </w:p>
        </w:tc>
        <w:tc>
          <w:tcPr>
            <w:tcW w:w="1017" w:type="pct"/>
            <w:hideMark/>
          </w:tcPr>
          <w:p w14:paraId="70CB7076" w14:textId="01A738B7" w:rsidR="001A4508" w:rsidRPr="006D7C62" w:rsidRDefault="001A4508" w:rsidP="001D36AC">
            <w:pPr>
              <w:pStyle w:val="TableText"/>
              <w:rPr>
                <w:lang w:val="de-DE"/>
              </w:rPr>
            </w:pPr>
            <w:r w:rsidRPr="006D7C62">
              <w:t>WBCSD Pathfinder</w:t>
            </w:r>
          </w:p>
        </w:tc>
      </w:tr>
      <w:tr w:rsidR="001A4508" w:rsidRPr="006C1918" w14:paraId="31FE6C95"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526F4052" w14:textId="73726129"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Life cycle inventory (LCI)</w:t>
            </w:r>
          </w:p>
        </w:tc>
        <w:tc>
          <w:tcPr>
            <w:tcW w:w="2589" w:type="pct"/>
            <w:hideMark/>
          </w:tcPr>
          <w:p w14:paraId="110366DA" w14:textId="3CAAC96A" w:rsidR="001A4508" w:rsidRPr="006D7C62" w:rsidRDefault="001A4508" w:rsidP="001D36AC">
            <w:pPr>
              <w:pStyle w:val="TableText"/>
            </w:pPr>
            <w:r w:rsidRPr="006D7C62">
              <w:t>The phase of life cycle assessment involving the compilation and quantification of inputs and outputs for a product throughout its life cycle (such as a product’s GHG emissions and sources)</w:t>
            </w:r>
          </w:p>
        </w:tc>
        <w:tc>
          <w:tcPr>
            <w:tcW w:w="1017" w:type="pct"/>
            <w:hideMark/>
          </w:tcPr>
          <w:p w14:paraId="4A8D8399" w14:textId="69EC0E1C" w:rsidR="001A4508" w:rsidRPr="001A4508" w:rsidRDefault="001A4508" w:rsidP="001D36AC">
            <w:pPr>
              <w:pStyle w:val="TableText"/>
              <w:rPr>
                <w:lang w:val="de-DE"/>
              </w:rPr>
            </w:pPr>
            <w:r w:rsidRPr="006D7C62">
              <w:rPr>
                <w:lang w:val="de-DE"/>
              </w:rPr>
              <w:t>DIN EN ISO 14067,</w:t>
            </w:r>
            <w:r w:rsidRPr="006D7C62">
              <w:rPr>
                <w:lang w:val="de-DE"/>
              </w:rPr>
              <w:br/>
              <w:t>Feb. 2019, p. 25</w:t>
            </w:r>
          </w:p>
        </w:tc>
      </w:tr>
      <w:tr w:rsidR="001A4508" w:rsidRPr="00A7554F" w14:paraId="1A79DF02"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6EB03F59" w14:textId="2AAFEE40" w:rsidR="001A4508" w:rsidRPr="006D7C62" w:rsidRDefault="001A4508" w:rsidP="001A4508">
            <w:pPr>
              <w:pStyle w:val="TableText"/>
              <w:rPr>
                <w:rStyle w:val="Strong"/>
                <w:rFonts w:asciiTheme="majorHAnsi" w:hAnsiTheme="majorHAnsi"/>
              </w:rPr>
            </w:pPr>
            <w:r>
              <w:rPr>
                <w:rFonts w:ascii="Calibri" w:hAnsi="Calibri" w:cs="Calibri"/>
                <w:color w:val="595959"/>
              </w:rPr>
              <w:t xml:space="preserve">Life Cycle impact Assessment (LCIA) </w:t>
            </w:r>
          </w:p>
        </w:tc>
        <w:tc>
          <w:tcPr>
            <w:tcW w:w="2589" w:type="pct"/>
          </w:tcPr>
          <w:p w14:paraId="7A7B2E24" w14:textId="3A53D375" w:rsidR="001A4508" w:rsidRPr="006D7C62" w:rsidRDefault="001A4508" w:rsidP="001A4508">
            <w:pPr>
              <w:pStyle w:val="TableText"/>
              <w:rPr>
                <w:rFonts w:eastAsia="Arial"/>
              </w:rPr>
            </w:pPr>
            <w:r>
              <w:rPr>
                <w:rFonts w:ascii="Calibri" w:hAnsi="Calibri" w:cs="Calibri"/>
                <w:color w:val="595959"/>
              </w:rPr>
              <w:t>phase of life cycle assessment aimed at understanding and evaluating the magnitude and significance of the</w:t>
            </w:r>
            <w:r>
              <w:rPr>
                <w:rFonts w:ascii="Calibri" w:hAnsi="Calibri" w:cs="Calibri"/>
                <w:color w:val="595959"/>
              </w:rPr>
              <w:br/>
              <w:t>potential environmental impacts for a product system throughout the life cycle of the product</w:t>
            </w:r>
          </w:p>
        </w:tc>
        <w:tc>
          <w:tcPr>
            <w:tcW w:w="1017" w:type="pct"/>
          </w:tcPr>
          <w:p w14:paraId="62A6222C" w14:textId="3CE410E9" w:rsidR="001A4508" w:rsidRPr="006D7C62" w:rsidRDefault="001A4508" w:rsidP="001A4508">
            <w:pPr>
              <w:pStyle w:val="TableText"/>
            </w:pPr>
            <w:r>
              <w:rPr>
                <w:rFonts w:ascii="Calibri" w:hAnsi="Calibri" w:cs="Calibri"/>
                <w:color w:val="595959"/>
              </w:rPr>
              <w:t>DIN EN ISO 14040, Feb. 2021</w:t>
            </w:r>
          </w:p>
        </w:tc>
      </w:tr>
      <w:tr w:rsidR="001A4508" w:rsidRPr="00A7554F" w14:paraId="18B65303"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vAlign w:val="center"/>
          </w:tcPr>
          <w:p w14:paraId="4AB74FCF" w14:textId="160852AE" w:rsidR="001A4508" w:rsidRPr="006D7C62" w:rsidRDefault="001A4508" w:rsidP="001A4508">
            <w:pPr>
              <w:pStyle w:val="TableText"/>
              <w:rPr>
                <w:rStyle w:val="Strong"/>
                <w:rFonts w:asciiTheme="majorHAnsi" w:hAnsiTheme="majorHAnsi"/>
              </w:rPr>
            </w:pPr>
            <w:r>
              <w:rPr>
                <w:rFonts w:ascii="Calibri" w:hAnsi="Calibri" w:cs="Calibri"/>
                <w:color w:val="595959"/>
              </w:rPr>
              <w:t>Life cycle inventory results</w:t>
            </w:r>
          </w:p>
        </w:tc>
        <w:tc>
          <w:tcPr>
            <w:tcW w:w="2589" w:type="pct"/>
            <w:vAlign w:val="center"/>
          </w:tcPr>
          <w:p w14:paraId="757DA105" w14:textId="58589DB9" w:rsidR="001A4508" w:rsidRPr="006D7C62" w:rsidRDefault="001A4508" w:rsidP="001A4508">
            <w:pPr>
              <w:pStyle w:val="TableText"/>
              <w:rPr>
                <w:rFonts w:eastAsia="Arial"/>
              </w:rPr>
            </w:pPr>
            <w:r>
              <w:rPr>
                <w:rFonts w:ascii="Calibri" w:hAnsi="Calibri" w:cs="Calibri"/>
                <w:color w:val="595959"/>
              </w:rPr>
              <w:t>GHG impact of the studied product per unit of analysis</w:t>
            </w:r>
          </w:p>
        </w:tc>
        <w:tc>
          <w:tcPr>
            <w:tcW w:w="1017" w:type="pct"/>
            <w:vAlign w:val="center"/>
          </w:tcPr>
          <w:p w14:paraId="6F974170" w14:textId="5AA7AB1B" w:rsidR="001A4508" w:rsidRPr="006D7C62" w:rsidRDefault="001A4508" w:rsidP="001A4508">
            <w:pPr>
              <w:pStyle w:val="TableText"/>
            </w:pPr>
            <w:r>
              <w:rPr>
                <w:rFonts w:ascii="Calibri" w:hAnsi="Calibri" w:cs="Calibri"/>
                <w:color w:val="595959"/>
              </w:rPr>
              <w:t>GHG Protocol</w:t>
            </w:r>
          </w:p>
        </w:tc>
      </w:tr>
      <w:tr w:rsidR="001A4508" w:rsidRPr="00A7554F" w14:paraId="513BD99C"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08986E78" w14:textId="6050DE19" w:rsidR="001A4508" w:rsidRPr="006D7C62" w:rsidRDefault="31B7E690" w:rsidP="55D15248">
            <w:pPr>
              <w:pStyle w:val="TableText"/>
              <w:rPr>
                <w:rStyle w:val="Strong"/>
                <w:rFonts w:asciiTheme="majorHAnsi" w:hAnsiTheme="majorHAnsi"/>
              </w:rPr>
            </w:pPr>
            <w:r w:rsidRPr="55D15248">
              <w:rPr>
                <w:rStyle w:val="Strong"/>
                <w:rFonts w:asciiTheme="majorHAnsi" w:hAnsiTheme="majorHAnsi"/>
              </w:rPr>
              <w:t>Material</w:t>
            </w:r>
          </w:p>
        </w:tc>
        <w:tc>
          <w:tcPr>
            <w:tcW w:w="2589" w:type="pct"/>
            <w:hideMark/>
          </w:tcPr>
          <w:p w14:paraId="5AD29901" w14:textId="5DC3E30A" w:rsidR="001A4508" w:rsidRPr="006D7C62" w:rsidRDefault="001A4508" w:rsidP="001D36AC">
            <w:pPr>
              <w:pStyle w:val="TableText"/>
            </w:pPr>
            <w:r w:rsidRPr="006D7C62">
              <w:rPr>
                <w:rFonts w:eastAsia="Arial"/>
              </w:rPr>
              <w:t>Physical goods that are further processed (and not consumed) in manufacturing processes.</w:t>
            </w:r>
          </w:p>
        </w:tc>
        <w:tc>
          <w:tcPr>
            <w:tcW w:w="1017" w:type="pct"/>
            <w:hideMark/>
          </w:tcPr>
          <w:p w14:paraId="5C44AA08" w14:textId="2F285301" w:rsidR="001A4508" w:rsidRPr="006D7C62" w:rsidRDefault="001A4508" w:rsidP="001D36AC">
            <w:pPr>
              <w:pStyle w:val="TableText"/>
              <w:rPr>
                <w:lang w:val="de-DE"/>
              </w:rPr>
            </w:pPr>
            <w:r w:rsidRPr="006D7C62">
              <w:t>adapted from WBCSD Pathfinder</w:t>
            </w:r>
          </w:p>
        </w:tc>
      </w:tr>
      <w:tr w:rsidR="001A4508" w:rsidRPr="006D7C62" w14:paraId="74BA329D"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6EC2617A" w14:textId="7932E119" w:rsidR="001A4508" w:rsidRPr="006D7C62" w:rsidRDefault="001A4508" w:rsidP="001A4508">
            <w:pPr>
              <w:pStyle w:val="TableText"/>
              <w:rPr>
                <w:rStyle w:val="Strong"/>
                <w:rFonts w:asciiTheme="majorHAnsi" w:hAnsiTheme="majorHAnsi"/>
              </w:rPr>
            </w:pPr>
            <w:r>
              <w:rPr>
                <w:rFonts w:ascii="Calibri" w:hAnsi="Calibri" w:cs="Calibri"/>
                <w:color w:val="595959"/>
              </w:rPr>
              <w:t>Multi-input-output unit process</w:t>
            </w:r>
          </w:p>
        </w:tc>
        <w:tc>
          <w:tcPr>
            <w:tcW w:w="2589" w:type="pct"/>
          </w:tcPr>
          <w:p w14:paraId="322277F6" w14:textId="2FF27BE9" w:rsidR="001A4508" w:rsidRPr="006D7C62" w:rsidRDefault="001A4508" w:rsidP="001A4508">
            <w:pPr>
              <w:pStyle w:val="TableText"/>
            </w:pPr>
            <w:r>
              <w:rPr>
                <w:rFonts w:ascii="Calibri" w:hAnsi="Calibri" w:cs="Calibri"/>
                <w:color w:val="595959"/>
              </w:rPr>
              <w:t>Operation or process with multiple inputs, such as materials and energy, and multiple outputs, such as co-products and waste</w:t>
            </w:r>
          </w:p>
        </w:tc>
        <w:tc>
          <w:tcPr>
            <w:tcW w:w="1017" w:type="pct"/>
          </w:tcPr>
          <w:p w14:paraId="6F60EEE8" w14:textId="04886EFE" w:rsidR="001A4508" w:rsidRPr="006D7C62" w:rsidRDefault="001A4508" w:rsidP="001A4508">
            <w:pPr>
              <w:pStyle w:val="TableText"/>
            </w:pPr>
            <w:r>
              <w:rPr>
                <w:rFonts w:ascii="Calibri" w:hAnsi="Calibri" w:cs="Calibri"/>
                <w:color w:val="595959"/>
              </w:rPr>
              <w:t>WBCSD Pathfinder</w:t>
            </w:r>
          </w:p>
        </w:tc>
      </w:tr>
      <w:tr w:rsidR="001A4508" w:rsidRPr="006D7C62" w14:paraId="62D0FBC5"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0018144F" w14:textId="136DA235"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Negative emissions</w:t>
            </w:r>
          </w:p>
        </w:tc>
        <w:tc>
          <w:tcPr>
            <w:tcW w:w="2589" w:type="pct"/>
            <w:hideMark/>
          </w:tcPr>
          <w:p w14:paraId="36CFDDFC" w14:textId="125B15D9" w:rsidR="001A4508" w:rsidRPr="006D7C62" w:rsidRDefault="001A4508" w:rsidP="001D36AC">
            <w:pPr>
              <w:pStyle w:val="TableText"/>
            </w:pPr>
            <w:r w:rsidRPr="006D7C62">
              <w:t>Removal of greenhouse gases (GHGs) from the atmosphere by deliberate human activities, i.e., in addition to the removal that would occur via natural carbon cycle processes</w:t>
            </w:r>
          </w:p>
        </w:tc>
        <w:tc>
          <w:tcPr>
            <w:tcW w:w="1017" w:type="pct"/>
            <w:hideMark/>
          </w:tcPr>
          <w:p w14:paraId="5F83EABB" w14:textId="06FF592A" w:rsidR="001A4508" w:rsidRPr="006D7C62" w:rsidRDefault="001A4508" w:rsidP="001D36AC">
            <w:pPr>
              <w:pStyle w:val="TableText"/>
              <w:rPr>
                <w:highlight w:val="yellow"/>
              </w:rPr>
            </w:pPr>
            <w:r w:rsidRPr="006D7C62">
              <w:t>IPCC glossary</w:t>
            </w:r>
          </w:p>
        </w:tc>
      </w:tr>
      <w:tr w:rsidR="001A4508" w:rsidRPr="006D7C62" w14:paraId="7F773876"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0657ADBB" w14:textId="2C70EAEB"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Net negative emissions</w:t>
            </w:r>
          </w:p>
        </w:tc>
        <w:tc>
          <w:tcPr>
            <w:tcW w:w="2589" w:type="pct"/>
            <w:hideMark/>
          </w:tcPr>
          <w:p w14:paraId="6CB08764" w14:textId="751354F1" w:rsidR="001A4508" w:rsidRPr="006D7C62" w:rsidRDefault="001A4508" w:rsidP="001D36AC">
            <w:pPr>
              <w:pStyle w:val="TableText"/>
            </w:pPr>
            <w:r w:rsidRPr="006D7C62">
              <w:t>A situation of net negative emissions is achieved when, as the result of human activities, more green</w:t>
            </w:r>
            <w:r w:rsidRPr="006D7C62">
              <w:softHyphen/>
              <w:t>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p>
        </w:tc>
        <w:tc>
          <w:tcPr>
            <w:tcW w:w="1017" w:type="pct"/>
            <w:hideMark/>
          </w:tcPr>
          <w:p w14:paraId="4B470AD4" w14:textId="22AB9B5C" w:rsidR="001A4508" w:rsidRPr="006D7C62" w:rsidRDefault="001A4508" w:rsidP="001D36AC">
            <w:pPr>
              <w:pStyle w:val="TableText"/>
            </w:pPr>
            <w:r w:rsidRPr="006D7C62">
              <w:t>IPCC glossary</w:t>
            </w:r>
          </w:p>
        </w:tc>
      </w:tr>
      <w:tr w:rsidR="001A4508" w:rsidRPr="006D7C62" w14:paraId="4FB73216"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79FF0C41" w14:textId="254EB56A" w:rsidR="001A4508" w:rsidRPr="006D7C62" w:rsidRDefault="001A4508" w:rsidP="001A4508">
            <w:pPr>
              <w:pStyle w:val="TableText"/>
              <w:rPr>
                <w:rStyle w:val="Strong"/>
                <w:rFonts w:asciiTheme="majorHAnsi" w:hAnsiTheme="majorHAnsi"/>
              </w:rPr>
            </w:pPr>
            <w:r>
              <w:rPr>
                <w:rFonts w:ascii="Calibri" w:hAnsi="Calibri" w:cs="Calibri"/>
                <w:color w:val="595959"/>
              </w:rPr>
              <w:t>Open-loop recycling</w:t>
            </w:r>
          </w:p>
        </w:tc>
        <w:tc>
          <w:tcPr>
            <w:tcW w:w="2589" w:type="pct"/>
          </w:tcPr>
          <w:p w14:paraId="48860CA1" w14:textId="5792581B" w:rsidR="001A4508" w:rsidRPr="006D7C62" w:rsidRDefault="001A4508" w:rsidP="001A4508">
            <w:pPr>
              <w:pStyle w:val="TableText"/>
            </w:pPr>
            <w:r>
              <w:rPr>
                <w:rFonts w:ascii="Calibri" w:hAnsi="Calibri" w:cs="Calibri"/>
                <w:color w:val="595959"/>
              </w:rPr>
              <w:t>In open-loop recycling, the material is reused in other product systems and its inherent properties are changed (e.g., recycled material may have a different chemical composition, a different structure or a higher concen</w:t>
            </w:r>
            <w:r>
              <w:rPr>
                <w:rFonts w:ascii="Calibri" w:hAnsi="Calibri" w:cs="Calibri"/>
                <w:color w:val="595959"/>
              </w:rPr>
              <w:softHyphen/>
              <w:t>tration of dissolved impurities compared to primary material).</w:t>
            </w:r>
          </w:p>
        </w:tc>
        <w:tc>
          <w:tcPr>
            <w:tcW w:w="1017" w:type="pct"/>
          </w:tcPr>
          <w:p w14:paraId="599F4F6F" w14:textId="244AF148" w:rsidR="001A4508" w:rsidRPr="006D7C62" w:rsidRDefault="001A4508" w:rsidP="001A4508">
            <w:pPr>
              <w:pStyle w:val="TableText"/>
            </w:pPr>
            <w:r>
              <w:rPr>
                <w:rFonts w:ascii="Calibri" w:hAnsi="Calibri" w:cs="Calibri"/>
                <w:color w:val="595959"/>
              </w:rPr>
              <w:t>Catena-X PCF Rulebook V2</w:t>
            </w:r>
          </w:p>
        </w:tc>
      </w:tr>
      <w:tr w:rsidR="001A4508" w:rsidRPr="006D7C62" w14:paraId="0D4E13D2"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3EC335F9" w14:textId="21F2E79A"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Output</w:t>
            </w:r>
          </w:p>
        </w:tc>
        <w:tc>
          <w:tcPr>
            <w:tcW w:w="2589" w:type="pct"/>
            <w:hideMark/>
          </w:tcPr>
          <w:p w14:paraId="61FA5AA9" w14:textId="1E5E2E96" w:rsidR="001A4508" w:rsidRPr="006D7C62" w:rsidRDefault="001A4508" w:rsidP="001D36AC">
            <w:pPr>
              <w:pStyle w:val="TableText"/>
            </w:pPr>
            <w:r w:rsidRPr="006D7C62">
              <w:t>Product, material, or energy that leaves a unit process</w:t>
            </w:r>
          </w:p>
        </w:tc>
        <w:tc>
          <w:tcPr>
            <w:tcW w:w="1017" w:type="pct"/>
            <w:hideMark/>
          </w:tcPr>
          <w:p w14:paraId="5C74F0FD" w14:textId="60B954F7" w:rsidR="001A4508" w:rsidRPr="006D7C62" w:rsidRDefault="001A4508" w:rsidP="001D36AC">
            <w:pPr>
              <w:pStyle w:val="TableText"/>
            </w:pPr>
            <w:r w:rsidRPr="001A4508">
              <w:t>DIN EN ISO 14040, Feb. 2021</w:t>
            </w:r>
          </w:p>
        </w:tc>
      </w:tr>
      <w:tr w:rsidR="001A4508" w:rsidRPr="006D7C62" w14:paraId="46F2A061"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075B2713" w14:textId="5D86FFB3"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Packaging</w:t>
            </w:r>
          </w:p>
        </w:tc>
        <w:tc>
          <w:tcPr>
            <w:tcW w:w="2589" w:type="pct"/>
            <w:hideMark/>
          </w:tcPr>
          <w:p w14:paraId="4EF6B7D4" w14:textId="3AE45555" w:rsidR="001A4508" w:rsidRPr="006D7C62" w:rsidRDefault="001A4508" w:rsidP="001D36AC">
            <w:pPr>
              <w:pStyle w:val="TableText"/>
            </w:pPr>
            <w:r w:rsidRPr="006D7C62">
              <w:rPr>
                <w:lang w:val="en-GB"/>
              </w:rPr>
              <w:t xml:space="preserve">Any product to be used for the containment, protection, handling, delivery, storage, transport and presentation of goods, from raw materials to </w:t>
            </w:r>
            <w:r w:rsidRPr="006D7C62">
              <w:rPr>
                <w:lang w:val="en-GB"/>
              </w:rPr>
              <w:lastRenderedPageBreak/>
              <w:t xml:space="preserve">processed goods, from the producer to the user or consumer, including processor, assembler or other intermediary. </w:t>
            </w:r>
          </w:p>
        </w:tc>
        <w:tc>
          <w:tcPr>
            <w:tcW w:w="1017" w:type="pct"/>
            <w:hideMark/>
          </w:tcPr>
          <w:p w14:paraId="69F71522" w14:textId="79A02C72" w:rsidR="001A4508" w:rsidRPr="006D7C62" w:rsidRDefault="001A4508" w:rsidP="001D36AC">
            <w:pPr>
              <w:pStyle w:val="TableText"/>
            </w:pPr>
            <w:r w:rsidRPr="006D7C62">
              <w:rPr>
                <w:lang w:val="en-GB"/>
              </w:rPr>
              <w:lastRenderedPageBreak/>
              <w:t>ISO 21067:2007(en)]</w:t>
            </w:r>
          </w:p>
        </w:tc>
      </w:tr>
      <w:tr w:rsidR="001A4508" w:rsidRPr="001A4508" w14:paraId="13B48A88"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72A234E6" w14:textId="491DBDEA" w:rsidR="001A4508" w:rsidRPr="006D7C62" w:rsidRDefault="001A4508" w:rsidP="001D36AC">
            <w:pPr>
              <w:pStyle w:val="TableText"/>
              <w:rPr>
                <w:rStyle w:val="Strong"/>
                <w:rFonts w:asciiTheme="majorHAnsi" w:hAnsiTheme="majorHAnsi"/>
              </w:rPr>
            </w:pPr>
            <w:r w:rsidRPr="006D7C62">
              <w:rPr>
                <w:rStyle w:val="Strong"/>
                <w:rFonts w:asciiTheme="majorHAnsi" w:hAnsiTheme="majorHAnsi"/>
              </w:rPr>
              <w:t>Partial PCF</w:t>
            </w:r>
          </w:p>
        </w:tc>
        <w:tc>
          <w:tcPr>
            <w:tcW w:w="2589" w:type="pct"/>
          </w:tcPr>
          <w:p w14:paraId="53D45337" w14:textId="788719C0" w:rsidR="001A4508" w:rsidRPr="006D7C62" w:rsidRDefault="001A4508" w:rsidP="001D36AC">
            <w:pPr>
              <w:pStyle w:val="TableText"/>
            </w:pPr>
            <w:r w:rsidRPr="006D7C62">
              <w:t>Sum of GHG emissions and GHG removals of one or more selected process(es) in a product system, expressed as carbon dioxide equivalents and based on the selected stages or processes within the life cycle.</w:t>
            </w:r>
          </w:p>
        </w:tc>
        <w:tc>
          <w:tcPr>
            <w:tcW w:w="1017" w:type="pct"/>
          </w:tcPr>
          <w:p w14:paraId="138941F8" w14:textId="4F7E002E" w:rsidR="001A4508" w:rsidRPr="001A4508" w:rsidRDefault="001A4508" w:rsidP="001D36AC">
            <w:pPr>
              <w:pStyle w:val="TableText"/>
              <w:rPr>
                <w:lang w:val="de-DE"/>
              </w:rPr>
            </w:pPr>
            <w:r w:rsidRPr="006D7C62">
              <w:rPr>
                <w:lang w:val="de-DE"/>
              </w:rPr>
              <w:t>DIN EN ISO 14067,</w:t>
            </w:r>
            <w:r w:rsidRPr="006D7C62">
              <w:rPr>
                <w:lang w:val="de-DE"/>
              </w:rPr>
              <w:br/>
              <w:t>Feb. 2019</w:t>
            </w:r>
          </w:p>
        </w:tc>
      </w:tr>
      <w:tr w:rsidR="001A4508" w:rsidRPr="00A7554F" w14:paraId="23104F7E"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1033492B" w14:textId="004A78D8"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 xml:space="preserve">Primary data </w:t>
            </w:r>
          </w:p>
        </w:tc>
        <w:tc>
          <w:tcPr>
            <w:tcW w:w="2589" w:type="pct"/>
          </w:tcPr>
          <w:p w14:paraId="655D9AA9" w14:textId="77777777" w:rsidR="001A4508" w:rsidRPr="006D7C62" w:rsidRDefault="001A4508" w:rsidP="001A4508">
            <w:pPr>
              <w:rPr>
                <w:rFonts w:asciiTheme="majorHAnsi" w:hAnsiTheme="majorHAnsi"/>
              </w:rPr>
            </w:pPr>
            <w:r w:rsidRPr="006D7C62">
              <w:rPr>
                <w:rFonts w:asciiTheme="majorHAnsi" w:hAnsiTheme="majorHAnsi"/>
              </w:rPr>
              <w:t>Primary data is a quantified value of a process, or an activity obtained from a direct measurement or a calculation based on direct measurements.</w:t>
            </w:r>
          </w:p>
          <w:p w14:paraId="1A8AAE38" w14:textId="53031F62" w:rsidR="001A4508" w:rsidRPr="006D7C62" w:rsidRDefault="001A4508" w:rsidP="001A4508">
            <w:pPr>
              <w:pStyle w:val="TableText"/>
            </w:pPr>
            <w:r w:rsidRPr="006D7C62">
              <w:t xml:space="preserve">Primary data can include greenhouse gas emission factors and/or greenhouse gas activity data. Average data from industry associations or global averages do not qualify as primary data.  </w:t>
            </w:r>
          </w:p>
        </w:tc>
        <w:tc>
          <w:tcPr>
            <w:tcW w:w="1017" w:type="pct"/>
          </w:tcPr>
          <w:p w14:paraId="554A6BA4" w14:textId="54C8621B" w:rsidR="001A4508" w:rsidRPr="006D7C62" w:rsidRDefault="001A4508" w:rsidP="001A4508">
            <w:pPr>
              <w:pStyle w:val="TableText"/>
              <w:rPr>
                <w:lang w:val="de-DE"/>
              </w:rPr>
            </w:pPr>
            <w:r w:rsidRPr="006D7C62">
              <w:rPr>
                <w:lang w:val="de-DE"/>
              </w:rPr>
              <w:t>DIN EN ISO 14067,</w:t>
            </w:r>
            <w:r w:rsidRPr="006D7C62">
              <w:rPr>
                <w:lang w:val="de-DE"/>
              </w:rPr>
              <w:br/>
              <w:t>Feb. 2019</w:t>
            </w:r>
          </w:p>
        </w:tc>
      </w:tr>
      <w:tr w:rsidR="001A4508" w:rsidRPr="006C1918" w14:paraId="7FABFF3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43C6513E" w14:textId="5A33A16B"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Process</w:t>
            </w:r>
          </w:p>
        </w:tc>
        <w:tc>
          <w:tcPr>
            <w:tcW w:w="2589" w:type="pct"/>
          </w:tcPr>
          <w:p w14:paraId="489C2A01" w14:textId="50DA3549" w:rsidR="001A4508" w:rsidRPr="006D7C62" w:rsidRDefault="001A4508" w:rsidP="001A4508">
            <w:pPr>
              <w:rPr>
                <w:rFonts w:asciiTheme="majorHAnsi" w:hAnsiTheme="majorHAnsi"/>
              </w:rPr>
            </w:pPr>
            <w:r w:rsidRPr="006D7C62">
              <w:t>Set of interrelated or interacting activities that transforms inputs into outputs.</w:t>
            </w:r>
          </w:p>
        </w:tc>
        <w:tc>
          <w:tcPr>
            <w:tcW w:w="1017" w:type="pct"/>
          </w:tcPr>
          <w:p w14:paraId="2A043D2F" w14:textId="193E24F6" w:rsidR="001A4508" w:rsidRPr="001A4508" w:rsidRDefault="001A4508" w:rsidP="001A4508">
            <w:pPr>
              <w:pStyle w:val="TableText"/>
              <w:rPr>
                <w:lang w:val="de-DE"/>
              </w:rPr>
            </w:pPr>
            <w:r w:rsidRPr="006D7C62">
              <w:rPr>
                <w:lang w:val="de-DE"/>
              </w:rPr>
              <w:t>DIN EN ISO 14067,</w:t>
            </w:r>
            <w:r w:rsidRPr="006D7C62">
              <w:rPr>
                <w:lang w:val="de-DE"/>
              </w:rPr>
              <w:br/>
              <w:t>Feb. 2019, p. 23</w:t>
            </w:r>
          </w:p>
        </w:tc>
      </w:tr>
      <w:tr w:rsidR="001A4508" w:rsidRPr="00A7554F" w14:paraId="010CC033" w14:textId="77777777" w:rsidTr="00C947DF">
        <w:trPr>
          <w:cnfStyle w:val="000000010000" w:firstRow="0" w:lastRow="0" w:firstColumn="0" w:lastColumn="0" w:oddVBand="0" w:evenVBand="0" w:oddHBand="0" w:evenHBand="1" w:firstRowFirstColumn="0" w:firstRowLastColumn="0" w:lastRowFirstColumn="0" w:lastRowLastColumn="0"/>
          <w:cantSplit/>
        </w:trPr>
        <w:tc>
          <w:tcPr>
            <w:tcW w:w="1394" w:type="pct"/>
          </w:tcPr>
          <w:p w14:paraId="046B3508" w14:textId="170BF1BE" w:rsidR="001A4508" w:rsidRPr="006D7C62" w:rsidRDefault="31B7E690" w:rsidP="55D15248">
            <w:pPr>
              <w:pStyle w:val="TableText"/>
              <w:rPr>
                <w:rStyle w:val="Strong"/>
                <w:rFonts w:asciiTheme="majorHAnsi" w:hAnsiTheme="majorHAnsi"/>
              </w:rPr>
            </w:pPr>
            <w:r w:rsidRPr="55D15248">
              <w:rPr>
                <w:rFonts w:ascii="Calibri" w:hAnsi="Calibri" w:cs="Calibri"/>
                <w:color w:val="595959" w:themeColor="text1" w:themeTint="A6"/>
              </w:rPr>
              <w:t xml:space="preserve">Product </w:t>
            </w:r>
          </w:p>
        </w:tc>
        <w:tc>
          <w:tcPr>
            <w:tcW w:w="2589" w:type="pct"/>
          </w:tcPr>
          <w:p w14:paraId="1FDE292F" w14:textId="524B4E3C" w:rsidR="001A4508" w:rsidRPr="006D7C62" w:rsidRDefault="001A4508" w:rsidP="001A4508">
            <w:pPr>
              <w:pStyle w:val="TableText"/>
            </w:pPr>
            <w:r>
              <w:rPr>
                <w:rFonts w:ascii="Calibri" w:hAnsi="Calibri" w:cs="Calibri"/>
                <w:color w:val="595959"/>
              </w:rPr>
              <w:t xml:space="preserve">any good or service </w:t>
            </w:r>
            <w:r>
              <w:rPr>
                <w:rFonts w:ascii="Calibri" w:hAnsi="Calibri" w:cs="Calibri"/>
                <w:color w:val="595959"/>
              </w:rPr>
              <w:br/>
              <w:t>Note 1: The product can be categorized as follows:</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services (e.g. transport);</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software (e.g. computer program, dictionary);</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hardware (e.g. engine mechanical part);</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processed materials (e.g. lubricant).</w:t>
            </w:r>
            <w:r>
              <w:rPr>
                <w:rFonts w:ascii="Calibri" w:hAnsi="Calibri" w:cs="Calibri"/>
                <w:color w:val="595959"/>
              </w:rPr>
              <w:br/>
              <w:t>Note 2: Services have tangible and intangible elements. Provision of a service can involve, for example, the following:</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an activity performed on a customer-supplied tangible product (e.g. automobile to be repaired);</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an activity performed on a customer-supplied intangible product (e.g. the income statement needed to prepare a tax return);</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the delivery of an intangible product (e.g. the delivery of information in the context of knowledge transmission);</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the creation of ambience for the customer (e.g. in hotels and restaurants).</w:t>
            </w:r>
            <w:r>
              <w:rPr>
                <w:rFonts w:ascii="Calibri" w:hAnsi="Calibri" w:cs="Calibri"/>
                <w:color w:val="595959"/>
              </w:rPr>
              <w:br/>
              <w:t>Software consists of information and is generally intangible and can be in the form of approaches, transactions or procedures.</w:t>
            </w:r>
            <w:r>
              <w:rPr>
                <w:rFonts w:ascii="Calibri" w:hAnsi="Calibri" w:cs="Calibri"/>
                <w:color w:val="595959"/>
              </w:rPr>
              <w:br/>
              <w:t>Hardware is generally tangible and its amount is a countable characteristic. Processed materials are generally tangible and their amount is a continuous characteristic.</w:t>
            </w:r>
          </w:p>
        </w:tc>
        <w:tc>
          <w:tcPr>
            <w:tcW w:w="1017" w:type="pct"/>
          </w:tcPr>
          <w:p w14:paraId="28DEA92C" w14:textId="1A6F1877" w:rsidR="001A4508" w:rsidRPr="006D7C62" w:rsidRDefault="001A4508" w:rsidP="001A4508">
            <w:pPr>
              <w:pStyle w:val="TableText"/>
              <w:rPr>
                <w:lang w:val="de-DE"/>
              </w:rPr>
            </w:pPr>
            <w:r>
              <w:rPr>
                <w:rFonts w:ascii="Calibri" w:hAnsi="Calibri" w:cs="Calibri"/>
                <w:color w:val="595959"/>
              </w:rPr>
              <w:t>DIN EN ISO 14040, Feb. 2021</w:t>
            </w:r>
          </w:p>
        </w:tc>
      </w:tr>
      <w:tr w:rsidR="001A4508" w:rsidRPr="006D7C62" w14:paraId="621850CF"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32004CFF" w14:textId="77777777" w:rsidR="001A4508" w:rsidRDefault="001A4508" w:rsidP="001A4508">
            <w:pPr>
              <w:pStyle w:val="TableText"/>
              <w:rPr>
                <w:rStyle w:val="Strong"/>
                <w:rFonts w:ascii="Calibri" w:hAnsi="Calibri" w:cs="Calibri"/>
                <w:color w:val="595959"/>
              </w:rPr>
            </w:pPr>
            <w:r>
              <w:rPr>
                <w:rFonts w:ascii="Calibri" w:hAnsi="Calibri" w:cs="Calibri"/>
                <w:color w:val="595959"/>
              </w:rPr>
              <w:t xml:space="preserve">Carbon Footprint of a Product </w:t>
            </w:r>
            <w:r>
              <w:rPr>
                <w:rFonts w:ascii="Calibri" w:hAnsi="Calibri" w:cs="Calibri"/>
                <w:color w:val="595959"/>
              </w:rPr>
              <w:br/>
            </w:r>
            <w:r>
              <w:rPr>
                <w:rStyle w:val="Strong"/>
                <w:rFonts w:ascii="Calibri" w:hAnsi="Calibri" w:cs="Calibri"/>
                <w:color w:val="595959"/>
              </w:rPr>
              <w:t>or</w:t>
            </w:r>
          </w:p>
          <w:p w14:paraId="61361561" w14:textId="1926D0F5" w:rsidR="001A4508" w:rsidRPr="006D7C62" w:rsidRDefault="001A4508" w:rsidP="001A4508">
            <w:pPr>
              <w:pStyle w:val="TableText"/>
              <w:rPr>
                <w:rStyle w:val="Strong"/>
                <w:rFonts w:asciiTheme="majorHAnsi" w:hAnsiTheme="majorHAnsi"/>
              </w:rPr>
            </w:pPr>
            <w:r>
              <w:rPr>
                <w:rStyle w:val="Strong"/>
                <w:rFonts w:ascii="Calibri" w:hAnsi="Calibri" w:cs="Calibri"/>
                <w:color w:val="595959"/>
              </w:rPr>
              <w:t>Product Carbon Footprint (PCF)</w:t>
            </w:r>
          </w:p>
        </w:tc>
        <w:tc>
          <w:tcPr>
            <w:tcW w:w="2589" w:type="pct"/>
            <w:hideMark/>
          </w:tcPr>
          <w:p w14:paraId="72DF148F" w14:textId="1A6D3C3F" w:rsidR="001A4508" w:rsidRPr="006D7C62" w:rsidRDefault="001A4508" w:rsidP="001A4508">
            <w:pPr>
              <w:pStyle w:val="TableText"/>
            </w:pPr>
            <w:r>
              <w:rPr>
                <w:rFonts w:ascii="Calibri" w:hAnsi="Calibri" w:cs="Calibri"/>
                <w:color w:val="595959"/>
              </w:rPr>
              <w:t>Sum of GHG emissions and GHG removals in a product system, expressed as</w:t>
            </w:r>
            <w:r>
              <w:rPr>
                <w:rFonts w:ascii="Calibri" w:hAnsi="Calibri" w:cs="Calibri"/>
                <w:color w:val="595959"/>
              </w:rPr>
              <w:br/>
              <w:t>CO2 equivalents and based on a life cycle assessment using the single impact category</w:t>
            </w:r>
            <w:r>
              <w:rPr>
                <w:rFonts w:ascii="Calibri" w:hAnsi="Calibri" w:cs="Calibri"/>
                <w:color w:val="595959"/>
              </w:rPr>
              <w:br/>
              <w:t>of climate change</w:t>
            </w:r>
          </w:p>
        </w:tc>
        <w:tc>
          <w:tcPr>
            <w:tcW w:w="1017" w:type="pct"/>
            <w:hideMark/>
          </w:tcPr>
          <w:p w14:paraId="7324B3F2" w14:textId="67317310" w:rsidR="001A4508" w:rsidRPr="006D7C62" w:rsidRDefault="001A4508" w:rsidP="001A4508">
            <w:pPr>
              <w:pStyle w:val="TableText"/>
              <w:rPr>
                <w:lang w:val="de-DE"/>
              </w:rPr>
            </w:pPr>
            <w:r>
              <w:rPr>
                <w:rFonts w:ascii="Calibri" w:hAnsi="Calibri" w:cs="Calibri"/>
                <w:color w:val="595959"/>
              </w:rPr>
              <w:t>DIN EN ISO 14067, Feb. 2019</w:t>
            </w:r>
          </w:p>
        </w:tc>
      </w:tr>
      <w:tr w:rsidR="001A4508" w:rsidRPr="006D7C62" w14:paraId="3A2EF470"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59E105D1" w14:textId="6C2C3AEB"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Product category</w:t>
            </w:r>
          </w:p>
        </w:tc>
        <w:tc>
          <w:tcPr>
            <w:tcW w:w="2589" w:type="pct"/>
          </w:tcPr>
          <w:p w14:paraId="28A8FCFE" w14:textId="155C6748" w:rsidR="001A4508" w:rsidRPr="006D7C62" w:rsidRDefault="001A4508" w:rsidP="001A4508">
            <w:pPr>
              <w:pStyle w:val="TableText"/>
            </w:pPr>
            <w:r>
              <w:rPr>
                <w:rFonts w:ascii="Calibri" w:hAnsi="Calibri" w:cs="Calibri"/>
                <w:color w:val="595959"/>
              </w:rPr>
              <w:t>Group of products that can fulfill equivalent functions.</w:t>
            </w:r>
          </w:p>
        </w:tc>
        <w:tc>
          <w:tcPr>
            <w:tcW w:w="1017" w:type="pct"/>
          </w:tcPr>
          <w:p w14:paraId="75FE5C7C" w14:textId="4571A4EC" w:rsidR="001A4508" w:rsidRPr="006D7C62" w:rsidRDefault="001A4508" w:rsidP="001A4508">
            <w:pPr>
              <w:pStyle w:val="TableText"/>
              <w:rPr>
                <w:lang w:val="de-DE"/>
              </w:rPr>
            </w:pPr>
            <w:r>
              <w:rPr>
                <w:rFonts w:ascii="Calibri" w:hAnsi="Calibri" w:cs="Calibri"/>
                <w:color w:val="595959"/>
              </w:rPr>
              <w:t>DIN EN ISO 14067, Feb. 2019</w:t>
            </w:r>
          </w:p>
        </w:tc>
      </w:tr>
      <w:tr w:rsidR="001A4508" w:rsidRPr="006D7C62" w14:paraId="64C537D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36643C0A" w14:textId="733E37F3"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Product category rules (PCR)</w:t>
            </w:r>
          </w:p>
        </w:tc>
        <w:tc>
          <w:tcPr>
            <w:tcW w:w="2589" w:type="pct"/>
            <w:hideMark/>
          </w:tcPr>
          <w:p w14:paraId="3E600CD2" w14:textId="271E14A9" w:rsidR="001A4508" w:rsidRPr="006D7C62" w:rsidRDefault="001A4508" w:rsidP="001A4508">
            <w:pPr>
              <w:pStyle w:val="TableText"/>
            </w:pPr>
            <w:r>
              <w:rPr>
                <w:rFonts w:ascii="Calibri" w:hAnsi="Calibri" w:cs="Calibri"/>
                <w:color w:val="595959"/>
              </w:rPr>
              <w:t>Set of specific rules, requirements and guidelines for developing Type III environmental declarations</w:t>
            </w:r>
            <w:r>
              <w:rPr>
                <w:rFonts w:ascii="Calibri" w:hAnsi="Calibri" w:cs="Calibri"/>
                <w:color w:val="595959"/>
              </w:rPr>
              <w:br/>
            </w:r>
            <w:r>
              <w:rPr>
                <w:rFonts w:ascii="Calibri" w:hAnsi="Calibri" w:cs="Calibri"/>
                <w:color w:val="595959"/>
              </w:rPr>
              <w:lastRenderedPageBreak/>
              <w:t>and footprint communications for one or more product categories</w:t>
            </w:r>
          </w:p>
        </w:tc>
        <w:tc>
          <w:tcPr>
            <w:tcW w:w="1017" w:type="pct"/>
            <w:hideMark/>
          </w:tcPr>
          <w:p w14:paraId="05D8AF2E" w14:textId="244AE18D" w:rsidR="001A4508" w:rsidRPr="006D7C62" w:rsidRDefault="001A4508" w:rsidP="001A4508">
            <w:pPr>
              <w:pStyle w:val="TableText"/>
            </w:pPr>
            <w:r>
              <w:rPr>
                <w:rFonts w:ascii="Calibri" w:hAnsi="Calibri" w:cs="Calibri"/>
                <w:color w:val="595959"/>
              </w:rPr>
              <w:lastRenderedPageBreak/>
              <w:t>DIN EN ISO 14040, Feb. 2021</w:t>
            </w:r>
          </w:p>
        </w:tc>
      </w:tr>
      <w:tr w:rsidR="001A4508" w:rsidRPr="006D7C62" w14:paraId="17E0CE11"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7CFC6C40" w14:textId="0C7E5619"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Product system</w:t>
            </w:r>
          </w:p>
        </w:tc>
        <w:tc>
          <w:tcPr>
            <w:tcW w:w="2589" w:type="pct"/>
            <w:hideMark/>
          </w:tcPr>
          <w:p w14:paraId="7AD1CD15" w14:textId="1FA8D045" w:rsidR="001A4508" w:rsidRPr="006D7C62" w:rsidRDefault="001A4508" w:rsidP="001A4508">
            <w:pPr>
              <w:pStyle w:val="TableText"/>
            </w:pPr>
            <w:r w:rsidRPr="006D7C62">
              <w:t xml:space="preserve">Collection of unit processes with elementary and product flows, performing one or more defined functions, and which models the life cycle of a product </w:t>
            </w:r>
          </w:p>
        </w:tc>
        <w:tc>
          <w:tcPr>
            <w:tcW w:w="1017" w:type="pct"/>
            <w:hideMark/>
          </w:tcPr>
          <w:p w14:paraId="5DB585F4" w14:textId="0E1CD562" w:rsidR="001A4508" w:rsidRPr="006D7C62" w:rsidRDefault="001A4508" w:rsidP="001A4508">
            <w:pPr>
              <w:pStyle w:val="TableText"/>
            </w:pPr>
            <w:r w:rsidRPr="006D7C62">
              <w:t>Adapted from ISO 14067: 2019</w:t>
            </w:r>
            <w:r w:rsidRPr="006D7C62">
              <w:br/>
            </w:r>
          </w:p>
        </w:tc>
      </w:tr>
      <w:tr w:rsidR="001A4508" w:rsidRPr="006D7C62" w14:paraId="2AEC7EA1" w14:textId="77777777" w:rsidTr="00C947DF">
        <w:trPr>
          <w:cnfStyle w:val="000000100000" w:firstRow="0" w:lastRow="0" w:firstColumn="0" w:lastColumn="0" w:oddVBand="0" w:evenVBand="0" w:oddHBand="1" w:evenHBand="0" w:firstRowFirstColumn="0" w:firstRowLastColumn="0" w:lastRowFirstColumn="0" w:lastRowLastColumn="0"/>
          <w:trHeight w:val="383"/>
        </w:trPr>
        <w:tc>
          <w:tcPr>
            <w:tcW w:w="1394" w:type="pct"/>
            <w:hideMark/>
          </w:tcPr>
          <w:p w14:paraId="264E0F49" w14:textId="4E201EDC"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Raw material</w:t>
            </w:r>
          </w:p>
        </w:tc>
        <w:tc>
          <w:tcPr>
            <w:tcW w:w="2589" w:type="pct"/>
            <w:hideMark/>
          </w:tcPr>
          <w:p w14:paraId="36D98086" w14:textId="77777777" w:rsidR="001A4508" w:rsidRPr="006D7C62" w:rsidRDefault="001A4508" w:rsidP="001A4508">
            <w:pPr>
              <w:spacing w:after="0"/>
              <w:jc w:val="left"/>
              <w:rPr>
                <w:rFonts w:asciiTheme="majorHAnsi" w:eastAsia="Times New Roman" w:hAnsiTheme="majorHAnsi" w:cs="Times New Roman"/>
                <w:szCs w:val="20"/>
                <w:lang w:eastAsia="de-DE"/>
              </w:rPr>
            </w:pPr>
            <w:r w:rsidRPr="006D7C62">
              <w:rPr>
                <w:rFonts w:asciiTheme="majorHAnsi" w:eastAsia="Times New Roman" w:hAnsiTheme="majorHAnsi" w:cs="Times New Roman"/>
                <w:szCs w:val="20"/>
                <w:lang w:eastAsia="de-DE"/>
              </w:rPr>
              <w:t>Primary or secondary material that is used to produce a semi-finished good, product or service.</w:t>
            </w:r>
          </w:p>
          <w:p w14:paraId="512471AA" w14:textId="77777777" w:rsidR="001A4508" w:rsidRPr="006D7C62" w:rsidRDefault="001A4508" w:rsidP="001A4508">
            <w:pPr>
              <w:spacing w:after="0"/>
              <w:jc w:val="left"/>
              <w:rPr>
                <w:rFonts w:asciiTheme="majorHAnsi" w:eastAsia="Times New Roman" w:hAnsiTheme="majorHAnsi" w:cs="Times New Roman"/>
                <w:szCs w:val="20"/>
                <w:lang w:eastAsia="de-DE"/>
              </w:rPr>
            </w:pPr>
            <w:r w:rsidRPr="006D7C62">
              <w:rPr>
                <w:rFonts w:asciiTheme="majorHAnsi" w:eastAsia="Times New Roman" w:hAnsiTheme="majorHAnsi" w:cs="Times New Roman"/>
                <w:szCs w:val="20"/>
                <w:lang w:eastAsia="de-DE"/>
              </w:rPr>
              <w:t>Secondary material includes recycled material.</w:t>
            </w:r>
          </w:p>
          <w:p w14:paraId="1BAD2456" w14:textId="414CB571" w:rsidR="001A4508" w:rsidRPr="006D7C62" w:rsidRDefault="001A4508" w:rsidP="001A4508">
            <w:pPr>
              <w:pStyle w:val="TableText"/>
            </w:pPr>
          </w:p>
        </w:tc>
        <w:tc>
          <w:tcPr>
            <w:tcW w:w="1017" w:type="pct"/>
            <w:hideMark/>
          </w:tcPr>
          <w:p w14:paraId="5C57AF4A" w14:textId="16CFE3B6" w:rsidR="001A4508" w:rsidRPr="006D7C62" w:rsidRDefault="001A4508" w:rsidP="001A4508">
            <w:pPr>
              <w:pStyle w:val="TableText"/>
            </w:pPr>
            <w:r w:rsidRPr="006D7C62">
              <w:t>Adapted ISO 14040/44</w:t>
            </w:r>
          </w:p>
        </w:tc>
      </w:tr>
      <w:tr w:rsidR="001A4508" w:rsidRPr="006C1918" w14:paraId="3D5212A4" w14:textId="77777777" w:rsidTr="00C947DF">
        <w:trPr>
          <w:cnfStyle w:val="000000010000" w:firstRow="0" w:lastRow="0" w:firstColumn="0" w:lastColumn="0" w:oddVBand="0" w:evenVBand="0" w:oddHBand="0" w:evenHBand="1" w:firstRowFirstColumn="0" w:firstRowLastColumn="0" w:lastRowFirstColumn="0" w:lastRowLastColumn="0"/>
          <w:trHeight w:val="383"/>
        </w:trPr>
        <w:tc>
          <w:tcPr>
            <w:tcW w:w="1394" w:type="pct"/>
            <w:hideMark/>
          </w:tcPr>
          <w:p w14:paraId="4DC2AAAC" w14:textId="291041A6"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Reference flow</w:t>
            </w:r>
          </w:p>
        </w:tc>
        <w:tc>
          <w:tcPr>
            <w:tcW w:w="2589" w:type="pct"/>
            <w:hideMark/>
          </w:tcPr>
          <w:p w14:paraId="401A6D90" w14:textId="6FB35618" w:rsidR="001A4508" w:rsidRPr="006D7C62" w:rsidRDefault="001A4508" w:rsidP="001A4508">
            <w:pPr>
              <w:pStyle w:val="TableText"/>
            </w:pPr>
            <w:r w:rsidRPr="006D7C62">
              <w:t>Measure of the inputs to or outputs from processes in a given product system required to fulfil the function expressed by the functional unit.</w:t>
            </w:r>
          </w:p>
        </w:tc>
        <w:tc>
          <w:tcPr>
            <w:tcW w:w="1017" w:type="pct"/>
            <w:hideMark/>
          </w:tcPr>
          <w:p w14:paraId="50EA086D" w14:textId="26BB7F75" w:rsidR="001A4508" w:rsidRPr="001A4508" w:rsidRDefault="001A4508" w:rsidP="001A4508">
            <w:pPr>
              <w:pStyle w:val="TableText"/>
              <w:rPr>
                <w:lang w:val="de-DE"/>
              </w:rPr>
            </w:pPr>
            <w:r w:rsidRPr="006D7C62">
              <w:rPr>
                <w:lang w:val="de-DE"/>
              </w:rPr>
              <w:t>DIN EN ISO 14067,</w:t>
            </w:r>
            <w:r w:rsidRPr="006D7C62">
              <w:rPr>
                <w:lang w:val="de-DE"/>
              </w:rPr>
              <w:br/>
              <w:t>Feb. 2019, p. 24</w:t>
            </w:r>
          </w:p>
        </w:tc>
      </w:tr>
      <w:tr w:rsidR="001A4508" w:rsidRPr="001A4508" w14:paraId="30BF6EDA"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C36A7A3" w14:textId="41C2F5D6" w:rsidR="001A4508" w:rsidRPr="006D7C62" w:rsidRDefault="001A4508" w:rsidP="001A4508">
            <w:pPr>
              <w:pStyle w:val="TableText"/>
              <w:rPr>
                <w:rStyle w:val="Strong"/>
                <w:rFonts w:asciiTheme="majorHAnsi" w:hAnsiTheme="majorHAnsi"/>
              </w:rPr>
            </w:pPr>
            <w:r>
              <w:rPr>
                <w:rFonts w:ascii="Calibri" w:hAnsi="Calibri" w:cs="Calibri"/>
                <w:color w:val="595959"/>
              </w:rPr>
              <w:t>Reference vehicle</w:t>
            </w:r>
          </w:p>
        </w:tc>
        <w:tc>
          <w:tcPr>
            <w:tcW w:w="2589" w:type="pct"/>
          </w:tcPr>
          <w:p w14:paraId="77C9DB7F" w14:textId="6F5DE2D7" w:rsidR="001A4508" w:rsidRPr="006D7C62" w:rsidRDefault="001A4508" w:rsidP="001A4508">
            <w:pPr>
              <w:pStyle w:val="TableText"/>
            </w:pPr>
            <w:r>
              <w:rPr>
                <w:rFonts w:ascii="Calibri" w:hAnsi="Calibri" w:cs="Calibri"/>
                <w:color w:val="595959"/>
              </w:rPr>
              <w:t>"Reference vehicle" means the version within a type of vehicle, which is identified by the Type Approval Authority, in consultation with the manufacturer and in accordance with the criteria laid down in Annex 1, paragraph 4. to this Regulation, as being the most problematic in terms of reusability, recyclability and recoverability;</w:t>
            </w:r>
          </w:p>
        </w:tc>
        <w:tc>
          <w:tcPr>
            <w:tcW w:w="1017" w:type="pct"/>
          </w:tcPr>
          <w:p w14:paraId="15F69BB0" w14:textId="7FD4329C" w:rsidR="001A4508" w:rsidRPr="006D7C62" w:rsidRDefault="001A4508" w:rsidP="001A4508">
            <w:pPr>
              <w:pStyle w:val="TableText"/>
            </w:pPr>
            <w:r>
              <w:rPr>
                <w:rFonts w:ascii="Calibri" w:hAnsi="Calibri" w:cs="Calibri"/>
                <w:color w:val="595959"/>
              </w:rPr>
              <w:t>UN-R133</w:t>
            </w:r>
          </w:p>
        </w:tc>
      </w:tr>
      <w:tr w:rsidR="001A4508" w:rsidRPr="001A4508" w14:paraId="03E2484D"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10A1FDA4" w14:textId="0C228FBE"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Renewable Energy</w:t>
            </w:r>
          </w:p>
        </w:tc>
        <w:tc>
          <w:tcPr>
            <w:tcW w:w="2589" w:type="pct"/>
            <w:hideMark/>
          </w:tcPr>
          <w:p w14:paraId="3591A985" w14:textId="523B2FB0" w:rsidR="001A4508" w:rsidRPr="006D7C62" w:rsidRDefault="001A4508" w:rsidP="001A4508">
            <w:pPr>
              <w:pStyle w:val="TableText"/>
            </w:pPr>
            <w:r w:rsidRPr="006D7C62">
              <w:t>Energy from renewable sources’ or ‘renewable energy’ means energy from renewable non-fossil sources, namely wind, solar (solar thermal and solar photovo</w:t>
            </w:r>
            <w:r w:rsidRPr="006D7C62">
              <w:softHyphen/>
              <w:t>ltaic) and geothermal energy, ambient energy, tide, wave and other ocean energy, hydropower, biomass, landfill gas, sewage treatment plant gas, and biogas.</w:t>
            </w:r>
          </w:p>
        </w:tc>
        <w:tc>
          <w:tcPr>
            <w:tcW w:w="1017" w:type="pct"/>
            <w:hideMark/>
          </w:tcPr>
          <w:p w14:paraId="30212DAE" w14:textId="21CCC4AC" w:rsidR="001A4508" w:rsidRPr="001A4508" w:rsidRDefault="001A4508" w:rsidP="001A4508">
            <w:pPr>
              <w:pStyle w:val="TableText"/>
              <w:rPr>
                <w:lang w:val="de-DE"/>
              </w:rPr>
            </w:pPr>
            <w:r w:rsidRPr="006D7C62">
              <w:t>Renewable Energy Directive (2018/2001)</w:t>
            </w:r>
          </w:p>
        </w:tc>
      </w:tr>
      <w:tr w:rsidR="001A4508" w:rsidRPr="001A4508" w14:paraId="1D37F762"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AFC6E84" w14:textId="2067CA5F"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Representative product</w:t>
            </w:r>
          </w:p>
        </w:tc>
        <w:tc>
          <w:tcPr>
            <w:tcW w:w="2589" w:type="pct"/>
          </w:tcPr>
          <w:p w14:paraId="61288ECD" w14:textId="3AA22DC1" w:rsidR="001A4508" w:rsidRPr="006D7C62" w:rsidRDefault="001A4508" w:rsidP="001A4508">
            <w:pPr>
              <w:pStyle w:val="TableText"/>
            </w:pPr>
            <w:r w:rsidRPr="006D7C62">
              <w:t>The representative product can be a real or an aver</w:t>
            </w:r>
            <w:r w:rsidRPr="006D7C62">
              <w:softHyphen/>
              <w:t>aged (non-existing) product. The averaged product should be calculated based on sales-weighted characteris</w:t>
            </w:r>
            <w:r w:rsidRPr="006D7C62">
              <w:softHyphen/>
              <w:t>tics of all technologies/materials used in the compa</w:t>
            </w:r>
            <w:r w:rsidRPr="006D7C62">
              <w:softHyphen/>
              <w:t>ny’s production system.</w:t>
            </w:r>
          </w:p>
        </w:tc>
        <w:tc>
          <w:tcPr>
            <w:tcW w:w="1017" w:type="pct"/>
          </w:tcPr>
          <w:p w14:paraId="6BFB27EF" w14:textId="3DABD700" w:rsidR="001A4508" w:rsidRPr="001A4508" w:rsidRDefault="001A4508" w:rsidP="001A4508">
            <w:pPr>
              <w:pStyle w:val="TableText"/>
            </w:pPr>
            <w:r w:rsidRPr="001A4508">
              <w:t>Catena-X PCF Rulebook V</w:t>
            </w:r>
            <w:r>
              <w:t>3</w:t>
            </w:r>
          </w:p>
        </w:tc>
      </w:tr>
      <w:tr w:rsidR="001A4508" w:rsidRPr="006D7C62" w14:paraId="162808BE"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071A3250" w14:textId="494D627D"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Risk management</w:t>
            </w:r>
          </w:p>
        </w:tc>
        <w:tc>
          <w:tcPr>
            <w:tcW w:w="2589" w:type="pct"/>
            <w:hideMark/>
          </w:tcPr>
          <w:p w14:paraId="1308D406" w14:textId="737E93C6" w:rsidR="001A4508" w:rsidRPr="006D7C62" w:rsidRDefault="001A4508" w:rsidP="001A4508">
            <w:pPr>
              <w:pStyle w:val="TableText"/>
            </w:pPr>
            <w:r w:rsidRPr="006D7C62">
              <w:t>Plans, actions, strategies, or policies to reduce the likelihood and/or consequences of risks or to respond to consequences.</w:t>
            </w:r>
          </w:p>
        </w:tc>
        <w:tc>
          <w:tcPr>
            <w:tcW w:w="1017" w:type="pct"/>
            <w:hideMark/>
          </w:tcPr>
          <w:p w14:paraId="54BA9D0E" w14:textId="4B16BEEE" w:rsidR="001A4508" w:rsidRPr="006D7C62" w:rsidRDefault="001A4508" w:rsidP="001A4508">
            <w:pPr>
              <w:pStyle w:val="TableText"/>
              <w:rPr>
                <w:lang w:val="de-DE"/>
              </w:rPr>
            </w:pPr>
            <w:r w:rsidRPr="006D7C62">
              <w:t>IPCC Glossary</w:t>
            </w:r>
          </w:p>
        </w:tc>
      </w:tr>
      <w:tr w:rsidR="001A4508" w:rsidRPr="001A4508" w14:paraId="66E53249"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18E40EA8" w14:textId="305AA232"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 xml:space="preserve">Secondary data </w:t>
            </w:r>
          </w:p>
        </w:tc>
        <w:tc>
          <w:tcPr>
            <w:tcW w:w="2589" w:type="pct"/>
          </w:tcPr>
          <w:p w14:paraId="00130E43" w14:textId="0358AE13" w:rsidR="001A4508" w:rsidRPr="006D7C62" w:rsidRDefault="001A4508" w:rsidP="001A4508">
            <w:pPr>
              <w:pStyle w:val="TableText"/>
            </w:pPr>
            <w:r>
              <w:rPr>
                <w:rFonts w:ascii="Calibri" w:hAnsi="Calibri" w:cs="Calibri"/>
                <w:color w:val="595959"/>
              </w:rPr>
              <w:t xml:space="preserve">Data which do not fulfil the requirements for primary data. </w:t>
            </w:r>
            <w:r>
              <w:rPr>
                <w:rFonts w:ascii="Calibri" w:hAnsi="Calibri" w:cs="Calibri"/>
                <w:color w:val="595959"/>
              </w:rPr>
              <w:br/>
              <w:t>Note 1: Secondary data can include data from databases and published literature, default emission factors from national inventories, calculated data, estimates or other representative data, validated by competent authorities.</w:t>
            </w:r>
            <w:r>
              <w:rPr>
                <w:rFonts w:ascii="Calibri" w:hAnsi="Calibri" w:cs="Calibri"/>
                <w:color w:val="595959"/>
              </w:rPr>
              <w:br/>
              <w:t>Note 2: Secondary data can include data obtained from proxy processes or estimates.</w:t>
            </w:r>
          </w:p>
        </w:tc>
        <w:tc>
          <w:tcPr>
            <w:tcW w:w="1017" w:type="pct"/>
          </w:tcPr>
          <w:p w14:paraId="7616E1E6" w14:textId="2C06F93C" w:rsidR="001A4508" w:rsidRPr="001A4508" w:rsidRDefault="001A4508" w:rsidP="001A4508">
            <w:pPr>
              <w:pStyle w:val="TableText"/>
              <w:rPr>
                <w:lang w:val="de-DE"/>
              </w:rPr>
            </w:pPr>
            <w:r>
              <w:rPr>
                <w:rFonts w:ascii="Calibri" w:hAnsi="Calibri" w:cs="Calibri"/>
                <w:color w:val="595959"/>
              </w:rPr>
              <w:t>DIN EN ISO 14067, Feb. 2019</w:t>
            </w:r>
          </w:p>
        </w:tc>
      </w:tr>
      <w:tr w:rsidR="001A4508" w:rsidRPr="001A4508" w14:paraId="070C6838"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01C6FA35" w14:textId="1F3B537A"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Sectoral guideline</w:t>
            </w:r>
          </w:p>
        </w:tc>
        <w:tc>
          <w:tcPr>
            <w:tcW w:w="2589" w:type="pct"/>
          </w:tcPr>
          <w:p w14:paraId="49797502" w14:textId="4EB4B055" w:rsidR="001A4508" w:rsidRPr="006D7C62" w:rsidRDefault="001A4508" w:rsidP="001A4508">
            <w:pPr>
              <w:pStyle w:val="TableText"/>
            </w:pPr>
            <w:r w:rsidRPr="006D7C62">
              <w:rPr>
                <w:spacing w:val="-4"/>
              </w:rPr>
              <w:t xml:space="preserve">PCF reporting rules issued by industry associations or initiatives as guidance for their members, </w:t>
            </w:r>
          </w:p>
        </w:tc>
        <w:tc>
          <w:tcPr>
            <w:tcW w:w="1017" w:type="pct"/>
          </w:tcPr>
          <w:p w14:paraId="538A9895" w14:textId="2E4CDAE3" w:rsidR="001A4508" w:rsidRPr="001A4508" w:rsidRDefault="001A4508" w:rsidP="001A4508">
            <w:pPr>
              <w:pStyle w:val="TableText"/>
            </w:pPr>
            <w:r w:rsidRPr="001A4508">
              <w:t>Catena-X PCF Rulebook V</w:t>
            </w:r>
            <w:r>
              <w:t>3</w:t>
            </w:r>
          </w:p>
        </w:tc>
      </w:tr>
      <w:tr w:rsidR="001A4508" w:rsidRPr="001A4508" w14:paraId="3DAA0EEE"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00A5EECC" w14:textId="65D35227" w:rsidR="001A4508" w:rsidRPr="006D7C62" w:rsidRDefault="001A4508" w:rsidP="001A4508">
            <w:pPr>
              <w:pStyle w:val="TableText"/>
              <w:rPr>
                <w:rStyle w:val="Strong"/>
                <w:rFonts w:asciiTheme="majorHAnsi" w:hAnsiTheme="majorHAnsi"/>
              </w:rPr>
            </w:pPr>
            <w:r>
              <w:rPr>
                <w:rFonts w:ascii="Calibri" w:hAnsi="Calibri" w:cs="Calibri"/>
                <w:color w:val="595959"/>
              </w:rPr>
              <w:t>Sensitivity analysis</w:t>
            </w:r>
          </w:p>
        </w:tc>
        <w:tc>
          <w:tcPr>
            <w:tcW w:w="2589" w:type="pct"/>
          </w:tcPr>
          <w:p w14:paraId="78C6B0CB" w14:textId="770392A2" w:rsidR="001A4508" w:rsidRPr="006D7C62" w:rsidRDefault="001A4508" w:rsidP="001A4508">
            <w:pPr>
              <w:pStyle w:val="TableText"/>
              <w:rPr>
                <w:spacing w:val="-4"/>
              </w:rPr>
            </w:pPr>
            <w:r>
              <w:rPr>
                <w:rFonts w:ascii="Calibri" w:hAnsi="Calibri" w:cs="Calibri"/>
                <w:color w:val="595959"/>
              </w:rPr>
              <w:t>Systematic procedures for estimating the effects of the choices made regarding methods and data on the outcome of a CFP study</w:t>
            </w:r>
          </w:p>
        </w:tc>
        <w:tc>
          <w:tcPr>
            <w:tcW w:w="1017" w:type="pct"/>
          </w:tcPr>
          <w:p w14:paraId="79794DC9" w14:textId="5F1D4357" w:rsidR="001A4508" w:rsidRPr="001A4508" w:rsidRDefault="001A4508" w:rsidP="001A4508">
            <w:pPr>
              <w:pStyle w:val="TableText"/>
            </w:pPr>
            <w:r>
              <w:rPr>
                <w:rFonts w:ascii="Calibri" w:hAnsi="Calibri" w:cs="Calibri"/>
                <w:color w:val="595959"/>
              </w:rPr>
              <w:t>DIN EN ISO 14067, Feb. 2019</w:t>
            </w:r>
          </w:p>
        </w:tc>
      </w:tr>
      <w:tr w:rsidR="001A4508" w:rsidRPr="001A4508" w14:paraId="2053AA3E"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0206E8E4" w14:textId="51A6499F"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Supplier gate</w:t>
            </w:r>
          </w:p>
        </w:tc>
        <w:tc>
          <w:tcPr>
            <w:tcW w:w="2589" w:type="pct"/>
            <w:hideMark/>
          </w:tcPr>
          <w:p w14:paraId="5E211D50" w14:textId="3E543E3B" w:rsidR="001A4508" w:rsidRPr="006D7C62" w:rsidRDefault="001A4508" w:rsidP="001A4508">
            <w:pPr>
              <w:pStyle w:val="TableText"/>
            </w:pPr>
            <w:r w:rsidRPr="006D7C62">
              <w:rPr>
                <w:spacing w:val="-4"/>
              </w:rPr>
              <w:t>The supplier's factory (out-bound) gate, through which the product leaves the production site and is ready for shipment to the customer.</w:t>
            </w:r>
          </w:p>
        </w:tc>
        <w:tc>
          <w:tcPr>
            <w:tcW w:w="1017" w:type="pct"/>
            <w:hideMark/>
          </w:tcPr>
          <w:p w14:paraId="376E5F88" w14:textId="55760FDA" w:rsidR="001A4508" w:rsidRPr="001A4508" w:rsidRDefault="001A4508" w:rsidP="001A4508">
            <w:pPr>
              <w:pStyle w:val="TableText"/>
              <w:rPr>
                <w:strike/>
              </w:rPr>
            </w:pPr>
            <w:r w:rsidRPr="001A4508">
              <w:t>Catena-X PCF Rulebook V</w:t>
            </w:r>
            <w:r>
              <w:t>3</w:t>
            </w:r>
          </w:p>
        </w:tc>
      </w:tr>
      <w:tr w:rsidR="001A4508" w:rsidRPr="001A4508" w14:paraId="1BDD599D"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44B6CB17" w14:textId="0EE70192"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lastRenderedPageBreak/>
              <w:t>Supply chain</w:t>
            </w:r>
          </w:p>
        </w:tc>
        <w:tc>
          <w:tcPr>
            <w:tcW w:w="2589" w:type="pct"/>
          </w:tcPr>
          <w:p w14:paraId="3399FE88" w14:textId="162FAD5A" w:rsidR="001A4508" w:rsidRPr="006D7C62" w:rsidRDefault="001A4508" w:rsidP="001A4508">
            <w:pPr>
              <w:pStyle w:val="TableText"/>
            </w:pPr>
            <w:r w:rsidRPr="006D7C62">
              <w:t>Those involved, through upstream and downstream linkages, in process and activities relating to the provision of products to the user.</w:t>
            </w:r>
          </w:p>
        </w:tc>
        <w:tc>
          <w:tcPr>
            <w:tcW w:w="1017" w:type="pct"/>
          </w:tcPr>
          <w:p w14:paraId="35C684B1" w14:textId="0A1D2478" w:rsidR="001A4508" w:rsidRPr="001A4508" w:rsidRDefault="001A4508" w:rsidP="001A4508">
            <w:pPr>
              <w:pStyle w:val="TableText"/>
              <w:rPr>
                <w:lang w:val="de-DE"/>
              </w:rPr>
            </w:pPr>
            <w:r w:rsidRPr="006D7C62">
              <w:rPr>
                <w:lang w:val="de-DE"/>
              </w:rPr>
              <w:t>DIN EN ISO 14067,</w:t>
            </w:r>
            <w:r w:rsidRPr="006D7C62">
              <w:rPr>
                <w:lang w:val="de-DE"/>
              </w:rPr>
              <w:br/>
              <w:t>Feb. 2019</w:t>
            </w:r>
          </w:p>
        </w:tc>
      </w:tr>
      <w:tr w:rsidR="001A4508" w:rsidRPr="001A4508" w14:paraId="473DE606"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15C39150" w14:textId="29BCD847"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Sustainability</w:t>
            </w:r>
          </w:p>
        </w:tc>
        <w:tc>
          <w:tcPr>
            <w:tcW w:w="2589" w:type="pct"/>
            <w:hideMark/>
          </w:tcPr>
          <w:p w14:paraId="0AAA6329" w14:textId="457DD61B" w:rsidR="001A4508" w:rsidRPr="006D7C62" w:rsidRDefault="001A4508" w:rsidP="001A4508">
            <w:pPr>
              <w:pStyle w:val="TableText"/>
            </w:pPr>
            <w:r w:rsidRPr="006D7C62">
              <w:t>A dynamic process that guarantees the persistence of natural and human systems in an equitable manner.</w:t>
            </w:r>
          </w:p>
        </w:tc>
        <w:tc>
          <w:tcPr>
            <w:tcW w:w="1017" w:type="pct"/>
            <w:hideMark/>
          </w:tcPr>
          <w:p w14:paraId="45AADF1B" w14:textId="11825AF5" w:rsidR="001A4508" w:rsidRPr="001A4508" w:rsidRDefault="001A4508" w:rsidP="001A4508">
            <w:pPr>
              <w:pStyle w:val="TableText"/>
              <w:rPr>
                <w:lang w:val="de-DE"/>
              </w:rPr>
            </w:pPr>
            <w:r w:rsidRPr="006D7C62">
              <w:t>IPCC Glossary, p. 49</w:t>
            </w:r>
          </w:p>
        </w:tc>
      </w:tr>
      <w:tr w:rsidR="001A4508" w:rsidRPr="00A7554F" w14:paraId="423C964E"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2CAE5E81" w14:textId="732391A8"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System boundary</w:t>
            </w:r>
          </w:p>
        </w:tc>
        <w:tc>
          <w:tcPr>
            <w:tcW w:w="2589" w:type="pct"/>
          </w:tcPr>
          <w:p w14:paraId="386C4B0A" w14:textId="771E09B0" w:rsidR="001A4508" w:rsidRPr="006D7C62" w:rsidRDefault="001A4508" w:rsidP="001A4508">
            <w:pPr>
              <w:pStyle w:val="TableText"/>
              <w:rPr>
                <w:spacing w:val="-4"/>
              </w:rPr>
            </w:pPr>
            <w:r w:rsidRPr="006D7C62">
              <w:t>Boundary based on a set of criteria representing which unit processes are a part of the system under study.</w:t>
            </w:r>
          </w:p>
        </w:tc>
        <w:tc>
          <w:tcPr>
            <w:tcW w:w="1017" w:type="pct"/>
          </w:tcPr>
          <w:p w14:paraId="2D877FBF" w14:textId="0A8ADB86" w:rsidR="001A4508" w:rsidRPr="006D7C62" w:rsidRDefault="001A4508" w:rsidP="001A4508">
            <w:pPr>
              <w:pStyle w:val="TableText"/>
              <w:rPr>
                <w:lang w:val="de-DE"/>
              </w:rPr>
            </w:pPr>
            <w:r w:rsidRPr="006D7C62">
              <w:rPr>
                <w:lang w:val="de-DE"/>
              </w:rPr>
              <w:t>DIN EN ISO 14040, Feb. 2021</w:t>
            </w:r>
          </w:p>
        </w:tc>
      </w:tr>
      <w:tr w:rsidR="001A4508" w:rsidRPr="001A4508" w14:paraId="1F48B9E7"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295F18F6" w14:textId="5BD03869" w:rsidR="001A4508" w:rsidRPr="006D7C62" w:rsidRDefault="001A4508" w:rsidP="001A4508">
            <w:pPr>
              <w:pStyle w:val="TableText"/>
              <w:rPr>
                <w:rStyle w:val="Strong"/>
                <w:rFonts w:asciiTheme="majorHAnsi" w:hAnsiTheme="majorHAnsi"/>
              </w:rPr>
            </w:pPr>
            <w:r>
              <w:rPr>
                <w:rFonts w:ascii="Calibri" w:hAnsi="Calibri" w:cs="Calibri"/>
                <w:color w:val="595959"/>
              </w:rPr>
              <w:t>Type III environmental declarations</w:t>
            </w:r>
          </w:p>
        </w:tc>
        <w:tc>
          <w:tcPr>
            <w:tcW w:w="2589" w:type="pct"/>
          </w:tcPr>
          <w:p w14:paraId="404D5B0D" w14:textId="5E1104E9" w:rsidR="001A4508" w:rsidRPr="006D7C62" w:rsidRDefault="001A4508" w:rsidP="001A4508">
            <w:pPr>
              <w:pStyle w:val="TableText"/>
              <w:rPr>
                <w:spacing w:val="-4"/>
              </w:rPr>
            </w:pPr>
            <w:r>
              <w:rPr>
                <w:rFonts w:ascii="Calibri" w:hAnsi="Calibri" w:cs="Calibri"/>
                <w:color w:val="595959"/>
              </w:rPr>
              <w:t>Type III environmental declarations present quantified environmental information on the life cycle of a product to enable comparisons between products fulfilling the same function. Such declarations</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are provided by one or more organizations,</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are based on independently verifiedlife cycle assessment (LCA) data, life cycle inventory analysis (LCI) data or information modules in accordance with the ISO 14040 series of standards and, where relevant, additional environmental information,</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are developed using predetermined parameters, and</w:t>
            </w:r>
            <w:r>
              <w:rPr>
                <w:rFonts w:ascii="Calibri" w:hAnsi="Calibri" w:cs="Calibri"/>
                <w:color w:val="595959"/>
              </w:rPr>
              <w:br/>
            </w:r>
            <w:r>
              <w:rPr>
                <w:rFonts w:ascii="Cambria Math" w:hAnsi="Cambria Math" w:cs="Cambria Math"/>
                <w:color w:val="595959"/>
              </w:rPr>
              <w:t>⎯</w:t>
            </w:r>
            <w:r>
              <w:rPr>
                <w:rFonts w:ascii="Calibri" w:hAnsi="Calibri" w:cs="Calibri"/>
                <w:color w:val="595959"/>
              </w:rPr>
              <w:t xml:space="preserve"> are subject to the administration of a programme operator, such as a company or a group of companies, industrial sector or trade association, public authorities or agencies, or an independent scientific body or other organization.</w:t>
            </w:r>
          </w:p>
        </w:tc>
        <w:tc>
          <w:tcPr>
            <w:tcW w:w="1017" w:type="pct"/>
          </w:tcPr>
          <w:p w14:paraId="72AAD8B6" w14:textId="4DF646A5" w:rsidR="001A4508" w:rsidRPr="006D7C62" w:rsidRDefault="001A4508" w:rsidP="001A4508">
            <w:pPr>
              <w:pStyle w:val="TableText"/>
              <w:rPr>
                <w:lang w:val="de-DE"/>
              </w:rPr>
            </w:pPr>
            <w:r>
              <w:rPr>
                <w:rFonts w:ascii="Calibri" w:hAnsi="Calibri" w:cs="Calibri"/>
                <w:color w:val="595959"/>
              </w:rPr>
              <w:t>DIN EN ISO 14025, Oct. 2011</w:t>
            </w:r>
          </w:p>
        </w:tc>
      </w:tr>
      <w:tr w:rsidR="001A4508" w:rsidRPr="00A7554F" w14:paraId="0B790AE0"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44108917" w14:textId="304533D2" w:rsidR="001A4508" w:rsidRPr="006D7C62" w:rsidRDefault="001A4508" w:rsidP="001A4508">
            <w:pPr>
              <w:pStyle w:val="TableText"/>
              <w:rPr>
                <w:rStyle w:val="Strong"/>
                <w:rFonts w:asciiTheme="majorHAnsi" w:hAnsiTheme="majorHAnsi"/>
              </w:rPr>
            </w:pPr>
            <w:r w:rsidRPr="006D7C62">
              <w:rPr>
                <w:lang w:val="en-GB"/>
              </w:rPr>
              <w:t>Transport / distribution packaging</w:t>
            </w:r>
          </w:p>
        </w:tc>
        <w:tc>
          <w:tcPr>
            <w:tcW w:w="2589" w:type="pct"/>
          </w:tcPr>
          <w:p w14:paraId="49681DB5" w14:textId="158AB8BC" w:rsidR="001A4508" w:rsidRPr="006D7C62" w:rsidRDefault="001A4508" w:rsidP="001A4508">
            <w:pPr>
              <w:pStyle w:val="TableText"/>
            </w:pPr>
            <w:r w:rsidRPr="006D7C62">
              <w:rPr>
                <w:lang w:val="en-GB"/>
              </w:rPr>
              <w:t xml:space="preserve">Packaging designed to contain one or more articles or packages, or bulk material, for the purposes of transport, handling and/or distribution. </w:t>
            </w:r>
          </w:p>
        </w:tc>
        <w:tc>
          <w:tcPr>
            <w:tcW w:w="1017" w:type="pct"/>
          </w:tcPr>
          <w:p w14:paraId="3A48873D" w14:textId="0C1D88E7" w:rsidR="001A4508" w:rsidRPr="006D7C62" w:rsidRDefault="001A4508" w:rsidP="001A4508">
            <w:pPr>
              <w:pStyle w:val="TableText"/>
              <w:rPr>
                <w:lang w:val="de-DE"/>
              </w:rPr>
            </w:pPr>
            <w:r w:rsidRPr="006D7C62">
              <w:rPr>
                <w:lang w:val="en-GB"/>
              </w:rPr>
              <w:t>ISO</w:t>
            </w:r>
            <w:r>
              <w:rPr>
                <w:lang w:val="en-GB"/>
              </w:rPr>
              <w:t xml:space="preserve"> </w:t>
            </w:r>
            <w:r w:rsidRPr="006D7C62">
              <w:rPr>
                <w:lang w:val="en-GB"/>
              </w:rPr>
              <w:t>21067:</w:t>
            </w:r>
            <w:r>
              <w:rPr>
                <w:lang w:val="en-GB"/>
              </w:rPr>
              <w:t xml:space="preserve"> </w:t>
            </w:r>
            <w:r w:rsidRPr="006D7C62">
              <w:rPr>
                <w:lang w:val="en-GB"/>
              </w:rPr>
              <w:t>2007(en)</w:t>
            </w:r>
          </w:p>
        </w:tc>
      </w:tr>
      <w:tr w:rsidR="001A4508" w:rsidRPr="00A7554F" w14:paraId="7678AFEB"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tcPr>
          <w:p w14:paraId="3DA2F370" w14:textId="114363C3"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Unit process</w:t>
            </w:r>
          </w:p>
        </w:tc>
        <w:tc>
          <w:tcPr>
            <w:tcW w:w="2589" w:type="pct"/>
          </w:tcPr>
          <w:p w14:paraId="2F61F524" w14:textId="5DC8A72F" w:rsidR="001A4508" w:rsidRPr="006D7C62" w:rsidRDefault="001A4508" w:rsidP="001A4508">
            <w:pPr>
              <w:pStyle w:val="TableText"/>
            </w:pPr>
            <w:r w:rsidRPr="006D7C62">
              <w:t xml:space="preserve">Smallest element considered in the life cycle inventory </w:t>
            </w:r>
            <w:r w:rsidRPr="006D7C62">
              <w:rPr>
                <w:spacing w:val="-4"/>
              </w:rPr>
              <w:t>analysis for which input, and output data are quantified.</w:t>
            </w:r>
          </w:p>
        </w:tc>
        <w:tc>
          <w:tcPr>
            <w:tcW w:w="1017" w:type="pct"/>
          </w:tcPr>
          <w:p w14:paraId="5C063DAB" w14:textId="15DF4111" w:rsidR="001A4508" w:rsidRPr="006D7C62" w:rsidRDefault="001A4508" w:rsidP="001A4508">
            <w:pPr>
              <w:pStyle w:val="TableText"/>
              <w:rPr>
                <w:lang w:val="de-DE"/>
              </w:rPr>
            </w:pPr>
            <w:r w:rsidRPr="006D7C62">
              <w:rPr>
                <w:lang w:val="de-DE"/>
              </w:rPr>
              <w:t>DIN EN ISO 14067,</w:t>
            </w:r>
            <w:r w:rsidRPr="006D7C62">
              <w:rPr>
                <w:lang w:val="de-DE"/>
              </w:rPr>
              <w:br/>
              <w:t>Feb. 2019</w:t>
            </w:r>
          </w:p>
        </w:tc>
      </w:tr>
      <w:tr w:rsidR="001A4508" w:rsidRPr="001A4508" w14:paraId="351A4843"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tcPr>
          <w:p w14:paraId="0F01D2AB" w14:textId="1AFD912E"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Upstream emissions</w:t>
            </w:r>
          </w:p>
        </w:tc>
        <w:tc>
          <w:tcPr>
            <w:tcW w:w="2589" w:type="pct"/>
          </w:tcPr>
          <w:p w14:paraId="53FBAD2E" w14:textId="72A31D88" w:rsidR="001A4508" w:rsidRPr="006D7C62" w:rsidRDefault="001A4508" w:rsidP="001A4508">
            <w:pPr>
              <w:jc w:val="left"/>
              <w:rPr>
                <w:rFonts w:asciiTheme="majorHAnsi" w:hAnsiTheme="majorHAnsi"/>
              </w:rPr>
            </w:pPr>
            <w:r w:rsidRPr="006D7C62">
              <w:rPr>
                <w:spacing w:val="-4"/>
              </w:rPr>
              <w:t>Indirect GHG emissions that occur in the value chain prior to the processes owned or controlled by the reporting company. All upstream transportation emissions are also included as part of upstream emissions.</w:t>
            </w:r>
          </w:p>
        </w:tc>
        <w:tc>
          <w:tcPr>
            <w:tcW w:w="1017" w:type="pct"/>
          </w:tcPr>
          <w:p w14:paraId="792FAD5A" w14:textId="7A2B4B2D" w:rsidR="001A4508" w:rsidRPr="001A4508" w:rsidRDefault="001A4508" w:rsidP="001A4508">
            <w:pPr>
              <w:pStyle w:val="TableText"/>
              <w:rPr>
                <w:lang w:val="de-DE"/>
              </w:rPr>
            </w:pPr>
            <w:r w:rsidRPr="006D7C62">
              <w:t>WBCSD Pathfinder</w:t>
            </w:r>
          </w:p>
        </w:tc>
      </w:tr>
      <w:tr w:rsidR="001A4508" w:rsidRPr="00A7554F" w14:paraId="20172C85"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4C5301D7" w14:textId="3751D6CC"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Use stage</w:t>
            </w:r>
          </w:p>
        </w:tc>
        <w:tc>
          <w:tcPr>
            <w:tcW w:w="2589" w:type="pct"/>
            <w:hideMark/>
          </w:tcPr>
          <w:p w14:paraId="277A643B" w14:textId="6F5D495A" w:rsidR="001A4508" w:rsidRPr="006D7C62" w:rsidRDefault="001A4508" w:rsidP="001A4508">
            <w:pPr>
              <w:pStyle w:val="TableText"/>
            </w:pPr>
            <w:r w:rsidRPr="006D7C62">
              <w:t>That part of the life cycle of a product that occurs between the transfer of the product to the consumer and the end-of-life of the product.</w:t>
            </w:r>
          </w:p>
        </w:tc>
        <w:tc>
          <w:tcPr>
            <w:tcW w:w="1017" w:type="pct"/>
            <w:hideMark/>
          </w:tcPr>
          <w:p w14:paraId="1D63FE15" w14:textId="282E882B" w:rsidR="001A4508" w:rsidRPr="006D7C62" w:rsidRDefault="001A4508" w:rsidP="001A4508">
            <w:pPr>
              <w:pStyle w:val="TableText"/>
              <w:rPr>
                <w:lang w:val="de-DE"/>
              </w:rPr>
            </w:pPr>
            <w:r w:rsidRPr="006D7C62">
              <w:t>Adapted from WBCSD Pathfinder</w:t>
            </w:r>
          </w:p>
        </w:tc>
      </w:tr>
      <w:tr w:rsidR="001A4508" w:rsidRPr="006D7C62" w14:paraId="3C0F27DE" w14:textId="77777777" w:rsidTr="00C947DF">
        <w:trPr>
          <w:cnfStyle w:val="000000100000" w:firstRow="0" w:lastRow="0" w:firstColumn="0" w:lastColumn="0" w:oddVBand="0" w:evenVBand="0" w:oddHBand="1" w:evenHBand="0" w:firstRowFirstColumn="0" w:firstRowLastColumn="0" w:lastRowFirstColumn="0" w:lastRowLastColumn="0"/>
        </w:trPr>
        <w:tc>
          <w:tcPr>
            <w:tcW w:w="1394" w:type="pct"/>
            <w:hideMark/>
          </w:tcPr>
          <w:p w14:paraId="3413A955" w14:textId="2AE6420D"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Value chain</w:t>
            </w:r>
          </w:p>
        </w:tc>
        <w:tc>
          <w:tcPr>
            <w:tcW w:w="2589" w:type="pct"/>
            <w:hideMark/>
          </w:tcPr>
          <w:p w14:paraId="7153F280" w14:textId="0D5CB357" w:rsidR="001A4508" w:rsidRPr="006D7C62" w:rsidRDefault="001A4508" w:rsidP="001A4508">
            <w:pPr>
              <w:pStyle w:val="TableText"/>
            </w:pPr>
            <w:r w:rsidRPr="006D7C62">
              <w:t>All the upstream and downstream activities associated with the product system.</w:t>
            </w:r>
          </w:p>
        </w:tc>
        <w:tc>
          <w:tcPr>
            <w:tcW w:w="1017" w:type="pct"/>
            <w:hideMark/>
          </w:tcPr>
          <w:p w14:paraId="3C8B036C" w14:textId="3858D564" w:rsidR="001A4508" w:rsidRPr="001A4508" w:rsidRDefault="001A4508" w:rsidP="001A4508">
            <w:pPr>
              <w:pStyle w:val="TableText"/>
            </w:pPr>
          </w:p>
        </w:tc>
      </w:tr>
      <w:tr w:rsidR="001A4508" w:rsidRPr="006D7C62" w14:paraId="43CCA196" w14:textId="77777777" w:rsidTr="00C947DF">
        <w:trPr>
          <w:cnfStyle w:val="000000010000" w:firstRow="0" w:lastRow="0" w:firstColumn="0" w:lastColumn="0" w:oddVBand="0" w:evenVBand="0" w:oddHBand="0" w:evenHBand="1" w:firstRowFirstColumn="0" w:firstRowLastColumn="0" w:lastRowFirstColumn="0" w:lastRowLastColumn="0"/>
        </w:trPr>
        <w:tc>
          <w:tcPr>
            <w:tcW w:w="1394" w:type="pct"/>
            <w:hideMark/>
          </w:tcPr>
          <w:p w14:paraId="2C793D20" w14:textId="527E8F1B" w:rsidR="001A4508" w:rsidRPr="006D7C62" w:rsidRDefault="001A4508" w:rsidP="001A4508">
            <w:pPr>
              <w:pStyle w:val="TableText"/>
              <w:rPr>
                <w:rStyle w:val="Strong"/>
                <w:rFonts w:asciiTheme="majorHAnsi" w:hAnsiTheme="majorHAnsi"/>
              </w:rPr>
            </w:pPr>
            <w:r w:rsidRPr="006D7C62">
              <w:rPr>
                <w:rStyle w:val="Strong"/>
                <w:rFonts w:asciiTheme="majorHAnsi" w:hAnsiTheme="majorHAnsi"/>
              </w:rPr>
              <w:t>Waste</w:t>
            </w:r>
          </w:p>
        </w:tc>
        <w:tc>
          <w:tcPr>
            <w:tcW w:w="2589" w:type="pct"/>
            <w:hideMark/>
          </w:tcPr>
          <w:p w14:paraId="422AC76C" w14:textId="57F32D14" w:rsidR="001A4508" w:rsidRPr="006D7C62" w:rsidRDefault="001A4508" w:rsidP="001A4508">
            <w:pPr>
              <w:pStyle w:val="TableText"/>
              <w:rPr>
                <w:spacing w:val="-4"/>
              </w:rPr>
            </w:pPr>
            <w:r w:rsidRPr="006D7C62">
              <w:t>Materials, co-products, products, or emissions without economic value that the holder intends or is required to dispose of.</w:t>
            </w:r>
          </w:p>
        </w:tc>
        <w:tc>
          <w:tcPr>
            <w:tcW w:w="1017" w:type="pct"/>
            <w:hideMark/>
          </w:tcPr>
          <w:p w14:paraId="271547D6" w14:textId="77777777" w:rsidR="001A4508" w:rsidRPr="006D7C62" w:rsidRDefault="001A4508" w:rsidP="001A4508">
            <w:pPr>
              <w:pStyle w:val="TableText"/>
              <w:rPr>
                <w:lang w:val="de-DE"/>
              </w:rPr>
            </w:pPr>
            <w:r w:rsidRPr="006D7C62">
              <w:rPr>
                <w:lang w:val="de-DE"/>
              </w:rPr>
              <w:t>DIN EN ISO 14067,</w:t>
            </w:r>
            <w:r w:rsidRPr="006D7C62">
              <w:rPr>
                <w:lang w:val="de-DE"/>
              </w:rPr>
              <w:br/>
              <w:t>Feb. 2019, p. 26;</w:t>
            </w:r>
          </w:p>
          <w:p w14:paraId="7E31490E" w14:textId="7671A1F9" w:rsidR="001A4508" w:rsidRPr="006D7C62" w:rsidRDefault="001A4508" w:rsidP="001A4508">
            <w:pPr>
              <w:pStyle w:val="TableText"/>
            </w:pPr>
            <w:r w:rsidRPr="006D7C62">
              <w:rPr>
                <w:lang w:val="de-DE"/>
              </w:rPr>
              <w:t>WBCSD Pathfinder</w:t>
            </w:r>
          </w:p>
        </w:tc>
      </w:tr>
    </w:tbl>
    <w:p w14:paraId="016B9621" w14:textId="77777777" w:rsidR="0034409B" w:rsidRPr="0034409B" w:rsidRDefault="0034409B" w:rsidP="0034409B"/>
    <w:p w14:paraId="5AD8B0CF" w14:textId="77777777" w:rsidR="0034409B" w:rsidRDefault="00E85A78">
      <w:pPr>
        <w:pStyle w:val="Heading2"/>
      </w:pPr>
      <w:bookmarkStart w:id="71" w:name="_Toc178672679"/>
      <w:r>
        <w:t>Abbreviations</w:t>
      </w:r>
      <w:bookmarkEnd w:id="71"/>
    </w:p>
    <w:p w14:paraId="117D501B" w14:textId="4D59561C" w:rsidR="00E85A78" w:rsidRDefault="00E85A78">
      <w:pPr>
        <w:pStyle w:val="Heading2"/>
      </w:pPr>
      <w:bookmarkStart w:id="72" w:name="_Toc178672680"/>
      <w:r>
        <w:t>General Provisions</w:t>
      </w:r>
      <w:bookmarkEnd w:id="72"/>
    </w:p>
    <w:p w14:paraId="3F411DA9" w14:textId="6D585775" w:rsidR="00E85A78" w:rsidRDefault="00E85A78">
      <w:pPr>
        <w:pStyle w:val="Heading2"/>
      </w:pPr>
      <w:bookmarkStart w:id="73" w:name="_Toc178672681"/>
      <w:r>
        <w:t>Normative Reference</w:t>
      </w:r>
      <w:bookmarkEnd w:id="73"/>
    </w:p>
    <w:p w14:paraId="7A77BC5C" w14:textId="2BC1BE6A" w:rsidR="00E85A78" w:rsidRDefault="00E85A78" w:rsidP="00E85A78">
      <w:pPr>
        <w:pStyle w:val="Heading1"/>
      </w:pPr>
      <w:bookmarkStart w:id="74" w:name="_Toc178672682"/>
      <w:r>
        <w:lastRenderedPageBreak/>
        <w:t>Specific Methodology per Life Cycle Stages</w:t>
      </w:r>
      <w:bookmarkEnd w:id="74"/>
    </w:p>
    <w:p w14:paraId="1628526A" w14:textId="77777777" w:rsidR="00E85A78" w:rsidRDefault="00E85A78" w:rsidP="00E85A78">
      <w:pPr>
        <w:pStyle w:val="Heading2"/>
      </w:pPr>
      <w:bookmarkStart w:id="75" w:name="_Toc178672683"/>
      <w:r>
        <w:t>Material Production Stage</w:t>
      </w:r>
      <w:bookmarkEnd w:id="75"/>
    </w:p>
    <w:p w14:paraId="29AE0728" w14:textId="6C79EFD2" w:rsidR="00E85A78" w:rsidRDefault="00E85A78" w:rsidP="00E85A78">
      <w:pPr>
        <w:pStyle w:val="Heading3"/>
      </w:pPr>
      <w:bookmarkStart w:id="76" w:name="_Toc178672684"/>
      <w:r>
        <w:t>Declared Unit</w:t>
      </w:r>
      <w:bookmarkEnd w:id="76"/>
    </w:p>
    <w:p w14:paraId="1DD619AB" w14:textId="1EA05F8D" w:rsidR="00E85A78" w:rsidRDefault="00E85A78">
      <w:pPr>
        <w:pStyle w:val="Heading3"/>
      </w:pPr>
      <w:bookmarkStart w:id="77" w:name="_Toc178672685"/>
      <w:r>
        <w:t>Automotive Material Classification</w:t>
      </w:r>
      <w:bookmarkEnd w:id="77"/>
    </w:p>
    <w:p w14:paraId="684C2F39" w14:textId="1B43EE50" w:rsidR="00E85A78" w:rsidRPr="00E85A78" w:rsidRDefault="00E85A78" w:rsidP="00E85A78">
      <w:pPr>
        <w:pStyle w:val="Heading3"/>
      </w:pPr>
      <w:bookmarkStart w:id="78" w:name="_Ref176852581"/>
      <w:bookmarkStart w:id="79" w:name="_Ref176852694"/>
      <w:bookmarkStart w:id="80" w:name="_Ref176852704"/>
      <w:bookmarkStart w:id="81" w:name="_Toc178672686"/>
      <w:r>
        <w:t>Data Collection &amp; Type</w:t>
      </w:r>
      <w:bookmarkEnd w:id="78"/>
      <w:bookmarkEnd w:id="79"/>
      <w:bookmarkEnd w:id="80"/>
      <w:bookmarkEnd w:id="81"/>
    </w:p>
    <w:p w14:paraId="71724A8B" w14:textId="1BB78F1F" w:rsidR="00E85A78" w:rsidRDefault="00E85A78">
      <w:pPr>
        <w:pStyle w:val="Heading3"/>
      </w:pPr>
      <w:bookmarkStart w:id="82" w:name="_Toc178672687"/>
      <w:r>
        <w:t>Energy Modelling</w:t>
      </w:r>
      <w:bookmarkEnd w:id="82"/>
    </w:p>
    <w:p w14:paraId="4182C1D4" w14:textId="16ED3094" w:rsidR="00E85A78" w:rsidRDefault="00E85A78">
      <w:pPr>
        <w:pStyle w:val="Heading2"/>
      </w:pPr>
      <w:bookmarkStart w:id="83" w:name="_Toc178672688"/>
      <w:r>
        <w:t>Parts Production &amp; Vehicle Assembly</w:t>
      </w:r>
      <w:bookmarkEnd w:id="83"/>
    </w:p>
    <w:p w14:paraId="12FADC21" w14:textId="0178F5E4" w:rsidR="00351E72" w:rsidRDefault="00351E72">
      <w:pPr>
        <w:pStyle w:val="Heading3"/>
      </w:pPr>
      <w:bookmarkStart w:id="84" w:name="_Toc178672689"/>
      <w:r>
        <w:t>LCA Levels in Parts Production and Vehicle Assembly</w:t>
      </w:r>
      <w:bookmarkEnd w:id="84"/>
    </w:p>
    <w:p w14:paraId="2E308C7E" w14:textId="77777777" w:rsidR="00DE7F3A" w:rsidRPr="00267C18" w:rsidRDefault="00DE7F3A" w:rsidP="00DE7F3A">
      <w:pPr>
        <w:rPr>
          <w:color w:val="7030A0"/>
        </w:rPr>
      </w:pPr>
      <w:r w:rsidRPr="00267C18">
        <w:rPr>
          <w:color w:val="7030A0"/>
        </w:rPr>
        <w:t xml:space="preserve">As introduced in section </w:t>
      </w:r>
      <w:r w:rsidRPr="00267C18">
        <w:rPr>
          <w:color w:val="7030A0"/>
        </w:rPr>
        <w:fldChar w:fldCharType="begin"/>
      </w:r>
      <w:r w:rsidRPr="00267C18">
        <w:rPr>
          <w:color w:val="7030A0"/>
        </w:rPr>
        <w:instrText xml:space="preserve"> REF _Ref174517738 \r \h </w:instrText>
      </w:r>
      <w:r w:rsidRPr="00267C18">
        <w:rPr>
          <w:color w:val="7030A0"/>
        </w:rPr>
      </w:r>
      <w:r w:rsidRPr="00267C18">
        <w:rPr>
          <w:color w:val="7030A0"/>
        </w:rPr>
        <w:fldChar w:fldCharType="separate"/>
      </w:r>
      <w:r w:rsidRPr="00267C18">
        <w:rPr>
          <w:color w:val="7030A0"/>
        </w:rPr>
        <w:t>2.2.1</w:t>
      </w:r>
      <w:r w:rsidRPr="00267C18">
        <w:rPr>
          <w:color w:val="7030A0"/>
        </w:rPr>
        <w:fldChar w:fldCharType="end"/>
      </w:r>
      <w:r w:rsidRPr="00267C18">
        <w:rPr>
          <w:color w:val="7030A0"/>
        </w:rPr>
        <w:t>, 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78A8BC7" w14:textId="541721B8" w:rsidR="00DE7F3A" w:rsidRPr="00267C18" w:rsidRDefault="00DE7F3A" w:rsidP="006C1918">
      <w:pPr>
        <w:pStyle w:val="ListParagraph"/>
        <w:numPr>
          <w:ilvl w:val="0"/>
          <w:numId w:val="31"/>
        </w:numPr>
        <w:rPr>
          <w:color w:val="7030A0"/>
        </w:rPr>
      </w:pPr>
      <w:r w:rsidRPr="00267C18">
        <w:rPr>
          <w:color w:val="7030A0"/>
        </w:rPr>
        <w:t>an average for a vehicle fleet (various segments, models on global or national level)</w:t>
      </w:r>
      <w:r w:rsidR="00267C18" w:rsidRPr="00267C18">
        <w:rPr>
          <w:color w:val="7030A0"/>
        </w:rPr>
        <w:t xml:space="preserve"> -&gt; Level 1</w:t>
      </w:r>
    </w:p>
    <w:p w14:paraId="39210824" w14:textId="58B57E98" w:rsidR="00DE7F3A" w:rsidRPr="00267C18" w:rsidRDefault="00DE7F3A" w:rsidP="006C1918">
      <w:pPr>
        <w:pStyle w:val="ListParagraph"/>
        <w:numPr>
          <w:ilvl w:val="0"/>
          <w:numId w:val="31"/>
        </w:numPr>
        <w:rPr>
          <w:color w:val="7030A0"/>
        </w:rPr>
      </w:pPr>
      <w:r w:rsidRPr="00267C18">
        <w:rPr>
          <w:color w:val="7030A0"/>
        </w:rPr>
        <w:t>an average for vehicles of a specific segment (various models on global or national level)</w:t>
      </w:r>
      <w:r w:rsidR="00267C18" w:rsidRPr="00267C18">
        <w:rPr>
          <w:color w:val="7030A0"/>
        </w:rPr>
        <w:t xml:space="preserve"> or a vehicle chosen as representative for a specific segment both based on BOM-Data -&gt; Level 2</w:t>
      </w:r>
    </w:p>
    <w:p w14:paraId="4342256B" w14:textId="23B9C581" w:rsidR="00DE7F3A" w:rsidRPr="00267C18" w:rsidRDefault="00DE7F3A" w:rsidP="006C1918">
      <w:pPr>
        <w:pStyle w:val="ListParagraph"/>
        <w:numPr>
          <w:ilvl w:val="0"/>
          <w:numId w:val="31"/>
        </w:numPr>
        <w:rPr>
          <w:color w:val="7030A0"/>
        </w:rPr>
      </w:pPr>
      <w:r w:rsidRPr="00267C18">
        <w:rPr>
          <w:color w:val="7030A0"/>
        </w:rPr>
        <w:t>an average for specific vehicle models (with different equipment variants on global, national or local production site level)</w:t>
      </w:r>
      <w:r w:rsidR="00267C18" w:rsidRPr="00267C18">
        <w:rPr>
          <w:color w:val="7030A0"/>
        </w:rPr>
        <w:t xml:space="preserve"> –&gt; Level 3</w:t>
      </w:r>
    </w:p>
    <w:p w14:paraId="5BA259A1" w14:textId="04315609" w:rsidR="00DE7F3A" w:rsidRPr="00267C18" w:rsidRDefault="00DE7F3A" w:rsidP="006C1918">
      <w:pPr>
        <w:pStyle w:val="ListParagraph"/>
        <w:numPr>
          <w:ilvl w:val="0"/>
          <w:numId w:val="31"/>
        </w:numPr>
        <w:rPr>
          <w:color w:val="7030A0"/>
        </w:rPr>
      </w:pPr>
      <w:r w:rsidRPr="00267C18">
        <w:rPr>
          <w:color w:val="7030A0"/>
        </w:rPr>
        <w:t>a specific vehicle mode</w:t>
      </w:r>
      <w:r w:rsidR="00267C18">
        <w:rPr>
          <w:color w:val="7030A0"/>
        </w:rPr>
        <w:t>l</w:t>
      </w:r>
      <w:r w:rsidRPr="00267C18">
        <w:rPr>
          <w:color w:val="7030A0"/>
        </w:rPr>
        <w:t>.</w:t>
      </w:r>
      <w:r w:rsidR="00267C18" w:rsidRPr="00267C18">
        <w:rPr>
          <w:color w:val="7030A0"/>
        </w:rPr>
        <w:t xml:space="preserve"> -&gt; Level 4</w:t>
      </w:r>
    </w:p>
    <w:p w14:paraId="7E555492" w14:textId="77777777" w:rsidR="00DE7F3A" w:rsidRPr="00267C18" w:rsidRDefault="00DE7F3A" w:rsidP="00DE7F3A">
      <w:pPr>
        <w:rPr>
          <w:color w:val="7030A0"/>
        </w:rPr>
      </w:pPr>
      <w:r w:rsidRPr="00267C18">
        <w:rPr>
          <w:color w:val="7030A0"/>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modeling and secondary data is used to quantify the environmental impact. </w:t>
      </w:r>
    </w:p>
    <w:p w14:paraId="2A9A5223" w14:textId="77777777" w:rsidR="00DE7F3A" w:rsidRPr="00267C18" w:rsidRDefault="00DE7F3A" w:rsidP="00DE7F3A">
      <w:pPr>
        <w:rPr>
          <w:color w:val="7030A0"/>
        </w:rPr>
      </w:pPr>
      <w:r w:rsidRPr="00267C18">
        <w:rPr>
          <w:color w:val="7030A0"/>
        </w:rPr>
        <w:t>Within this resolution four levels detail are differentiated.</w:t>
      </w:r>
    </w:p>
    <w:p w14:paraId="1010204E" w14:textId="337CDBDA" w:rsidR="0086309D" w:rsidRDefault="0086309D" w:rsidP="0086309D">
      <w:pPr>
        <w:pStyle w:val="Heading4"/>
      </w:pPr>
      <w:r>
        <w:t>Level 1</w:t>
      </w:r>
    </w:p>
    <w:p w14:paraId="4E9F560B" w14:textId="6E166E37" w:rsidR="00DE7F3A" w:rsidRPr="00267C18" w:rsidRDefault="00267C18" w:rsidP="00DE7F3A">
      <w:pPr>
        <w:rPr>
          <w:color w:val="7030A0"/>
        </w:rPr>
      </w:pPr>
      <w:r w:rsidRPr="00267C18">
        <w:rPr>
          <w:color w:val="7030A0"/>
        </w:rPr>
        <w:t xml:space="preserve">As described in 2.2.1 there are multiple approaches possible for Level 1, the following section minimum standard for calculation. </w:t>
      </w:r>
      <w:r w:rsidR="00DE7F3A" w:rsidRPr="00267C18">
        <w:rPr>
          <w:color w:val="7030A0"/>
        </w:rPr>
        <w:t>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51B4C840" w14:textId="21493925" w:rsidR="00DE7F3A" w:rsidRPr="00267C18" w:rsidRDefault="009F04F3" w:rsidP="00DE7F3A">
      <w:pPr>
        <w:rPr>
          <w:color w:val="7030A0"/>
          <w:vertAlign w:val="subscript"/>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VP</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CEF</m:t>
              </m:r>
            </m:e>
            <m:sub>
              <m:r>
                <w:rPr>
                  <w:rFonts w:ascii="Cambria Math" w:hAnsi="Cambria Math"/>
                  <w:color w:val="7030A0"/>
                </w:rPr>
                <m:t>VP</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M</m:t>
              </m:r>
            </m:e>
            <m:sub>
              <m:r>
                <w:rPr>
                  <w:rFonts w:ascii="Cambria Math" w:hAnsi="Cambria Math"/>
                  <w:color w:val="7030A0"/>
                </w:rPr>
                <m:t>NM</m:t>
              </m:r>
            </m:sub>
          </m:sSub>
        </m:oMath>
      </m:oMathPara>
    </w:p>
    <w:p w14:paraId="1F731A71" w14:textId="77777777" w:rsidR="00DE7F3A" w:rsidRPr="00267C18" w:rsidRDefault="00DE7F3A" w:rsidP="00DE7F3A">
      <w:pPr>
        <w:ind w:left="993" w:hanging="993"/>
        <w:rPr>
          <w:color w:val="7030A0"/>
        </w:rPr>
      </w:pPr>
      <w:r w:rsidRPr="00267C18">
        <w:rPr>
          <w:color w:val="7030A0"/>
        </w:rPr>
        <w:t>Wherein:</w:t>
      </w:r>
    </w:p>
    <w:p w14:paraId="1DCA16B4" w14:textId="77777777" w:rsidR="00DE7F3A" w:rsidRPr="00267C18" w:rsidRDefault="00DE7F3A" w:rsidP="00DE7F3A">
      <w:pPr>
        <w:ind w:left="993" w:hanging="993"/>
        <w:rPr>
          <w:color w:val="7030A0"/>
        </w:rPr>
      </w:pPr>
      <w:r w:rsidRPr="00267C18">
        <w:rPr>
          <w:color w:val="7030A0"/>
        </w:rPr>
        <w:t>C</w:t>
      </w:r>
      <w:r w:rsidRPr="00267C18">
        <w:rPr>
          <w:color w:val="7030A0"/>
          <w:vertAlign w:val="subscript"/>
        </w:rPr>
        <w:t>VP</w:t>
      </w:r>
      <w:r w:rsidRPr="00267C18">
        <w:rPr>
          <w:color w:val="7030A0"/>
          <w:vertAlign w:val="subscript"/>
        </w:rPr>
        <w:tab/>
      </w:r>
      <w:r w:rsidRPr="00267C18">
        <w:rPr>
          <w:color w:val="7030A0"/>
        </w:rPr>
        <w:t>carbon emissions due to material production, component and vehicle manufacturing in kilogram of carbon dioxide equivalent (kgCO</w:t>
      </w:r>
      <w:r w:rsidRPr="00267C18">
        <w:rPr>
          <w:color w:val="7030A0"/>
          <w:vertAlign w:val="subscript"/>
        </w:rPr>
        <w:t>2</w:t>
      </w:r>
      <w:r w:rsidRPr="00267C18">
        <w:rPr>
          <w:color w:val="7030A0"/>
        </w:rPr>
        <w:t>e)</w:t>
      </w:r>
    </w:p>
    <w:p w14:paraId="6CD5ACF6" w14:textId="77777777" w:rsidR="00DE7F3A" w:rsidRPr="00267C18" w:rsidRDefault="00DE7F3A" w:rsidP="00DE7F3A">
      <w:pPr>
        <w:ind w:left="993" w:hanging="993"/>
        <w:rPr>
          <w:color w:val="7030A0"/>
        </w:rPr>
      </w:pPr>
      <w:r w:rsidRPr="00267C18">
        <w:rPr>
          <w:color w:val="7030A0"/>
        </w:rPr>
        <w:t>CEF</w:t>
      </w:r>
      <w:r w:rsidRPr="00267C18">
        <w:rPr>
          <w:color w:val="7030A0"/>
          <w:vertAlign w:val="subscript"/>
        </w:rPr>
        <w:t>VP</w:t>
      </w:r>
      <w:r w:rsidRPr="00267C18">
        <w:rPr>
          <w:color w:val="7030A0"/>
        </w:rPr>
        <w:tab/>
        <w:t>Carbon emission factor of material production, component and vehicle manufacturing in kilogram of carbon dioxide equivalent (kgCO</w:t>
      </w:r>
      <w:r w:rsidRPr="00267C18">
        <w:rPr>
          <w:color w:val="7030A0"/>
          <w:vertAlign w:val="subscript"/>
        </w:rPr>
        <w:t>2</w:t>
      </w:r>
      <w:r w:rsidRPr="00267C18">
        <w:rPr>
          <w:color w:val="7030A0"/>
        </w:rPr>
        <w:t>e/kg</w:t>
      </w:r>
      <w:r w:rsidRPr="00267C18">
        <w:rPr>
          <w:color w:val="7030A0"/>
          <w:vertAlign w:val="subscript"/>
        </w:rPr>
        <w:t>CW</w:t>
      </w:r>
      <w:r w:rsidRPr="00267C18">
        <w:rPr>
          <w:color w:val="7030A0"/>
        </w:rPr>
        <w:t>)</w:t>
      </w:r>
    </w:p>
    <w:p w14:paraId="5C5954B3" w14:textId="2DC87204" w:rsidR="00DE7F3A" w:rsidRPr="00267C18" w:rsidRDefault="00DE7F3A" w:rsidP="00DE7F3A">
      <w:pPr>
        <w:ind w:left="993" w:hanging="993"/>
        <w:rPr>
          <w:color w:val="7030A0"/>
        </w:rPr>
      </w:pPr>
      <w:r w:rsidRPr="00267C18">
        <w:rPr>
          <w:color w:val="7030A0"/>
        </w:rPr>
        <w:t>M</w:t>
      </w:r>
      <w:r w:rsidRPr="00267C18">
        <w:rPr>
          <w:color w:val="7030A0"/>
          <w:vertAlign w:val="subscript"/>
        </w:rPr>
        <w:t>N</w:t>
      </w:r>
      <w:r w:rsidR="00267C18" w:rsidRPr="00267C18">
        <w:rPr>
          <w:color w:val="7030A0"/>
          <w:vertAlign w:val="subscript"/>
        </w:rPr>
        <w:t>M</w:t>
      </w:r>
      <w:r w:rsidRPr="00267C18">
        <w:rPr>
          <w:color w:val="7030A0"/>
        </w:rPr>
        <w:tab/>
      </w:r>
      <w:r w:rsidRPr="00267C18">
        <w:rPr>
          <w:color w:val="D91E18" w:themeColor="accent6"/>
        </w:rPr>
        <w:t xml:space="preserve">Net </w:t>
      </w:r>
      <w:r w:rsidR="00267C18" w:rsidRPr="00267C18">
        <w:rPr>
          <w:color w:val="D91E18" w:themeColor="accent6"/>
        </w:rPr>
        <w:t>mass</w:t>
      </w:r>
      <w:r w:rsidRPr="00267C18">
        <w:rPr>
          <w:color w:val="D91E18" w:themeColor="accent6"/>
        </w:rPr>
        <w:t xml:space="preserve"> </w:t>
      </w:r>
      <w:r w:rsidRPr="00267C18">
        <w:rPr>
          <w:color w:val="7030A0"/>
        </w:rPr>
        <w:t>of the vehicle in kilogram (kg)</w:t>
      </w:r>
      <w:r w:rsidR="00267C18" w:rsidRPr="00267C18">
        <w:rPr>
          <w:color w:val="7030A0"/>
        </w:rPr>
        <w:t>, i.e. mass of the vehicle in running order minus the mass of the driver (75kg) minus the mass of any fuels.</w:t>
      </w:r>
    </w:p>
    <w:p w14:paraId="6A133044" w14:textId="77777777" w:rsidR="00DE7F3A" w:rsidRPr="00267C18" w:rsidRDefault="00DE7F3A" w:rsidP="00DE7F3A">
      <w:pPr>
        <w:rPr>
          <w:color w:val="7030A0"/>
        </w:rPr>
      </w:pPr>
      <w:r w:rsidRPr="00267C18">
        <w:rPr>
          <w:color w:val="7030A0"/>
        </w:rPr>
        <w:t>The CEF may be determined from literature or OEM publications. The carbon emission factors may reflect geographical differences, if there is evidence that material, component and vehicle production is more CO</w:t>
      </w:r>
      <w:r w:rsidRPr="00267C18">
        <w:rPr>
          <w:color w:val="7030A0"/>
          <w:vertAlign w:val="subscript"/>
        </w:rPr>
        <w:t>2</w:t>
      </w:r>
      <w:r w:rsidRPr="00267C18">
        <w:rPr>
          <w:color w:val="7030A0"/>
        </w:rPr>
        <w:t>e-intense in some parts of the world than in others.</w:t>
      </w:r>
    </w:p>
    <w:p w14:paraId="7D2F875A" w14:textId="77777777" w:rsidR="00DE7F3A" w:rsidRDefault="00DE7F3A" w:rsidP="00DE7F3A">
      <w:pPr>
        <w:rPr>
          <w:color w:val="7030A0"/>
        </w:rPr>
      </w:pPr>
      <w:r w:rsidRPr="00267C18">
        <w:rPr>
          <w:color w:val="7030A0"/>
        </w:rPr>
        <w:lastRenderedPageBreak/>
        <w:t>As no details on the production of the vehicle enter into the calculation, also the end of life emissions of a vehicle shall only be captured by the (lump) carbon emission factor.</w:t>
      </w:r>
    </w:p>
    <w:p w14:paraId="5FA2A136" w14:textId="77777777" w:rsidR="00267C18" w:rsidRPr="00267C18" w:rsidRDefault="00267C18" w:rsidP="00267C18">
      <w:pPr>
        <w:ind w:left="993" w:hanging="993"/>
        <w:rPr>
          <w:color w:val="7030A0"/>
        </w:rPr>
      </w:pPr>
      <w:r w:rsidRPr="00267C18">
        <w:rPr>
          <w:color w:val="7030A0"/>
        </w:rPr>
        <w:t>For transparency all the factors used in calculation shall be reported.</w:t>
      </w:r>
    </w:p>
    <w:p w14:paraId="3113CCC0" w14:textId="77777777" w:rsidR="00267C18" w:rsidRPr="00267C18" w:rsidRDefault="00267C18" w:rsidP="00DE7F3A">
      <w:pPr>
        <w:rPr>
          <w:color w:val="7030A0"/>
        </w:rPr>
      </w:pPr>
    </w:p>
    <w:p w14:paraId="0AF403BF" w14:textId="15C8343D" w:rsidR="0086309D" w:rsidRDefault="0086309D">
      <w:pPr>
        <w:pStyle w:val="Heading4"/>
      </w:pPr>
      <w:r>
        <w:t>Level 2</w:t>
      </w:r>
    </w:p>
    <w:p w14:paraId="0A386B6E" w14:textId="7C7563A7" w:rsidR="00DE7F3A" w:rsidRPr="00267C18" w:rsidRDefault="00DE7F3A" w:rsidP="00DE7F3A">
      <w:pPr>
        <w:rPr>
          <w:color w:val="7030A0"/>
        </w:rPr>
      </w:pPr>
      <w:r w:rsidRPr="00267C18">
        <w:rPr>
          <w:color w:val="7030A0"/>
        </w:rPr>
        <w:t xml:space="preserve">GHG-emissions due to the production of vehicle parts and vehicle manufacturing are quantified by breaking down the vehicle </w:t>
      </w:r>
      <w:r w:rsidR="00267C18" w:rsidRPr="00267C18">
        <w:rPr>
          <w:color w:val="7030A0"/>
        </w:rPr>
        <w:t xml:space="preserve">as delivered to the customer </w:t>
      </w:r>
      <w:r w:rsidRPr="00267C18">
        <w:rPr>
          <w:color w:val="7030A0"/>
        </w:rPr>
        <w:t>by mass of materials. Breaking down by material is obvious for the automotive industry because material and mass declaration systems are mandatory for decades. The calculation of the cradle to gate vehicle carbon footprint is given by:</w:t>
      </w:r>
    </w:p>
    <w:p w14:paraId="317E1A5A" w14:textId="77777777" w:rsidR="00DE7F3A" w:rsidRPr="00267C18" w:rsidRDefault="009F04F3" w:rsidP="00DE7F3A">
      <w:pPr>
        <w:rPr>
          <w:color w:val="7030A0"/>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VP</m:t>
              </m:r>
            </m:sub>
          </m:sSub>
          <m:r>
            <w:rPr>
              <w:rFonts w:ascii="Cambria Math" w:hAnsi="Cambria Math"/>
              <w:color w:val="7030A0"/>
            </w:rPr>
            <m:t>=</m:t>
          </m:r>
          <m:nary>
            <m:naryPr>
              <m:chr m:val="∑"/>
              <m:limLoc m:val="subSup"/>
              <m:supHide m:val="1"/>
              <m:ctrlPr>
                <w:rPr>
                  <w:rFonts w:ascii="Cambria Math" w:hAnsi="Cambria Math"/>
                  <w:i/>
                  <w:color w:val="7030A0"/>
                </w:rPr>
              </m:ctrlPr>
            </m:naryPr>
            <m:sub>
              <m:r>
                <w:rPr>
                  <w:rFonts w:ascii="Cambria Math" w:hAnsi="Cambria Math"/>
                  <w:color w:val="7030A0"/>
                </w:rPr>
                <m:t>i</m:t>
              </m:r>
            </m:sub>
            <m:sup/>
            <m:e>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M</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U</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CEF</m:t>
                  </m:r>
                </m:e>
                <m:sub>
                  <m:r>
                    <w:rPr>
                      <w:rFonts w:ascii="Cambria Math" w:hAnsi="Cambria Math"/>
                      <w:color w:val="7030A0"/>
                    </w:rPr>
                    <m:t>i</m:t>
                  </m:r>
                </m:sub>
              </m:sSub>
              <m:r>
                <w:rPr>
                  <w:rFonts w:ascii="Cambria Math" w:hAnsi="Cambria Math"/>
                  <w:color w:val="7030A0"/>
                </w:rPr>
                <m:t>)</m:t>
              </m:r>
            </m:e>
          </m:nary>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OP</m:t>
              </m:r>
            </m:sub>
          </m:sSub>
        </m:oMath>
      </m:oMathPara>
    </w:p>
    <w:p w14:paraId="4DC5BBCC" w14:textId="77777777" w:rsidR="00DE7F3A" w:rsidRPr="00267C18" w:rsidRDefault="00DE7F3A" w:rsidP="00DE7F3A">
      <w:pPr>
        <w:ind w:left="993" w:hanging="993"/>
        <w:rPr>
          <w:color w:val="7030A0"/>
        </w:rPr>
      </w:pPr>
      <w:r w:rsidRPr="00267C18">
        <w:rPr>
          <w:color w:val="7030A0"/>
        </w:rPr>
        <w:t>Wherein:</w:t>
      </w:r>
    </w:p>
    <w:p w14:paraId="35C2576D" w14:textId="77777777" w:rsidR="00DE7F3A" w:rsidRPr="00267C18" w:rsidRDefault="00DE7F3A" w:rsidP="00DE7F3A">
      <w:pPr>
        <w:ind w:left="993" w:hanging="993"/>
        <w:rPr>
          <w:color w:val="7030A0"/>
        </w:rPr>
      </w:pPr>
      <w:r w:rsidRPr="00267C18">
        <w:rPr>
          <w:color w:val="7030A0"/>
        </w:rPr>
        <w:t>C</w:t>
      </w:r>
      <w:r w:rsidRPr="00267C18">
        <w:rPr>
          <w:color w:val="7030A0"/>
          <w:vertAlign w:val="subscript"/>
        </w:rPr>
        <w:t>VP</w:t>
      </w:r>
      <w:r w:rsidRPr="00267C18">
        <w:rPr>
          <w:color w:val="7030A0"/>
          <w:vertAlign w:val="subscript"/>
        </w:rPr>
        <w:tab/>
      </w:r>
      <w:r w:rsidRPr="00267C18">
        <w:rPr>
          <w:color w:val="7030A0"/>
        </w:rPr>
        <w:t>carbon emissions due to material production processes, component production and vehicle manufacturing in kilogram of carbon dioxide equivalent (kgCO</w:t>
      </w:r>
      <w:r w:rsidRPr="00267C18">
        <w:rPr>
          <w:color w:val="7030A0"/>
          <w:vertAlign w:val="subscript"/>
        </w:rPr>
        <w:t>2</w:t>
      </w:r>
      <w:r w:rsidRPr="00267C18">
        <w:rPr>
          <w:color w:val="7030A0"/>
        </w:rPr>
        <w:t>e)</w:t>
      </w:r>
    </w:p>
    <w:p w14:paraId="7BA0D406" w14:textId="7761C9EA" w:rsidR="00DE7F3A" w:rsidRPr="00267C18" w:rsidRDefault="00DE7F3A" w:rsidP="00DE7F3A">
      <w:pPr>
        <w:ind w:left="993" w:hanging="993"/>
        <w:rPr>
          <w:color w:val="7030A0"/>
        </w:rPr>
      </w:pPr>
      <w:r w:rsidRPr="00267C18">
        <w:rPr>
          <w:color w:val="7030A0"/>
        </w:rPr>
        <w:t>M</w:t>
      </w:r>
      <w:r w:rsidRPr="00267C18">
        <w:rPr>
          <w:color w:val="7030A0"/>
          <w:vertAlign w:val="subscript"/>
        </w:rPr>
        <w:t>i</w:t>
      </w:r>
      <w:r w:rsidRPr="00267C18">
        <w:rPr>
          <w:color w:val="7030A0"/>
        </w:rPr>
        <w:tab/>
      </w:r>
      <w:r w:rsidR="00267C18" w:rsidRPr="00267C18">
        <w:rPr>
          <w:color w:val="7030A0"/>
        </w:rPr>
        <w:t>Net m</w:t>
      </w:r>
      <w:r w:rsidRPr="00267C18">
        <w:rPr>
          <w:color w:val="7030A0"/>
        </w:rPr>
        <w:t>ass of the material i in kilogram (kg)</w:t>
      </w:r>
    </w:p>
    <w:p w14:paraId="63F2EBCE" w14:textId="77777777" w:rsidR="00DE7F3A" w:rsidRPr="00267C18" w:rsidRDefault="00DE7F3A" w:rsidP="00DE7F3A">
      <w:pPr>
        <w:ind w:left="993" w:hanging="993"/>
        <w:rPr>
          <w:color w:val="7030A0"/>
        </w:rPr>
      </w:pPr>
      <w:r w:rsidRPr="00267C18">
        <w:rPr>
          <w:color w:val="7030A0"/>
        </w:rPr>
        <w:t>U</w:t>
      </w:r>
      <w:r w:rsidRPr="00267C18">
        <w:rPr>
          <w:color w:val="7030A0"/>
          <w:vertAlign w:val="subscript"/>
        </w:rPr>
        <w:t>i</w:t>
      </w:r>
      <w:r w:rsidRPr="00267C18">
        <w:rPr>
          <w:color w:val="7030A0"/>
        </w:rPr>
        <w:tab/>
        <w:t>use coefficient of material i in percentage of the gross material input relative to the net material input (%). The value is greater than 100% when offcut or loss is assumed.</w:t>
      </w:r>
    </w:p>
    <w:p w14:paraId="794D20F7" w14:textId="77777777" w:rsidR="00DE7F3A" w:rsidRPr="00267C18" w:rsidRDefault="00DE7F3A" w:rsidP="00DE7F3A">
      <w:pPr>
        <w:ind w:left="993" w:hanging="993"/>
        <w:rPr>
          <w:color w:val="7030A0"/>
        </w:rPr>
      </w:pPr>
      <w:r w:rsidRPr="00267C18">
        <w:rPr>
          <w:color w:val="7030A0"/>
        </w:rPr>
        <w:t>CEF</w:t>
      </w:r>
      <w:r w:rsidRPr="00267C18">
        <w:rPr>
          <w:color w:val="7030A0"/>
          <w:vertAlign w:val="subscript"/>
        </w:rPr>
        <w:t>i</w:t>
      </w:r>
      <w:r w:rsidRPr="00267C18">
        <w:rPr>
          <w:color w:val="7030A0"/>
        </w:rPr>
        <w:tab/>
        <w:t>Carbon emission factor of material i reflecting material production processes, component production and vehicle manufacturing in kilogram of carbon dioxide equivalent (kgCO</w:t>
      </w:r>
      <w:r w:rsidRPr="00267C18">
        <w:rPr>
          <w:color w:val="7030A0"/>
          <w:vertAlign w:val="subscript"/>
        </w:rPr>
        <w:t>2</w:t>
      </w:r>
      <w:r w:rsidRPr="00267C18">
        <w:rPr>
          <w:color w:val="7030A0"/>
        </w:rPr>
        <w:t>e/kg)</w:t>
      </w:r>
    </w:p>
    <w:p w14:paraId="1EF6897C" w14:textId="77777777" w:rsidR="00DE7F3A" w:rsidRPr="00267C18" w:rsidRDefault="00DE7F3A" w:rsidP="00DE7F3A">
      <w:pPr>
        <w:ind w:left="993" w:hanging="993"/>
        <w:rPr>
          <w:color w:val="7030A0"/>
        </w:rPr>
      </w:pPr>
      <w:r w:rsidRPr="00267C18">
        <w:rPr>
          <w:color w:val="7030A0"/>
        </w:rPr>
        <w:t>C</w:t>
      </w:r>
      <w:r w:rsidRPr="00267C18">
        <w:rPr>
          <w:color w:val="7030A0"/>
          <w:vertAlign w:val="subscript"/>
        </w:rPr>
        <w:t>OP</w:t>
      </w:r>
      <w:r w:rsidRPr="00267C18">
        <w:rPr>
          <w:color w:val="7030A0"/>
        </w:rPr>
        <w:tab/>
        <w:t>Carbon emissions reflecting vehicle manufacturing processes (OEM’s operation of bodyshop, paintshop and general assembly) in kilogram of carbon dioxide equivalent (kgCO</w:t>
      </w:r>
      <w:r w:rsidRPr="00267C18">
        <w:rPr>
          <w:color w:val="7030A0"/>
          <w:vertAlign w:val="subscript"/>
        </w:rPr>
        <w:t>2</w:t>
      </w:r>
      <w:r w:rsidRPr="00267C18">
        <w:rPr>
          <w:color w:val="7030A0"/>
        </w:rPr>
        <w:t>e/vehicle)</w:t>
      </w:r>
    </w:p>
    <w:p w14:paraId="7305274C" w14:textId="77777777" w:rsidR="00DE7F3A" w:rsidRPr="00267C18" w:rsidRDefault="00DE7F3A" w:rsidP="00DE7F3A">
      <w:pPr>
        <w:rPr>
          <w:color w:val="7030A0"/>
        </w:rPr>
      </w:pPr>
      <w:r w:rsidRPr="00267C18">
        <w:rPr>
          <w:color w:val="7030A0"/>
        </w:rPr>
        <w:t>Again, all specific emission effects due to different production processes or transport of parts or vehicles is included in the (lump) carbon emission factor. C</w:t>
      </w:r>
      <w:r w:rsidRPr="00267C18">
        <w:rPr>
          <w:color w:val="7030A0"/>
          <w:vertAlign w:val="subscript"/>
        </w:rPr>
        <w:t>OP</w:t>
      </w:r>
      <w:r w:rsidRPr="00267C18">
        <w:rPr>
          <w:color w:val="7030A0"/>
        </w:rPr>
        <w:t xml:space="preserve"> may be determined from literature or OEM publications. It may be justified to differentiate virgin or recycled materials. In that case the calculation is given as follows:</w:t>
      </w:r>
    </w:p>
    <w:p w14:paraId="27C172DE" w14:textId="77777777" w:rsidR="00DE7F3A" w:rsidRPr="00267C18" w:rsidRDefault="009F04F3" w:rsidP="00DE7F3A">
      <w:pPr>
        <w:rPr>
          <w:color w:val="7030A0"/>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VP</m:t>
              </m:r>
            </m:sub>
          </m:sSub>
          <m:r>
            <w:rPr>
              <w:rFonts w:ascii="Cambria Math" w:hAnsi="Cambria Math"/>
              <w:color w:val="7030A0"/>
            </w:rPr>
            <m:t>=</m:t>
          </m:r>
          <m:nary>
            <m:naryPr>
              <m:chr m:val="∑"/>
              <m:limLoc m:val="subSup"/>
              <m:supHide m:val="1"/>
              <m:ctrlPr>
                <w:rPr>
                  <w:rFonts w:ascii="Cambria Math" w:hAnsi="Cambria Math"/>
                  <w:i/>
                  <w:color w:val="7030A0"/>
                </w:rPr>
              </m:ctrlPr>
            </m:naryPr>
            <m:sub>
              <m:r>
                <w:rPr>
                  <w:rFonts w:ascii="Cambria Math" w:hAnsi="Cambria Math"/>
                  <w:color w:val="7030A0"/>
                </w:rPr>
                <m:t>i</m:t>
              </m:r>
            </m:sub>
            <m:sup/>
            <m:e>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M</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R</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U</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CEF</m:t>
                  </m:r>
                </m:e>
                <m:sub>
                  <m:r>
                    <w:rPr>
                      <w:rFonts w:ascii="Cambria Math" w:hAnsi="Cambria Math"/>
                      <w:color w:val="7030A0"/>
                    </w:rPr>
                    <m:t>i</m:t>
                  </m:r>
                  <m:r>
                    <w:rPr>
                      <w:rFonts w:ascii="Cambria Math" w:hAnsi="Cambria Math"/>
                      <w:color w:val="7030A0"/>
                    </w:rPr>
                    <m:t>,</m:t>
                  </m:r>
                  <m:r>
                    <w:rPr>
                      <w:rFonts w:ascii="Cambria Math" w:hAnsi="Cambria Math"/>
                      <w:color w:val="7030A0"/>
                    </w:rPr>
                    <m:t>R</m:t>
                  </m:r>
                </m:sub>
              </m:sSub>
              <m:r>
                <w:rPr>
                  <w:rFonts w:ascii="Cambria Math" w:hAnsi="Cambria Math"/>
                  <w:color w:val="7030A0"/>
                </w:rPr>
                <m:t>+</m:t>
              </m:r>
              <m:d>
                <m:dPr>
                  <m:ctrlPr>
                    <w:rPr>
                      <w:rFonts w:ascii="Cambria Math" w:hAnsi="Cambria Math"/>
                      <w:i/>
                      <w:color w:val="7030A0"/>
                    </w:rPr>
                  </m:ctrlPr>
                </m:dPr>
                <m:e>
                  <m:r>
                    <w:rPr>
                      <w:rFonts w:ascii="Cambria Math" w:hAnsi="Cambria Math"/>
                      <w:color w:val="7030A0"/>
                    </w:rPr>
                    <m:t>1-</m:t>
                  </m:r>
                  <m:sSub>
                    <m:sSubPr>
                      <m:ctrlPr>
                        <w:rPr>
                          <w:rFonts w:ascii="Cambria Math" w:hAnsi="Cambria Math"/>
                          <w:i/>
                          <w:color w:val="7030A0"/>
                        </w:rPr>
                      </m:ctrlPr>
                    </m:sSubPr>
                    <m:e>
                      <m:r>
                        <w:rPr>
                          <w:rFonts w:ascii="Cambria Math" w:hAnsi="Cambria Math"/>
                          <w:color w:val="7030A0"/>
                        </w:rPr>
                        <m:t>R</m:t>
                      </m:r>
                    </m:e>
                    <m:sub>
                      <m:r>
                        <w:rPr>
                          <w:rFonts w:ascii="Cambria Math" w:hAnsi="Cambria Math"/>
                          <w:color w:val="7030A0"/>
                        </w:rPr>
                        <m:t>i</m:t>
                      </m:r>
                    </m:sub>
                  </m:sSub>
                </m:e>
              </m:d>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U</m:t>
                  </m:r>
                </m:e>
                <m:sub>
                  <m:r>
                    <w:rPr>
                      <w:rFonts w:ascii="Cambria Math" w:hAnsi="Cambria Math"/>
                      <w:color w:val="7030A0"/>
                    </w:rPr>
                    <m:t>i</m:t>
                  </m:r>
                </m:sub>
              </m:sSub>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CEF</m:t>
                  </m:r>
                </m:e>
                <m:sub>
                  <m:r>
                    <w:rPr>
                      <w:rFonts w:ascii="Cambria Math" w:hAnsi="Cambria Math"/>
                      <w:color w:val="7030A0"/>
                    </w:rPr>
                    <m:t>i</m:t>
                  </m:r>
                  <m:r>
                    <w:rPr>
                      <w:rFonts w:ascii="Cambria Math" w:hAnsi="Cambria Math"/>
                      <w:color w:val="7030A0"/>
                    </w:rPr>
                    <m:t>,</m:t>
                  </m:r>
                  <m:r>
                    <w:rPr>
                      <w:rFonts w:ascii="Cambria Math" w:hAnsi="Cambria Math"/>
                      <w:color w:val="7030A0"/>
                    </w:rPr>
                    <m:t>V</m:t>
                  </m:r>
                </m:sub>
              </m:sSub>
              <m:r>
                <w:rPr>
                  <w:rFonts w:ascii="Cambria Math" w:hAnsi="Cambria Math"/>
                  <w:color w:val="7030A0"/>
                </w:rPr>
                <m:t>))</m:t>
              </m:r>
            </m:e>
          </m:nary>
        </m:oMath>
      </m:oMathPara>
    </w:p>
    <w:p w14:paraId="4360639F" w14:textId="77777777" w:rsidR="00DE7F3A" w:rsidRPr="00267C18" w:rsidRDefault="00DE7F3A" w:rsidP="00DE7F3A">
      <w:pPr>
        <w:ind w:left="993" w:hanging="993"/>
        <w:rPr>
          <w:color w:val="7030A0"/>
        </w:rPr>
      </w:pPr>
      <w:r w:rsidRPr="00267C18">
        <w:rPr>
          <w:color w:val="7030A0"/>
        </w:rPr>
        <w:t>Wherein:</w:t>
      </w:r>
    </w:p>
    <w:p w14:paraId="63DAB4B5" w14:textId="77777777" w:rsidR="00DE7F3A" w:rsidRPr="00267C18" w:rsidRDefault="00DE7F3A" w:rsidP="00DE7F3A">
      <w:pPr>
        <w:ind w:left="993" w:hanging="993"/>
        <w:rPr>
          <w:color w:val="7030A0"/>
        </w:rPr>
      </w:pPr>
      <w:r w:rsidRPr="00267C18">
        <w:rPr>
          <w:color w:val="7030A0"/>
        </w:rPr>
        <w:t>R</w:t>
      </w:r>
      <w:r w:rsidRPr="00267C18">
        <w:rPr>
          <w:color w:val="7030A0"/>
          <w:vertAlign w:val="subscript"/>
        </w:rPr>
        <w:t>i</w:t>
      </w:r>
      <w:r w:rsidRPr="00267C18">
        <w:rPr>
          <w:color w:val="7030A0"/>
        </w:rPr>
        <w:tab/>
        <w:t>share of recycled material i in percentage of the gross material input (%)</w:t>
      </w:r>
    </w:p>
    <w:p w14:paraId="58537DD0" w14:textId="77777777" w:rsidR="00DE7F3A" w:rsidRPr="00267C18" w:rsidRDefault="00DE7F3A" w:rsidP="00DE7F3A">
      <w:pPr>
        <w:ind w:left="993" w:hanging="993"/>
        <w:rPr>
          <w:color w:val="7030A0"/>
        </w:rPr>
      </w:pPr>
      <w:r w:rsidRPr="00267C18">
        <w:rPr>
          <w:color w:val="7030A0"/>
        </w:rPr>
        <w:t>CEF</w:t>
      </w:r>
      <w:r w:rsidRPr="00267C18">
        <w:rPr>
          <w:color w:val="7030A0"/>
          <w:vertAlign w:val="subscript"/>
        </w:rPr>
        <w:t>i,V</w:t>
      </w:r>
      <w:r w:rsidRPr="00267C18">
        <w:rPr>
          <w:color w:val="7030A0"/>
        </w:rPr>
        <w:tab/>
        <w:t>Carbon emission factor of virgin material i reflecting material production, component and vehicle manufacturing in kilogram of carbon dioxide equivalent (kgCO</w:t>
      </w:r>
      <w:r w:rsidRPr="00267C18">
        <w:rPr>
          <w:color w:val="7030A0"/>
          <w:vertAlign w:val="subscript"/>
        </w:rPr>
        <w:t>2</w:t>
      </w:r>
      <w:r w:rsidRPr="00267C18">
        <w:rPr>
          <w:color w:val="7030A0"/>
        </w:rPr>
        <w:t>e/kg)</w:t>
      </w:r>
    </w:p>
    <w:p w14:paraId="160E6A49" w14:textId="77777777" w:rsidR="00DE7F3A" w:rsidRPr="00267C18" w:rsidRDefault="00DE7F3A" w:rsidP="00DE7F3A">
      <w:pPr>
        <w:ind w:left="993" w:hanging="993"/>
        <w:rPr>
          <w:color w:val="7030A0"/>
        </w:rPr>
      </w:pPr>
      <w:r w:rsidRPr="00267C18">
        <w:rPr>
          <w:color w:val="7030A0"/>
        </w:rPr>
        <w:t>CEF</w:t>
      </w:r>
      <w:r w:rsidRPr="00267C18">
        <w:rPr>
          <w:color w:val="7030A0"/>
          <w:vertAlign w:val="subscript"/>
        </w:rPr>
        <w:t>i,R</w:t>
      </w:r>
      <w:r w:rsidRPr="00267C18">
        <w:rPr>
          <w:color w:val="7030A0"/>
        </w:rPr>
        <w:tab/>
        <w:t>Carbon emission factor of recycled material i reflecting material production, component and vehicle manufacturing in kilogram of carbon dioxide equivalent (kgCO</w:t>
      </w:r>
      <w:r w:rsidRPr="00267C18">
        <w:rPr>
          <w:color w:val="7030A0"/>
          <w:vertAlign w:val="subscript"/>
        </w:rPr>
        <w:t>2</w:t>
      </w:r>
      <w:r w:rsidRPr="00267C18">
        <w:rPr>
          <w:color w:val="7030A0"/>
        </w:rPr>
        <w:t>e/kg)</w:t>
      </w:r>
    </w:p>
    <w:p w14:paraId="7F20AB42" w14:textId="27DC4265" w:rsidR="00267C18" w:rsidRPr="00267C18" w:rsidRDefault="00267C18" w:rsidP="00DE7F3A">
      <w:pPr>
        <w:ind w:left="993" w:hanging="993"/>
        <w:rPr>
          <w:color w:val="7030A0"/>
        </w:rPr>
      </w:pPr>
      <w:r w:rsidRPr="00267C18">
        <w:rPr>
          <w:color w:val="7030A0"/>
        </w:rPr>
        <w:t>For transparency all the factors used in calculation shall be reported.</w:t>
      </w:r>
    </w:p>
    <w:p w14:paraId="5BCE7E97" w14:textId="6962F25D" w:rsidR="001A20B3" w:rsidRDefault="001A20B3">
      <w:pPr>
        <w:pStyle w:val="Heading4"/>
      </w:pPr>
      <w:r>
        <w:t>Level 3</w:t>
      </w:r>
    </w:p>
    <w:p w14:paraId="081B6F2B" w14:textId="77777777" w:rsidR="00DE7F3A" w:rsidRPr="007175C2" w:rsidRDefault="00DE7F3A" w:rsidP="00DE7F3A">
      <w:pPr>
        <w:rPr>
          <w:color w:val="7030A0"/>
        </w:rPr>
      </w:pPr>
      <w:r w:rsidRPr="007175C2">
        <w:rPr>
          <w:color w:val="7030A0"/>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Level2 in the calculation of the cradle to gate vehicle carbon footprint.</w:t>
      </w:r>
    </w:p>
    <w:p w14:paraId="1F848570" w14:textId="231BF439" w:rsidR="00DE7F3A" w:rsidRDefault="007175C2" w:rsidP="00DE7F3A">
      <w:r>
        <w:t>[Definition of Hotspots]</w:t>
      </w:r>
    </w:p>
    <w:p w14:paraId="39FFD1BC" w14:textId="31D4079A" w:rsidR="00DE7F3A" w:rsidRPr="007175C2" w:rsidRDefault="00DE7F3A" w:rsidP="00DE7F3A">
      <w:pPr>
        <w:autoSpaceDE w:val="0"/>
        <w:autoSpaceDN w:val="0"/>
        <w:adjustRightInd w:val="0"/>
        <w:spacing w:after="0"/>
        <w:jc w:val="left"/>
        <w:rPr>
          <w:color w:val="7030A0"/>
        </w:rPr>
      </w:pPr>
      <w:r w:rsidRPr="007175C2">
        <w:rPr>
          <w:color w:val="7030A0"/>
        </w:rPr>
        <w:t xml:space="preserve">For those hotspot or key subsystems primary data based reporting is the preferred approach and the use of available site-specific primary data is mandated. In case primary data cannot be obtained, secondary data shall be used. Secondary data shall be traceable and based on field survey data </w:t>
      </w:r>
      <w:r w:rsidR="007175C2" w:rsidRPr="007175C2">
        <w:rPr>
          <w:color w:val="7030A0"/>
        </w:rPr>
        <w:t>and</w:t>
      </w:r>
      <w:r w:rsidRPr="007175C2">
        <w:rPr>
          <w:color w:val="7030A0"/>
        </w:rPr>
        <w:t xml:space="preserve"> released by government authorities. </w:t>
      </w:r>
    </w:p>
    <w:p w14:paraId="261DEE0B" w14:textId="77777777" w:rsidR="00DE7F3A" w:rsidRPr="007175C2" w:rsidRDefault="00DE7F3A" w:rsidP="00DE7F3A">
      <w:pPr>
        <w:rPr>
          <w:color w:val="7030A0"/>
        </w:rPr>
      </w:pPr>
      <w:r w:rsidRPr="007175C2">
        <w:rPr>
          <w:color w:val="7030A0"/>
        </w:rPr>
        <w:t>The calculation of vehicle carbon footprint from production is given by:</w:t>
      </w:r>
    </w:p>
    <w:p w14:paraId="6541E02E" w14:textId="77777777" w:rsidR="00DE7F3A" w:rsidRPr="007175C2" w:rsidRDefault="009F04F3" w:rsidP="00DE7F3A">
      <w:pPr>
        <w:rPr>
          <w:color w:val="7030A0"/>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VP</m:t>
              </m:r>
            </m:sub>
          </m:sSub>
          <m:r>
            <w:rPr>
              <w:rFonts w:ascii="Cambria Math" w:hAnsi="Cambria Math"/>
              <w:color w:val="7030A0"/>
            </w:rPr>
            <m:t xml:space="preserve">= </m:t>
          </m:r>
          <m:nary>
            <m:naryPr>
              <m:chr m:val="∑"/>
              <m:limLoc m:val="subSup"/>
              <m:supHide m:val="1"/>
              <m:ctrlPr>
                <w:rPr>
                  <w:rFonts w:ascii="Cambria Math" w:hAnsi="Cambria Math"/>
                  <w:i/>
                  <w:color w:val="7030A0"/>
                </w:rPr>
              </m:ctrlPr>
            </m:naryPr>
            <m:sub>
              <m:r>
                <w:rPr>
                  <w:rFonts w:ascii="Cambria Math" w:hAnsi="Cambria Math"/>
                  <w:color w:val="7030A0"/>
                </w:rPr>
                <m:t>i</m:t>
              </m:r>
            </m:sub>
            <m:sup/>
            <m:e>
              <m:sSub>
                <m:sSubPr>
                  <m:ctrlPr>
                    <w:rPr>
                      <w:rFonts w:ascii="Cambria Math" w:hAnsi="Cambria Math"/>
                      <w:i/>
                      <w:color w:val="7030A0"/>
                    </w:rPr>
                  </m:ctrlPr>
                </m:sSubPr>
                <m:e>
                  <m:r>
                    <w:rPr>
                      <w:rFonts w:ascii="Cambria Math" w:hAnsi="Cambria Math"/>
                      <w:color w:val="7030A0"/>
                    </w:rPr>
                    <m:t>(</m:t>
                  </m:r>
                  <m:r>
                    <w:rPr>
                      <w:rFonts w:ascii="Cambria Math" w:hAnsi="Cambria Math"/>
                      <w:color w:val="7030A0"/>
                    </w:rPr>
                    <m:t>C</m:t>
                  </m:r>
                </m:e>
                <m:sub>
                  <m:r>
                    <w:rPr>
                      <w:rFonts w:ascii="Cambria Math" w:hAnsi="Cambria Math"/>
                      <w:color w:val="7030A0"/>
                    </w:rPr>
                    <m:t>HS</m:t>
                  </m:r>
                  <m:r>
                    <w:rPr>
                      <w:rFonts w:ascii="Cambria Math" w:hAnsi="Cambria Math"/>
                      <w:color w:val="7030A0"/>
                    </w:rPr>
                    <m:t>,</m:t>
                  </m:r>
                  <m:r>
                    <w:rPr>
                      <w:rFonts w:ascii="Cambria Math" w:hAnsi="Cambria Math"/>
                      <w:color w:val="7030A0"/>
                    </w:rPr>
                    <m:t>i</m:t>
                  </m:r>
                </m:sub>
              </m:sSub>
            </m:e>
          </m:nary>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BV</m:t>
              </m:r>
            </m:sub>
          </m:sSub>
        </m:oMath>
      </m:oMathPara>
    </w:p>
    <w:p w14:paraId="2B4229CA" w14:textId="77777777" w:rsidR="00DE7F3A" w:rsidRPr="007175C2" w:rsidRDefault="00DE7F3A" w:rsidP="00DE7F3A">
      <w:pPr>
        <w:ind w:left="993" w:hanging="993"/>
        <w:rPr>
          <w:color w:val="7030A0"/>
        </w:rPr>
      </w:pPr>
      <w:r w:rsidRPr="007175C2">
        <w:rPr>
          <w:color w:val="7030A0"/>
        </w:rPr>
        <w:t>Wherein:</w:t>
      </w:r>
    </w:p>
    <w:p w14:paraId="244A057F" w14:textId="77777777" w:rsidR="00DE7F3A" w:rsidRPr="007175C2" w:rsidRDefault="00DE7F3A" w:rsidP="00DE7F3A">
      <w:pPr>
        <w:ind w:left="993" w:hanging="993"/>
        <w:rPr>
          <w:color w:val="7030A0"/>
        </w:rPr>
      </w:pPr>
      <w:r w:rsidRPr="007175C2">
        <w:rPr>
          <w:color w:val="7030A0"/>
        </w:rPr>
        <w:lastRenderedPageBreak/>
        <w:t>C</w:t>
      </w:r>
      <w:r w:rsidRPr="007175C2">
        <w:rPr>
          <w:color w:val="7030A0"/>
          <w:vertAlign w:val="subscript"/>
        </w:rPr>
        <w:t>VP</w:t>
      </w:r>
      <w:r w:rsidRPr="007175C2">
        <w:rPr>
          <w:color w:val="7030A0"/>
          <w:vertAlign w:val="subscript"/>
        </w:rPr>
        <w:tab/>
      </w:r>
      <w:r w:rsidRPr="007175C2">
        <w:rPr>
          <w:color w:val="7030A0"/>
        </w:rPr>
        <w:t>carbon emissions due to material production processes, component production and vehicle manufacturing in kilogram of carbon dioxide equivalent (kgCO</w:t>
      </w:r>
      <w:r w:rsidRPr="007175C2">
        <w:rPr>
          <w:color w:val="7030A0"/>
          <w:vertAlign w:val="subscript"/>
        </w:rPr>
        <w:t>2</w:t>
      </w:r>
      <w:r w:rsidRPr="007175C2">
        <w:rPr>
          <w:color w:val="7030A0"/>
        </w:rPr>
        <w:t>e)</w:t>
      </w:r>
    </w:p>
    <w:p w14:paraId="46C1AE2E"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HS</w:t>
      </w:r>
      <w:r w:rsidRPr="007175C2">
        <w:rPr>
          <w:color w:val="7030A0"/>
          <w:vertAlign w:val="subscript"/>
        </w:rPr>
        <w:tab/>
      </w:r>
      <w:r w:rsidRPr="007175C2">
        <w:rPr>
          <w:color w:val="7030A0"/>
        </w:rPr>
        <w:t>carbon emissions due to manufacturing of hotspot subsystems (including material production processes and component production) and their assembly to the vehicle in kilogram of carbon dioxide equivalent (kgCO</w:t>
      </w:r>
      <w:r w:rsidRPr="007175C2">
        <w:rPr>
          <w:color w:val="7030A0"/>
          <w:vertAlign w:val="subscript"/>
        </w:rPr>
        <w:t>2</w:t>
      </w:r>
      <w:r w:rsidRPr="007175C2">
        <w:rPr>
          <w:color w:val="7030A0"/>
        </w:rPr>
        <w:t>e)</w:t>
      </w:r>
    </w:p>
    <w:p w14:paraId="0F43FAC6"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BV</w:t>
      </w:r>
      <w:r w:rsidRPr="007175C2">
        <w:rPr>
          <w:color w:val="7030A0"/>
          <w:vertAlign w:val="subscript"/>
        </w:rPr>
        <w:tab/>
      </w:r>
      <w:r w:rsidRPr="007175C2">
        <w:rPr>
          <w:color w:val="7030A0"/>
        </w:rPr>
        <w:t>carbon emissions due to material production, component and vehicle manufacturing with the exception of hotspot subsystems in kilogram of carbon dioxide equivalent (kgCO</w:t>
      </w:r>
      <w:r w:rsidRPr="007175C2">
        <w:rPr>
          <w:color w:val="7030A0"/>
          <w:vertAlign w:val="subscript"/>
        </w:rPr>
        <w:t>2</w:t>
      </w:r>
      <w:r w:rsidRPr="007175C2">
        <w:rPr>
          <w:color w:val="7030A0"/>
        </w:rPr>
        <w:t>e)</w:t>
      </w:r>
    </w:p>
    <w:p w14:paraId="3DF82C29" w14:textId="0275039B" w:rsidR="00DE7F3A" w:rsidRPr="007175C2" w:rsidRDefault="00DE7F3A" w:rsidP="00DE7F3A">
      <w:pPr>
        <w:rPr>
          <w:color w:val="7030A0"/>
        </w:rPr>
      </w:pPr>
      <w:r w:rsidRPr="007175C2">
        <w:rPr>
          <w:color w:val="7030A0"/>
        </w:rPr>
        <w:t>C</w:t>
      </w:r>
      <w:r w:rsidRPr="007175C2">
        <w:rPr>
          <w:color w:val="7030A0"/>
          <w:vertAlign w:val="subscript"/>
        </w:rPr>
        <w:t>HS</w:t>
      </w:r>
      <w:r w:rsidRPr="007175C2">
        <w:rPr>
          <w:color w:val="7030A0"/>
        </w:rPr>
        <w:t xml:space="preserve"> is calculated according to Level 4</w:t>
      </w:r>
      <w:r w:rsidR="007175C2" w:rsidRPr="007175C2">
        <w:rPr>
          <w:color w:val="7030A0"/>
        </w:rPr>
        <w:t xml:space="preserve"> </w:t>
      </w:r>
      <w:r w:rsidRPr="007175C2">
        <w:rPr>
          <w:color w:val="7030A0"/>
        </w:rPr>
        <w:t>definitions. C</w:t>
      </w:r>
      <w:r w:rsidRPr="007175C2">
        <w:rPr>
          <w:color w:val="7030A0"/>
          <w:vertAlign w:val="subscript"/>
        </w:rPr>
        <w:t>BV</w:t>
      </w:r>
      <w:r w:rsidRPr="007175C2">
        <w:rPr>
          <w:color w:val="7030A0"/>
        </w:rPr>
        <w:t xml:space="preserve"> for the remaining vehicle materials, parts and production processes excluding hotspots follow the calculation defined for Level 2.</w:t>
      </w:r>
    </w:p>
    <w:p w14:paraId="494F5C56" w14:textId="58FE33A4" w:rsidR="007175C2" w:rsidRDefault="007175C2" w:rsidP="007175C2">
      <w:r>
        <w:t>[Transport to be covered]</w:t>
      </w:r>
    </w:p>
    <w:p w14:paraId="486AEE93" w14:textId="77777777" w:rsidR="007175C2" w:rsidRPr="001A20B3" w:rsidRDefault="007175C2" w:rsidP="00DE7F3A"/>
    <w:p w14:paraId="58854250" w14:textId="79D7E3E6" w:rsidR="00445508" w:rsidRDefault="00445508">
      <w:pPr>
        <w:pStyle w:val="Heading4"/>
      </w:pPr>
      <w:r>
        <w:t>Level 4</w:t>
      </w:r>
    </w:p>
    <w:p w14:paraId="74C5F3B8" w14:textId="77777777" w:rsidR="00DE7F3A" w:rsidRPr="007175C2" w:rsidRDefault="00DE7F3A" w:rsidP="00DE7F3A">
      <w:pPr>
        <w:rPr>
          <w:color w:val="7030A0"/>
        </w:rPr>
      </w:pPr>
      <w:r w:rsidRPr="007175C2">
        <w:rPr>
          <w:color w:val="7030A0"/>
        </w:rPr>
        <w: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Transport within the supply chain is accounted according to the definitions in section </w:t>
      </w:r>
      <w:r w:rsidRPr="007175C2">
        <w:rPr>
          <w:color w:val="7030A0"/>
        </w:rPr>
        <w:fldChar w:fldCharType="begin"/>
      </w:r>
      <w:r w:rsidRPr="007175C2">
        <w:rPr>
          <w:color w:val="7030A0"/>
        </w:rPr>
        <w:instrText xml:space="preserve"> REF _Ref174540295 \r \h </w:instrText>
      </w:r>
      <w:r w:rsidRPr="007175C2">
        <w:rPr>
          <w:color w:val="7030A0"/>
        </w:rPr>
      </w:r>
      <w:r w:rsidRPr="007175C2">
        <w:rPr>
          <w:color w:val="7030A0"/>
        </w:rPr>
        <w:fldChar w:fldCharType="separate"/>
      </w:r>
      <w:r w:rsidRPr="007175C2">
        <w:rPr>
          <w:color w:val="7030A0"/>
        </w:rPr>
        <w:t>3.2.5</w:t>
      </w:r>
      <w:r w:rsidRPr="007175C2">
        <w:rPr>
          <w:color w:val="7030A0"/>
        </w:rPr>
        <w:fldChar w:fldCharType="end"/>
      </w:r>
      <w:r w:rsidRPr="007175C2">
        <w:rPr>
          <w:color w:val="7030A0"/>
        </w:rPr>
        <w:t>.</w:t>
      </w:r>
    </w:p>
    <w:p w14:paraId="6923DA6B" w14:textId="77777777" w:rsidR="00DE7F3A" w:rsidRPr="007175C2" w:rsidRDefault="00DE7F3A" w:rsidP="00DE7F3A">
      <w:pPr>
        <w:rPr>
          <w:color w:val="7030A0"/>
        </w:rPr>
      </w:pPr>
      <w:r w:rsidRPr="007175C2">
        <w:rPr>
          <w:color w:val="7030A0"/>
        </w:rPr>
        <w:t>The calculation of vehicle carbon footprint from production is given by:</w:t>
      </w:r>
    </w:p>
    <w:p w14:paraId="1F7F2F63" w14:textId="77777777" w:rsidR="00DE7F3A" w:rsidRPr="007175C2" w:rsidRDefault="009F04F3" w:rsidP="00DE7F3A">
      <w:pPr>
        <w:rPr>
          <w:rFonts w:eastAsiaTheme="minorEastAsia" w:hint="eastAsia"/>
          <w:color w:val="7030A0"/>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VP</m:t>
              </m:r>
            </m:sub>
          </m:sSub>
          <m:r>
            <w:rPr>
              <w:rFonts w:ascii="Cambria Math" w:hAnsi="Cambria Math"/>
              <w:color w:val="7030A0"/>
            </w:rPr>
            <m:t>=</m:t>
          </m:r>
          <m:nary>
            <m:naryPr>
              <m:chr m:val="∑"/>
              <m:limLoc m:val="undOvr"/>
              <m:supHide m:val="1"/>
              <m:ctrlPr>
                <w:rPr>
                  <w:rFonts w:ascii="Cambria Math" w:hAnsi="Cambria Math"/>
                  <w:i/>
                  <w:color w:val="7030A0"/>
                </w:rPr>
              </m:ctrlPr>
            </m:naryPr>
            <m:sub>
              <m:r>
                <w:rPr>
                  <w:rFonts w:ascii="Cambria Math" w:hAnsi="Cambria Math"/>
                  <w:color w:val="7030A0"/>
                </w:rPr>
                <m:t>i</m:t>
              </m:r>
            </m:sub>
            <m:sup/>
            <m:e>
              <m:d>
                <m:dPr>
                  <m:ctrlPr>
                    <w:rPr>
                      <w:rFonts w:ascii="Cambria Math" w:hAnsi="Cambria Math"/>
                      <w:i/>
                      <w:color w:val="7030A0"/>
                    </w:rPr>
                  </m:ctrlPr>
                </m:dPr>
                <m:e>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T</m:t>
                      </m:r>
                      <m:r>
                        <w:rPr>
                          <w:rFonts w:ascii="Cambria Math" w:hAnsi="Cambria Math"/>
                          <w:color w:val="7030A0"/>
                        </w:rPr>
                        <m:t>1,</m:t>
                      </m:r>
                      <m:r>
                        <w:rPr>
                          <w:rFonts w:ascii="Cambria Math" w:hAnsi="Cambria Math"/>
                          <w:color w:val="7030A0"/>
                        </w:rPr>
                        <m:t>i</m:t>
                      </m:r>
                    </m:sub>
                  </m:sSub>
                </m:e>
              </m:d>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op</m:t>
                  </m:r>
                </m:sub>
              </m:sSub>
            </m:e>
          </m:nary>
        </m:oMath>
      </m:oMathPara>
    </w:p>
    <w:p w14:paraId="6D49ADBF" w14:textId="77777777" w:rsidR="00DE7F3A" w:rsidRPr="007175C2" w:rsidRDefault="009F04F3" w:rsidP="00DE7F3A">
      <w:pPr>
        <w:rPr>
          <w:color w:val="7030A0"/>
        </w:rPr>
      </w:pPr>
      <m:oMathPara>
        <m:oMath>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T</m:t>
              </m:r>
              <m:r>
                <w:rPr>
                  <w:rFonts w:ascii="Cambria Math" w:hAnsi="Cambria Math"/>
                  <w:color w:val="7030A0"/>
                </w:rPr>
                <m:t>,</m:t>
              </m:r>
              <m:r>
                <w:rPr>
                  <w:rFonts w:ascii="Cambria Math" w:hAnsi="Cambria Math"/>
                  <w:color w:val="7030A0"/>
                </w:rPr>
                <m:t>j</m:t>
              </m:r>
            </m:sub>
          </m:sSub>
          <m:r>
            <w:rPr>
              <w:rFonts w:ascii="Cambria Math" w:hAnsi="Cambria Math"/>
              <w:color w:val="7030A0"/>
            </w:rPr>
            <m:t>=</m:t>
          </m:r>
          <m:nary>
            <m:naryPr>
              <m:chr m:val="∑"/>
              <m:limLoc m:val="undOvr"/>
              <m:supHide m:val="1"/>
              <m:ctrlPr>
                <w:rPr>
                  <w:rFonts w:ascii="Cambria Math" w:hAnsi="Cambria Math"/>
                  <w:i/>
                  <w:color w:val="7030A0"/>
                </w:rPr>
              </m:ctrlPr>
            </m:naryPr>
            <m:sub>
              <m:r>
                <w:rPr>
                  <w:rFonts w:ascii="Cambria Math" w:hAnsi="Cambria Math"/>
                  <w:color w:val="7030A0"/>
                </w:rPr>
                <m:t>i</m:t>
              </m:r>
            </m:sub>
            <m:sup/>
            <m:e>
              <m:r>
                <w:rPr>
                  <w:rFonts w:ascii="Cambria Math" w:hAnsi="Cambria Math"/>
                  <w:color w:val="7030A0"/>
                </w:rPr>
                <m:t>(</m:t>
              </m:r>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Tj</m:t>
                  </m:r>
                  <m:r>
                    <w:rPr>
                      <w:rFonts w:ascii="Cambria Math" w:hAnsi="Cambria Math"/>
                      <w:color w:val="7030A0"/>
                    </w:rPr>
                    <m:t>-</m:t>
                  </m:r>
                  <m:r>
                    <w:rPr>
                      <w:rFonts w:ascii="Cambria Math" w:hAnsi="Cambria Math"/>
                      <w:color w:val="7030A0"/>
                    </w:rPr>
                    <m:t>1,</m:t>
                  </m:r>
                  <m:r>
                    <w:rPr>
                      <w:rFonts w:ascii="Cambria Math" w:hAnsi="Cambria Math"/>
                      <w:color w:val="7030A0"/>
                    </w:rPr>
                    <m:t>i</m:t>
                  </m:r>
                </m:sub>
              </m:sSub>
              <m:r>
                <w:rPr>
                  <w:rFonts w:ascii="Cambria Math" w:hAnsi="Cambria Math"/>
                  <w:color w:val="7030A0"/>
                </w:rPr>
                <m:t>)</m:t>
              </m:r>
            </m:e>
          </m:nary>
          <m:r>
            <w:rPr>
              <w:rFonts w:ascii="Cambria Math" w:hAnsi="Cambria Math"/>
              <w:color w:val="7030A0"/>
            </w:rPr>
            <m:t xml:space="preserve">+ </m:t>
          </m:r>
          <m:sSub>
            <m:sSubPr>
              <m:ctrlPr>
                <w:rPr>
                  <w:rFonts w:ascii="Cambria Math" w:hAnsi="Cambria Math"/>
                  <w:i/>
                  <w:color w:val="7030A0"/>
                </w:rPr>
              </m:ctrlPr>
            </m:sSubPr>
            <m:e>
              <m:r>
                <w:rPr>
                  <w:rFonts w:ascii="Cambria Math" w:hAnsi="Cambria Math"/>
                  <w:color w:val="7030A0"/>
                </w:rPr>
                <m:t>C</m:t>
              </m:r>
            </m:e>
            <m:sub>
              <m:r>
                <w:rPr>
                  <w:rFonts w:ascii="Cambria Math" w:hAnsi="Cambria Math"/>
                  <w:color w:val="7030A0"/>
                </w:rPr>
                <m:t>op</m:t>
              </m:r>
              <m:r>
                <w:rPr>
                  <w:rFonts w:ascii="Cambria Math" w:hAnsi="Cambria Math"/>
                  <w:color w:val="7030A0"/>
                </w:rPr>
                <m:t>,</m:t>
              </m:r>
              <m:r>
                <w:rPr>
                  <w:rFonts w:ascii="Cambria Math" w:hAnsi="Cambria Math"/>
                  <w:color w:val="7030A0"/>
                </w:rPr>
                <m:t>j</m:t>
              </m:r>
            </m:sub>
          </m:sSub>
        </m:oMath>
      </m:oMathPara>
    </w:p>
    <w:p w14:paraId="3E9B6ED9" w14:textId="77777777" w:rsidR="00DE7F3A" w:rsidRPr="007175C2" w:rsidRDefault="00DE7F3A" w:rsidP="00DE7F3A">
      <w:pPr>
        <w:ind w:left="993" w:hanging="993"/>
        <w:rPr>
          <w:color w:val="7030A0"/>
        </w:rPr>
      </w:pPr>
      <w:r w:rsidRPr="007175C2">
        <w:rPr>
          <w:color w:val="7030A0"/>
        </w:rPr>
        <w:t>Wherein:</w:t>
      </w:r>
    </w:p>
    <w:p w14:paraId="6BF85B6A"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VP</w:t>
      </w:r>
      <w:r w:rsidRPr="007175C2">
        <w:rPr>
          <w:color w:val="7030A0"/>
          <w:vertAlign w:val="subscript"/>
        </w:rPr>
        <w:tab/>
      </w:r>
      <w:r w:rsidRPr="007175C2">
        <w:rPr>
          <w:color w:val="7030A0"/>
        </w:rPr>
        <w:t>carbon emissions due to material production, component and vehicle manufacturing in kilogram of carbon dioxide equivalent (kgCO</w:t>
      </w:r>
      <w:r w:rsidRPr="007175C2">
        <w:rPr>
          <w:color w:val="7030A0"/>
          <w:vertAlign w:val="subscript"/>
        </w:rPr>
        <w:t>2</w:t>
      </w:r>
      <w:r w:rsidRPr="007175C2">
        <w:rPr>
          <w:color w:val="7030A0"/>
        </w:rPr>
        <w:t>e)</w:t>
      </w:r>
    </w:p>
    <w:p w14:paraId="31D7D085"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op</w:t>
      </w:r>
      <w:r w:rsidRPr="007175C2">
        <w:rPr>
          <w:color w:val="7030A0"/>
          <w:vertAlign w:val="subscript"/>
        </w:rPr>
        <w:tab/>
      </w:r>
      <w:r w:rsidRPr="007175C2">
        <w:rPr>
          <w:color w:val="7030A0"/>
        </w:rPr>
        <w:t>carbon emissions due to the vehicle manufacturer’s own operations for material production processes, component production and vehicle manufacturing in kilogram of carbon dioxide equivalent (kgCO</w:t>
      </w:r>
      <w:r w:rsidRPr="007175C2">
        <w:rPr>
          <w:color w:val="7030A0"/>
          <w:vertAlign w:val="subscript"/>
        </w:rPr>
        <w:t>2</w:t>
      </w:r>
      <w:r w:rsidRPr="007175C2">
        <w:rPr>
          <w:color w:val="7030A0"/>
        </w:rPr>
        <w:t>e)</w:t>
      </w:r>
    </w:p>
    <w:p w14:paraId="3F673E15"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T1</w:t>
      </w:r>
      <w:r w:rsidRPr="007175C2">
        <w:rPr>
          <w:color w:val="7030A0"/>
          <w:vertAlign w:val="subscript"/>
        </w:rPr>
        <w:tab/>
      </w:r>
      <w:r w:rsidRPr="007175C2">
        <w:rPr>
          <w:color w:val="7030A0"/>
        </w:rPr>
        <w:t>carbon emissions reported from the Tier 1 supplier for the material production processes, component production of supplied parts in kilogram of carbon dioxide equivalent (kgCO</w:t>
      </w:r>
      <w:r w:rsidRPr="007175C2">
        <w:rPr>
          <w:color w:val="7030A0"/>
          <w:vertAlign w:val="subscript"/>
        </w:rPr>
        <w:t>2</w:t>
      </w:r>
      <w:r w:rsidRPr="007175C2">
        <w:rPr>
          <w:color w:val="7030A0"/>
        </w:rPr>
        <w:t>e)</w:t>
      </w:r>
    </w:p>
    <w:p w14:paraId="76C57535" w14:textId="77777777" w:rsidR="00DE7F3A" w:rsidRPr="007175C2" w:rsidRDefault="00DE7F3A" w:rsidP="00DE7F3A">
      <w:pPr>
        <w:ind w:left="993" w:hanging="993"/>
        <w:rPr>
          <w:color w:val="7030A0"/>
        </w:rPr>
      </w:pPr>
      <w:r w:rsidRPr="007175C2">
        <w:rPr>
          <w:color w:val="7030A0"/>
        </w:rPr>
        <w:t>C</w:t>
      </w:r>
      <w:r w:rsidRPr="007175C2">
        <w:rPr>
          <w:color w:val="7030A0"/>
          <w:vertAlign w:val="subscript"/>
        </w:rPr>
        <w:t>Tj</w:t>
      </w:r>
      <w:r w:rsidRPr="007175C2">
        <w:rPr>
          <w:color w:val="7030A0"/>
          <w:vertAlign w:val="subscript"/>
        </w:rPr>
        <w:tab/>
      </w:r>
      <w:r w:rsidRPr="007175C2">
        <w:rPr>
          <w:color w:val="7030A0"/>
        </w:rPr>
        <w:t>carbon emissions reported from the Tier j supplier for the material production processes, component production of supplied parts in kilogram of carbon dioxide equivalent (kgCO</w:t>
      </w:r>
      <w:r w:rsidRPr="007175C2">
        <w:rPr>
          <w:color w:val="7030A0"/>
          <w:vertAlign w:val="subscript"/>
        </w:rPr>
        <w:t>2</w:t>
      </w:r>
      <w:r w:rsidRPr="007175C2">
        <w:rPr>
          <w:color w:val="7030A0"/>
        </w:rPr>
        <w:t>e)</w:t>
      </w:r>
    </w:p>
    <w:p w14:paraId="102E5A55" w14:textId="3F356A22" w:rsidR="00DE7F3A" w:rsidRPr="007175C2" w:rsidRDefault="00DE7F3A" w:rsidP="00DE7F3A">
      <w:pPr>
        <w:autoSpaceDE w:val="0"/>
        <w:autoSpaceDN w:val="0"/>
        <w:adjustRightInd w:val="0"/>
        <w:spacing w:after="0"/>
        <w:jc w:val="left"/>
        <w:rPr>
          <w:color w:val="7030A0"/>
        </w:rPr>
      </w:pPr>
      <w:r w:rsidRPr="007175C2">
        <w:rPr>
          <w:color w:val="7030A0"/>
        </w:rPr>
        <w:t xml:space="preserve">In case primary data cannot be obtained, secondary data shall be used. Secondary data shall be traceable and based on field survey data </w:t>
      </w:r>
      <w:r w:rsidR="007175C2" w:rsidRPr="007175C2">
        <w:rPr>
          <w:color w:val="7030A0"/>
        </w:rPr>
        <w:t>and</w:t>
      </w:r>
      <w:r w:rsidRPr="007175C2">
        <w:rPr>
          <w:color w:val="7030A0"/>
        </w:rPr>
        <w:t xml:space="preserve"> released by government authorities.</w:t>
      </w:r>
    </w:p>
    <w:p w14:paraId="49F13DBE" w14:textId="77777777" w:rsidR="007175C2" w:rsidRDefault="007175C2" w:rsidP="00DE7F3A">
      <w:pPr>
        <w:autoSpaceDE w:val="0"/>
        <w:autoSpaceDN w:val="0"/>
        <w:adjustRightInd w:val="0"/>
        <w:spacing w:after="0"/>
        <w:jc w:val="left"/>
      </w:pPr>
    </w:p>
    <w:p w14:paraId="1A2969F8" w14:textId="58443F21" w:rsidR="007175C2" w:rsidRPr="00445508" w:rsidRDefault="007175C2" w:rsidP="007175C2">
      <w:r>
        <w:t>[Transport to be covered]</w:t>
      </w:r>
    </w:p>
    <w:p w14:paraId="0DF84671" w14:textId="7206E402" w:rsidR="00E85A78" w:rsidRDefault="00E85A78" w:rsidP="00E85A78">
      <w:pPr>
        <w:pStyle w:val="Heading3"/>
      </w:pPr>
      <w:bookmarkStart w:id="85" w:name="_Toc178672690"/>
      <w:r>
        <w:t>Declared Unit</w:t>
      </w:r>
      <w:bookmarkEnd w:id="85"/>
    </w:p>
    <w:p w14:paraId="2A3FBA59" w14:textId="59FE20DD" w:rsidR="005600AE" w:rsidRPr="006F603C" w:rsidRDefault="005600AE" w:rsidP="005600AE">
      <w:pPr>
        <w:rPr>
          <w:rFonts w:asciiTheme="majorHAnsi" w:hAnsiTheme="majorHAnsi"/>
          <w:color w:val="7030A0"/>
        </w:rPr>
      </w:pPr>
      <w:r w:rsidRPr="006F603C">
        <w:rPr>
          <w:rFonts w:asciiTheme="majorHAnsi" w:hAnsiTheme="majorHAnsi"/>
          <w:color w:val="7030A0"/>
        </w:rPr>
        <w:t xml:space="preserve">The product carbon footprint shall be assessed for a declared unit. A functional equivalent is established by the data recipient and is defined from a product use perspective (see </w:t>
      </w:r>
      <w:r w:rsidRPr="006F603C">
        <w:rPr>
          <w:rFonts w:asciiTheme="majorHAnsi" w:hAnsiTheme="majorHAnsi"/>
          <w:color w:val="7030A0"/>
        </w:rPr>
        <w:fldChar w:fldCharType="begin"/>
      </w:r>
      <w:r w:rsidRPr="006F603C">
        <w:rPr>
          <w:rFonts w:asciiTheme="majorHAnsi" w:hAnsiTheme="majorHAnsi"/>
          <w:color w:val="7030A0"/>
        </w:rPr>
        <w:instrText xml:space="preserve"> REF _Ref173411185 \r \h </w:instrText>
      </w:r>
      <w:r w:rsidRPr="006F603C">
        <w:rPr>
          <w:rFonts w:asciiTheme="majorHAnsi" w:hAnsiTheme="majorHAnsi"/>
          <w:color w:val="7030A0"/>
        </w:rPr>
      </w:r>
      <w:r w:rsidRPr="006F603C">
        <w:rPr>
          <w:rFonts w:asciiTheme="majorHAnsi" w:hAnsiTheme="majorHAnsi"/>
          <w:color w:val="7030A0"/>
        </w:rPr>
        <w:fldChar w:fldCharType="separate"/>
      </w:r>
      <w:r w:rsidRPr="006F603C">
        <w:rPr>
          <w:rFonts w:asciiTheme="majorHAnsi" w:hAnsiTheme="majorHAnsi"/>
          <w:color w:val="7030A0"/>
        </w:rPr>
        <w:t>3.2.3</w:t>
      </w:r>
      <w:r w:rsidRPr="006F603C">
        <w:rPr>
          <w:rFonts w:asciiTheme="majorHAnsi" w:hAnsiTheme="majorHAnsi"/>
          <w:color w:val="7030A0"/>
        </w:rPr>
        <w:fldChar w:fldCharType="end"/>
      </w:r>
      <w:r w:rsidRPr="006F603C">
        <w:rPr>
          <w:rFonts w:asciiTheme="majorHAnsi" w:hAnsiTheme="majorHAnsi"/>
          <w:color w:val="7030A0"/>
        </w:rPr>
        <w:t>).</w:t>
      </w:r>
    </w:p>
    <w:p w14:paraId="69DCC47E" w14:textId="33F4F121" w:rsidR="005600AE" w:rsidRPr="006F603C" w:rsidRDefault="005600AE" w:rsidP="005600AE">
      <w:pPr>
        <w:rPr>
          <w:rFonts w:asciiTheme="majorHAnsi" w:hAnsiTheme="majorHAnsi"/>
          <w:color w:val="7030A0"/>
        </w:rPr>
      </w:pPr>
      <w:r w:rsidRPr="006F603C">
        <w:rPr>
          <w:rFonts w:asciiTheme="majorHAnsi" w:hAnsiTheme="majorHAnsi"/>
          <w:color w:val="7030A0"/>
        </w:rPr>
        <w:t xml:space="preserve">For </w:t>
      </w:r>
      <w:r w:rsidRPr="006F603C">
        <w:rPr>
          <w:rStyle w:val="Strong"/>
          <w:rFonts w:asciiTheme="majorHAnsi" w:hAnsiTheme="majorHAnsi"/>
          <w:color w:val="7030A0"/>
        </w:rPr>
        <w:t>countable products</w:t>
      </w:r>
      <w:r w:rsidRPr="006F603C">
        <w:rPr>
          <w:rFonts w:asciiTheme="majorHAnsi" w:hAnsiTheme="majorHAnsi"/>
          <w:color w:val="7030A0"/>
        </w:rPr>
        <w:t>, i.e., a component or part, the declared unit shall be 1 piece as described in the part description including a defined weight and a unique identifier (part number).</w:t>
      </w:r>
    </w:p>
    <w:p w14:paraId="556AFFA5" w14:textId="77777777" w:rsidR="005600AE" w:rsidRPr="006F603C" w:rsidRDefault="005600AE" w:rsidP="005600AE">
      <w:pPr>
        <w:rPr>
          <w:rFonts w:asciiTheme="majorHAnsi" w:hAnsiTheme="majorHAnsi"/>
          <w:color w:val="7030A0"/>
        </w:rPr>
      </w:pPr>
      <w:r w:rsidRPr="006F603C">
        <w:rPr>
          <w:rFonts w:asciiTheme="majorHAnsi" w:hAnsiTheme="majorHAnsi"/>
          <w:color w:val="7030A0"/>
        </w:rPr>
        <w:t xml:space="preserve">For </w:t>
      </w:r>
      <w:r w:rsidRPr="006F603C">
        <w:rPr>
          <w:rStyle w:val="Strong"/>
          <w:rFonts w:asciiTheme="majorHAnsi" w:hAnsiTheme="majorHAnsi"/>
          <w:color w:val="7030A0"/>
        </w:rPr>
        <w:t>materials</w:t>
      </w:r>
      <w:r w:rsidRPr="006F603C">
        <w:rPr>
          <w:rFonts w:asciiTheme="majorHAnsi" w:hAnsiTheme="majorHAnsi"/>
          <w:color w:val="7030A0"/>
        </w:rPr>
        <w:t>, i.e., mass products or commodities, the declared unit shall be 1 kg of products, regardless of its state (solid, liquid, gas), as its specific density is considered.</w:t>
      </w:r>
    </w:p>
    <w:p w14:paraId="2D03242B" w14:textId="14C65EFF" w:rsidR="005600AE" w:rsidRDefault="005600AE" w:rsidP="005600AE">
      <w:pPr>
        <w:rPr>
          <w:rFonts w:asciiTheme="majorHAnsi" w:hAnsiTheme="majorHAnsi"/>
          <w:color w:val="7030A0"/>
        </w:rPr>
      </w:pPr>
      <w:r w:rsidRPr="006F603C">
        <w:rPr>
          <w:rFonts w:asciiTheme="majorHAnsi" w:hAnsiTheme="majorHAnsi"/>
          <w:color w:val="7030A0"/>
        </w:rPr>
        <w:t>If packaging is included, the declared unit is 1 kg or 1 piece of unpackaged product at the factory gate. The PCF however includes the PCF contribution of packaging.</w:t>
      </w:r>
    </w:p>
    <w:p w14:paraId="742A494D" w14:textId="14E6738F" w:rsidR="006F603C" w:rsidRPr="006F603C" w:rsidRDefault="006F603C" w:rsidP="005600AE">
      <w:pPr>
        <w:rPr>
          <w:rFonts w:asciiTheme="majorHAnsi" w:hAnsiTheme="majorHAnsi"/>
          <w:color w:val="auto"/>
        </w:rPr>
      </w:pPr>
      <w:r w:rsidRPr="006F603C">
        <w:rPr>
          <w:rFonts w:asciiTheme="majorHAnsi" w:hAnsiTheme="majorHAnsi"/>
          <w:color w:val="auto"/>
        </w:rPr>
        <w:t>[Add declared unit for OEM: Vehicle delivered to customer at show room]</w:t>
      </w:r>
    </w:p>
    <w:p w14:paraId="0DFFB048" w14:textId="7CC43CC0" w:rsidR="00E85A78" w:rsidRDefault="00E85A78" w:rsidP="00E85A78">
      <w:pPr>
        <w:pStyle w:val="Heading3"/>
      </w:pPr>
      <w:bookmarkStart w:id="86" w:name="_Toc178672691"/>
      <w:r>
        <w:lastRenderedPageBreak/>
        <w:t>System Boundaries</w:t>
      </w:r>
      <w:bookmarkEnd w:id="86"/>
    </w:p>
    <w:p w14:paraId="197A85FA" w14:textId="71AA1467" w:rsidR="001D44AA" w:rsidRDefault="001D44AA" w:rsidP="005600AE">
      <w:pPr>
        <w:rPr>
          <w:rFonts w:asciiTheme="majorHAnsi" w:hAnsiTheme="majorHAnsi" w:cstheme="majorHAnsi"/>
          <w:sz w:val="24"/>
          <w:szCs w:val="24"/>
        </w:rPr>
      </w:pPr>
      <w:r w:rsidRPr="001D43E6">
        <w:rPr>
          <w:rFonts w:asciiTheme="majorHAnsi" w:hAnsiTheme="majorHAnsi"/>
          <w:color w:val="7030A0"/>
        </w:rPr>
        <w:t xml:space="preserve">The system boundary of the parts and vehicles production stage is outlined in </w:t>
      </w:r>
      <w:r w:rsidR="008272DB">
        <w:rPr>
          <w:rFonts w:asciiTheme="majorHAnsi" w:hAnsiTheme="majorHAnsi"/>
          <w:color w:val="7030A0"/>
        </w:rPr>
        <w:fldChar w:fldCharType="begin"/>
      </w:r>
      <w:r w:rsidR="008272DB">
        <w:rPr>
          <w:rFonts w:asciiTheme="majorHAnsi" w:hAnsiTheme="majorHAnsi"/>
          <w:color w:val="7030A0"/>
        </w:rPr>
        <w:instrText xml:space="preserve"> REF _Ref178673527 \h </w:instrText>
      </w:r>
      <w:r w:rsidR="008272DB">
        <w:rPr>
          <w:rFonts w:asciiTheme="majorHAnsi" w:hAnsiTheme="majorHAnsi"/>
          <w:color w:val="7030A0"/>
        </w:rPr>
      </w:r>
      <w:r w:rsidR="008272DB">
        <w:rPr>
          <w:rFonts w:asciiTheme="majorHAnsi" w:hAnsiTheme="majorHAnsi"/>
          <w:color w:val="7030A0"/>
        </w:rPr>
        <w:fldChar w:fldCharType="separate"/>
      </w:r>
      <w:r w:rsidR="008272DB">
        <w:t xml:space="preserve">Figure </w:t>
      </w:r>
      <w:r w:rsidR="008272DB">
        <w:rPr>
          <w:noProof/>
        </w:rPr>
        <w:t>11</w:t>
      </w:r>
      <w:r w:rsidR="008272DB">
        <w:rPr>
          <w:rFonts w:asciiTheme="majorHAnsi" w:hAnsiTheme="majorHAnsi"/>
          <w:color w:val="7030A0"/>
        </w:rPr>
        <w:fldChar w:fldCharType="end"/>
      </w:r>
      <w:r w:rsidRPr="001D43E6">
        <w:rPr>
          <w:rFonts w:asciiTheme="majorHAnsi" w:hAnsiTheme="majorHAnsi" w:cstheme="majorHAnsi"/>
          <w:color w:val="7030A0"/>
          <w:sz w:val="24"/>
          <w:szCs w:val="24"/>
        </w:rPr>
        <w:t>.</w:t>
      </w:r>
    </w:p>
    <w:p w14:paraId="20BFAF76" w14:textId="1D6E2F82" w:rsidR="001D44AA" w:rsidRDefault="001D43E6" w:rsidP="005600AE">
      <w:pPr>
        <w:rPr>
          <w:rFonts w:asciiTheme="majorHAnsi" w:hAnsiTheme="majorHAnsi" w:cstheme="majorHAnsi"/>
          <w:sz w:val="24"/>
          <w:szCs w:val="24"/>
        </w:rPr>
      </w:pPr>
      <w:r>
        <w:rPr>
          <w:rFonts w:asciiTheme="majorHAnsi" w:hAnsiTheme="majorHAnsi" w:cstheme="majorHAnsi"/>
          <w:noProof/>
          <w:sz w:val="24"/>
          <w:szCs w:val="24"/>
        </w:rPr>
        <w:drawing>
          <wp:inline distT="0" distB="0" distL="0" distR="0" wp14:anchorId="44E89A77" wp14:editId="62CAB0C8">
            <wp:extent cx="5870081" cy="2059323"/>
            <wp:effectExtent l="0" t="0" r="0" b="0"/>
            <wp:docPr id="63459090"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04319" cy="2071334"/>
                    </a:xfrm>
                    <a:prstGeom prst="rect">
                      <a:avLst/>
                    </a:prstGeom>
                    <a:noFill/>
                  </pic:spPr>
                </pic:pic>
              </a:graphicData>
            </a:graphic>
          </wp:inline>
        </w:drawing>
      </w:r>
    </w:p>
    <w:p w14:paraId="08764AA3" w14:textId="41818EEB" w:rsidR="008272DB" w:rsidRDefault="008272DB" w:rsidP="008272DB">
      <w:pPr>
        <w:pStyle w:val="Caption"/>
      </w:pPr>
      <w:bookmarkStart w:id="87" w:name="_Ref178673527"/>
      <w:bookmarkStart w:id="88" w:name="_Toc178673569"/>
      <w:r>
        <w:t xml:space="preserve">Figure </w:t>
      </w:r>
      <w:r>
        <w:fldChar w:fldCharType="begin"/>
      </w:r>
      <w:r>
        <w:instrText xml:space="preserve"> SEQ Figure \* ARABIC </w:instrText>
      </w:r>
      <w:r>
        <w:fldChar w:fldCharType="separate"/>
      </w:r>
      <w:r>
        <w:rPr>
          <w:noProof/>
        </w:rPr>
        <w:t>11</w:t>
      </w:r>
      <w:r>
        <w:fldChar w:fldCharType="end"/>
      </w:r>
      <w:bookmarkEnd w:id="87"/>
      <w:r>
        <w:t>:</w:t>
      </w:r>
      <w:r w:rsidRPr="006C445A">
        <w:t xml:space="preserve"> System boundaries in production.</w:t>
      </w:r>
      <w:bookmarkEnd w:id="88"/>
    </w:p>
    <w:p w14:paraId="564A1FCA" w14:textId="77777777" w:rsidR="001D44AA" w:rsidRPr="001D43E6" w:rsidRDefault="001D44AA" w:rsidP="005600AE">
      <w:pPr>
        <w:rPr>
          <w:rFonts w:asciiTheme="majorHAnsi" w:hAnsiTheme="majorHAnsi"/>
          <w:color w:val="7030A0"/>
        </w:rPr>
      </w:pPr>
      <w:r w:rsidRPr="001D43E6">
        <w:rPr>
          <w:rFonts w:asciiTheme="majorHAnsi" w:hAnsiTheme="majorHAnsi"/>
          <w:color w:val="7030A0"/>
        </w:rPr>
        <w:t>The transport of the final assembled vehicle to the dealer show room is also included in the parts and vehicle production and therefor to be included in the PCF of the vehicle in production.</w:t>
      </w:r>
    </w:p>
    <w:p w14:paraId="7813138F" w14:textId="4543D4DE" w:rsidR="005600AE" w:rsidRPr="001D43E6" w:rsidRDefault="005600AE" w:rsidP="005600AE">
      <w:pPr>
        <w:rPr>
          <w:rFonts w:asciiTheme="majorHAnsi" w:hAnsiTheme="majorHAnsi"/>
          <w:color w:val="7030A0"/>
        </w:rPr>
      </w:pPr>
      <w:r w:rsidRPr="001D43E6">
        <w:rPr>
          <w:rFonts w:asciiTheme="majorHAnsi" w:hAnsiTheme="majorHAnsi"/>
          <w:color w:val="7030A0"/>
        </w:rPr>
        <w:t xml:space="preserve">The cradle-to gate PCF includes all attributable upstream and direct emissions of producing a product, including all upstream transportation activities. </w:t>
      </w:r>
    </w:p>
    <w:p w14:paraId="0EE23ADB" w14:textId="77777777" w:rsidR="005600AE" w:rsidRPr="001D43E6" w:rsidRDefault="005600AE" w:rsidP="005600AE">
      <w:pPr>
        <w:rPr>
          <w:rFonts w:asciiTheme="majorHAnsi" w:hAnsiTheme="majorHAnsi"/>
          <w:color w:val="7030A0"/>
        </w:rPr>
      </w:pPr>
      <w:r w:rsidRPr="001D43E6">
        <w:rPr>
          <w:rFonts w:asciiTheme="majorHAnsi" w:hAnsiTheme="majorHAnsi"/>
          <w:color w:val="7030A0"/>
        </w:rPr>
        <w:t>When accounting for emissions, companies shall further define their cradle-to-gate boundary by listing all the attributable processes of their studied product.</w:t>
      </w:r>
    </w:p>
    <w:p w14:paraId="17F8983C" w14:textId="30D23EA8" w:rsidR="005600AE" w:rsidRPr="001D43E6" w:rsidRDefault="005600AE" w:rsidP="005600AE">
      <w:pPr>
        <w:rPr>
          <w:rFonts w:asciiTheme="majorHAnsi" w:hAnsiTheme="majorHAnsi"/>
          <w:color w:val="7030A0"/>
        </w:rPr>
      </w:pPr>
      <w:r w:rsidRPr="001D43E6">
        <w:rPr>
          <w:rFonts w:asciiTheme="majorHAnsi" w:hAnsiTheme="majorHAnsi"/>
          <w:color w:val="7030A0"/>
        </w:rPr>
        <w:t>The system boundaries are therefore</w:t>
      </w:r>
      <w:r w:rsidR="001D6F15" w:rsidRPr="001D43E6">
        <w:rPr>
          <w:rFonts w:asciiTheme="majorHAnsi" w:hAnsiTheme="majorHAnsi"/>
          <w:color w:val="7030A0"/>
        </w:rPr>
        <w:t xml:space="preserve"> includ</w:t>
      </w:r>
      <w:r w:rsidR="001D43E6" w:rsidRPr="001D43E6">
        <w:rPr>
          <w:rFonts w:asciiTheme="majorHAnsi" w:hAnsiTheme="majorHAnsi"/>
          <w:color w:val="7030A0"/>
        </w:rPr>
        <w:t>ing</w:t>
      </w:r>
      <w:r w:rsidRPr="001D43E6">
        <w:rPr>
          <w:rFonts w:asciiTheme="majorHAnsi" w:hAnsiTheme="majorHAnsi"/>
          <w:color w:val="7030A0"/>
        </w:rPr>
        <w:t>:</w:t>
      </w:r>
    </w:p>
    <w:p w14:paraId="36F503DF"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Resource extraction, raw material sourcing</w:t>
      </w:r>
    </w:p>
    <w:p w14:paraId="70A26630"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Production of materials, semi-finished products</w:t>
      </w:r>
    </w:p>
    <w:p w14:paraId="21373A06"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Production of vehicle parts and components</w:t>
      </w:r>
    </w:p>
    <w:p w14:paraId="69926EDD" w14:textId="38B48C12" w:rsidR="001D6F15" w:rsidRPr="001D43E6" w:rsidRDefault="001D6F15" w:rsidP="006C1918">
      <w:pPr>
        <w:pStyle w:val="ListParagraph"/>
        <w:numPr>
          <w:ilvl w:val="0"/>
          <w:numId w:val="28"/>
        </w:numPr>
        <w:rPr>
          <w:rFonts w:asciiTheme="majorHAnsi" w:hAnsiTheme="majorHAnsi"/>
          <w:color w:val="7030A0"/>
        </w:rPr>
      </w:pPr>
      <w:r w:rsidRPr="001D43E6">
        <w:rPr>
          <w:rFonts w:asciiTheme="majorHAnsi" w:hAnsiTheme="majorHAnsi"/>
          <w:color w:val="7030A0"/>
        </w:rPr>
        <w:t>Auxiliary production processes (e.g., lighting, air conditioning, storage facilities)</w:t>
      </w:r>
    </w:p>
    <w:p w14:paraId="297F4D02" w14:textId="3DCDF864" w:rsidR="001D6F15" w:rsidRPr="001D43E6" w:rsidRDefault="001D6F15" w:rsidP="006C1918">
      <w:pPr>
        <w:pStyle w:val="ListParagraph"/>
        <w:numPr>
          <w:ilvl w:val="0"/>
          <w:numId w:val="28"/>
        </w:numPr>
        <w:rPr>
          <w:rFonts w:asciiTheme="majorHAnsi" w:hAnsiTheme="majorHAnsi"/>
          <w:color w:val="7030A0"/>
        </w:rPr>
      </w:pPr>
      <w:r w:rsidRPr="001D43E6">
        <w:rPr>
          <w:rFonts w:asciiTheme="majorHAnsi" w:hAnsiTheme="majorHAnsi"/>
          <w:color w:val="7030A0"/>
        </w:rPr>
        <w:t>Disposal of production waste</w:t>
      </w:r>
    </w:p>
    <w:p w14:paraId="5EB9B1F3" w14:textId="631922D2" w:rsidR="005600AE" w:rsidRPr="001D43E6" w:rsidRDefault="005600AE" w:rsidP="006C1918">
      <w:pPr>
        <w:pStyle w:val="ListParagraph"/>
        <w:numPr>
          <w:ilvl w:val="0"/>
          <w:numId w:val="28"/>
        </w:numPr>
        <w:jc w:val="left"/>
        <w:rPr>
          <w:rFonts w:asciiTheme="majorHAnsi" w:hAnsiTheme="majorHAnsi"/>
          <w:color w:val="7030A0"/>
        </w:rPr>
      </w:pPr>
      <w:r w:rsidRPr="001D43E6">
        <w:rPr>
          <w:rFonts w:asciiTheme="majorHAnsi" w:hAnsiTheme="majorHAnsi"/>
          <w:color w:val="7030A0"/>
        </w:rPr>
        <w:t>Packaging of vehicle parts and components</w:t>
      </w:r>
      <w:r w:rsidRPr="001D43E6">
        <w:rPr>
          <w:rFonts w:asciiTheme="majorHAnsi" w:hAnsiTheme="majorHAnsi"/>
          <w:color w:val="7030A0"/>
          <w:lang w:val="en-GB"/>
        </w:rPr>
        <w:t xml:space="preserve">, </w:t>
      </w:r>
      <w:r w:rsidRPr="001D43E6">
        <w:rPr>
          <w:rFonts w:asciiTheme="majorHAnsi" w:hAnsiTheme="majorHAnsi"/>
          <w:color w:val="7030A0"/>
          <w:lang w:val="en-GB"/>
        </w:rPr>
        <w:br/>
        <w:t>including all operations required for performing packaging</w:t>
      </w:r>
    </w:p>
    <w:p w14:paraId="14EC92D8"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Disposal of production waste (incl. packaging waste)</w:t>
      </w:r>
    </w:p>
    <w:p w14:paraId="52CA1A98" w14:textId="19370A58"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 xml:space="preserve">Logistics (including internal logistics and transport packaging) </w:t>
      </w:r>
    </w:p>
    <w:p w14:paraId="2E6B26EA"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Quality control in production</w:t>
      </w:r>
    </w:p>
    <w:p w14:paraId="5FC0B5D9" w14:textId="77777777" w:rsidR="005600AE" w:rsidRPr="001D43E6" w:rsidRDefault="005600AE" w:rsidP="006C1918">
      <w:pPr>
        <w:pStyle w:val="ListParagraph"/>
        <w:numPr>
          <w:ilvl w:val="0"/>
          <w:numId w:val="28"/>
        </w:numPr>
        <w:rPr>
          <w:rFonts w:asciiTheme="majorHAnsi" w:hAnsiTheme="majorHAnsi"/>
          <w:color w:val="7030A0"/>
        </w:rPr>
      </w:pPr>
      <w:r w:rsidRPr="001D43E6">
        <w:rPr>
          <w:rFonts w:asciiTheme="majorHAnsi" w:hAnsiTheme="majorHAnsi"/>
          <w:color w:val="7030A0"/>
        </w:rPr>
        <w:t>IT for process and manufacturing control</w:t>
      </w:r>
    </w:p>
    <w:p w14:paraId="7F0D33AC" w14:textId="31809F3C" w:rsidR="005600AE" w:rsidRPr="001D43E6" w:rsidRDefault="005600AE" w:rsidP="005600AE">
      <w:pPr>
        <w:rPr>
          <w:rFonts w:asciiTheme="majorHAnsi" w:hAnsiTheme="majorHAnsi"/>
          <w:color w:val="7030A0"/>
        </w:rPr>
      </w:pPr>
      <w:r w:rsidRPr="001D43E6">
        <w:rPr>
          <w:rFonts w:asciiTheme="majorHAnsi" w:hAnsiTheme="majorHAnsi"/>
          <w:color w:val="7030A0"/>
          <w:lang w:val="en-GB"/>
        </w:rPr>
        <w:t>Despite of being included in the system boundaries in principle, insignificant processes may be excluded based on the cut-off rules.</w:t>
      </w:r>
    </w:p>
    <w:p w14:paraId="388458A1" w14:textId="77777777" w:rsidR="005600AE" w:rsidRPr="001D43E6" w:rsidRDefault="005600AE" w:rsidP="005600AE">
      <w:pPr>
        <w:rPr>
          <w:rFonts w:asciiTheme="majorHAnsi" w:hAnsiTheme="majorHAnsi"/>
          <w:color w:val="7030A0"/>
        </w:rPr>
      </w:pPr>
      <w:r w:rsidRPr="001D43E6">
        <w:rPr>
          <w:rFonts w:asciiTheme="majorHAnsi" w:hAnsiTheme="majorHAnsi"/>
          <w:color w:val="7030A0"/>
        </w:rPr>
        <w:t>In general, GHG emissions not connected directly to the production system relevant for the product shall be excluded from the system boundaries. These are amongst others:</w:t>
      </w:r>
    </w:p>
    <w:p w14:paraId="4848D7CD" w14:textId="77777777" w:rsidR="005600AE" w:rsidRPr="001D43E6" w:rsidRDefault="005600AE" w:rsidP="006C1918">
      <w:pPr>
        <w:pStyle w:val="ListParagraph"/>
        <w:numPr>
          <w:ilvl w:val="0"/>
          <w:numId w:val="29"/>
        </w:numPr>
        <w:rPr>
          <w:color w:val="7030A0"/>
          <w:szCs w:val="20"/>
        </w:rPr>
      </w:pPr>
      <w:r w:rsidRPr="001D43E6">
        <w:rPr>
          <w:color w:val="7030A0"/>
          <w:szCs w:val="20"/>
        </w:rPr>
        <w:t>Employee commuting and work travel</w:t>
      </w:r>
    </w:p>
    <w:p w14:paraId="2D8BBFF8" w14:textId="77777777" w:rsidR="005600AE" w:rsidRPr="001D43E6" w:rsidRDefault="005600AE" w:rsidP="006C1918">
      <w:pPr>
        <w:pStyle w:val="ListParagraph"/>
        <w:numPr>
          <w:ilvl w:val="0"/>
          <w:numId w:val="29"/>
        </w:numPr>
        <w:rPr>
          <w:color w:val="7030A0"/>
          <w:szCs w:val="20"/>
        </w:rPr>
      </w:pPr>
      <w:r w:rsidRPr="001D43E6">
        <w:rPr>
          <w:color w:val="7030A0"/>
          <w:szCs w:val="20"/>
        </w:rPr>
        <w:t>Research and development, administration, or sales processes</w:t>
      </w:r>
    </w:p>
    <w:p w14:paraId="65506788" w14:textId="77777777" w:rsidR="005600AE" w:rsidRPr="001D43E6" w:rsidRDefault="005600AE" w:rsidP="006C1918">
      <w:pPr>
        <w:pStyle w:val="ListParagraph"/>
        <w:numPr>
          <w:ilvl w:val="0"/>
          <w:numId w:val="29"/>
        </w:numPr>
        <w:spacing w:after="0"/>
        <w:rPr>
          <w:color w:val="7030A0"/>
          <w:szCs w:val="20"/>
        </w:rPr>
      </w:pPr>
      <w:r w:rsidRPr="001D43E6">
        <w:rPr>
          <w:color w:val="7030A0"/>
          <w:szCs w:val="20"/>
        </w:rPr>
        <w:t>Auxiliary inputs not directly related to the production process (such as heating and lighting of associated office rooms, secondary services like maintenance, sanitary facilities, canteen services, facility management e.g., plant security and fire safety and general IT)</w:t>
      </w:r>
    </w:p>
    <w:p w14:paraId="58A0AF76" w14:textId="77777777" w:rsidR="005600AE" w:rsidRPr="001D43E6" w:rsidRDefault="005600AE" w:rsidP="006C1918">
      <w:pPr>
        <w:pStyle w:val="ListParagraph"/>
        <w:numPr>
          <w:ilvl w:val="0"/>
          <w:numId w:val="29"/>
        </w:numPr>
        <w:spacing w:after="0"/>
        <w:rPr>
          <w:color w:val="7030A0"/>
          <w:szCs w:val="20"/>
        </w:rPr>
      </w:pPr>
      <w:r w:rsidRPr="001D43E6">
        <w:rPr>
          <w:color w:val="7030A0"/>
          <w:szCs w:val="20"/>
        </w:rPr>
        <w:t>Auxiliary inputs to maintain the manufacturing equipment</w:t>
      </w:r>
    </w:p>
    <w:p w14:paraId="277820A7" w14:textId="77777777" w:rsidR="005600AE" w:rsidRPr="001D43E6" w:rsidRDefault="005600AE" w:rsidP="006C1918">
      <w:pPr>
        <w:pStyle w:val="ListParagraph"/>
        <w:numPr>
          <w:ilvl w:val="0"/>
          <w:numId w:val="29"/>
        </w:numPr>
        <w:rPr>
          <w:rFonts w:asciiTheme="majorHAnsi" w:hAnsiTheme="majorHAnsi"/>
          <w:color w:val="7030A0"/>
        </w:rPr>
      </w:pPr>
      <w:r w:rsidRPr="001D43E6">
        <w:rPr>
          <w:color w:val="7030A0"/>
          <w:szCs w:val="20"/>
        </w:rPr>
        <w:t>Emissions from construction or dismantling of capital good (such as buildings, manufacturing equipment or any other infrastructure for transport, media or energy distribution and energy generation, within or outside the control of the reporting company)</w:t>
      </w:r>
    </w:p>
    <w:p w14:paraId="52FF886F" w14:textId="7EC85CDF" w:rsidR="00E85A78" w:rsidRDefault="00E85A78" w:rsidP="00E85A78">
      <w:pPr>
        <w:pStyle w:val="Heading3"/>
      </w:pPr>
      <w:bookmarkStart w:id="89" w:name="_Toc178672692"/>
      <w:r>
        <w:t xml:space="preserve">Data collection &amp; </w:t>
      </w:r>
      <w:r w:rsidR="001D43E6">
        <w:t>t</w:t>
      </w:r>
      <w:r>
        <w:t>ype</w:t>
      </w:r>
      <w:bookmarkEnd w:id="89"/>
    </w:p>
    <w:p w14:paraId="03BB32DA" w14:textId="77777777" w:rsidR="001D43E6" w:rsidRPr="001D43E6" w:rsidRDefault="001D43E6" w:rsidP="001D43E6"/>
    <w:p w14:paraId="0A717F4D" w14:textId="77777777" w:rsidR="008327D7" w:rsidRPr="00D1116F" w:rsidRDefault="008327D7" w:rsidP="008327D7">
      <w:pPr>
        <w:pStyle w:val="Heading4"/>
        <w:rPr>
          <w:rFonts w:cs="Calibri"/>
        </w:rPr>
      </w:pPr>
      <w:r w:rsidRPr="00D1116F">
        <w:rPr>
          <w:rFonts w:cs="Calibri"/>
        </w:rPr>
        <w:lastRenderedPageBreak/>
        <w:t>Time period</w:t>
      </w:r>
    </w:p>
    <w:p w14:paraId="3F2D5B94" w14:textId="77777777" w:rsidR="008327D7" w:rsidRPr="001D43E6" w:rsidRDefault="008327D7" w:rsidP="008327D7">
      <w:pPr>
        <w:rPr>
          <w:rFonts w:asciiTheme="majorHAnsi" w:hAnsiTheme="majorHAnsi"/>
          <w:color w:val="7030A0"/>
        </w:rPr>
      </w:pPr>
      <w:r w:rsidRPr="001D43E6">
        <w:rPr>
          <w:rFonts w:asciiTheme="majorHAnsi" w:hAnsiTheme="majorHAnsi"/>
          <w:color w:val="7030A0"/>
        </w:rPr>
        <w:t>Emissions shall by default be reported averaged over the period of one year (reporting or calendar year) to avoid seasonal fluctuations and reflect typical production conditions.</w:t>
      </w:r>
    </w:p>
    <w:p w14:paraId="4A1F15DB" w14:textId="5330EA94" w:rsidR="008327D7" w:rsidRPr="001D43E6" w:rsidRDefault="008327D7" w:rsidP="008327D7">
      <w:pPr>
        <w:rPr>
          <w:rFonts w:asciiTheme="majorHAnsi" w:hAnsiTheme="majorHAnsi"/>
          <w:color w:val="7030A0"/>
        </w:rPr>
      </w:pPr>
      <w:r w:rsidRPr="001D43E6">
        <w:rPr>
          <w:rFonts w:asciiTheme="majorHAnsi" w:hAnsiTheme="majorHAnsi"/>
          <w:color w:val="7030A0"/>
        </w:rPr>
        <w:t xml:space="preserve">Shorter periods may be considered if data on a full year are not yet available. Longer averaging periods may be considered but shall not exceed </w:t>
      </w:r>
      <w:r w:rsidR="001D43E6" w:rsidRPr="001D43E6">
        <w:rPr>
          <w:rFonts w:asciiTheme="majorHAnsi" w:hAnsiTheme="majorHAnsi"/>
          <w:color w:val="7030A0"/>
        </w:rPr>
        <w:t>five</w:t>
      </w:r>
      <w:r w:rsidRPr="001D43E6">
        <w:rPr>
          <w:rFonts w:asciiTheme="majorHAnsi" w:hAnsiTheme="majorHAnsi"/>
          <w:color w:val="7030A0"/>
        </w:rPr>
        <w:t xml:space="preserve"> years. Any averaging period deviating from the default shall be flagged and justified.</w:t>
      </w:r>
    </w:p>
    <w:p w14:paraId="25964B47" w14:textId="77777777" w:rsidR="008327D7" w:rsidRPr="00D1116F" w:rsidRDefault="008327D7" w:rsidP="008327D7">
      <w:pPr>
        <w:pStyle w:val="Heading4"/>
        <w:rPr>
          <w:rFonts w:cs="Calibri"/>
        </w:rPr>
      </w:pPr>
      <w:r w:rsidRPr="00D1116F">
        <w:rPr>
          <w:rFonts w:cs="Calibri"/>
        </w:rPr>
        <w:t>Temporal validity</w:t>
      </w:r>
    </w:p>
    <w:p w14:paraId="11D298AB" w14:textId="63C088C0" w:rsidR="008327D7" w:rsidRPr="00D1116F" w:rsidRDefault="008327D7" w:rsidP="008327D7">
      <w:pPr>
        <w:rPr>
          <w:rFonts w:asciiTheme="majorHAnsi" w:hAnsiTheme="majorHAnsi"/>
          <w:lang w:val="en-GB"/>
        </w:rPr>
      </w:pPr>
      <w:r w:rsidRPr="00D1116F">
        <w:rPr>
          <w:rFonts w:asciiTheme="majorHAnsi" w:hAnsiTheme="majorHAnsi"/>
        </w:rPr>
        <w:t xml:space="preserve">Emissions shall by default be reported for the most recent year (reporting or calendar year). An annual check is </w:t>
      </w:r>
      <w:r w:rsidR="00603803" w:rsidRPr="00D1116F">
        <w:rPr>
          <w:rFonts w:asciiTheme="majorHAnsi" w:hAnsiTheme="majorHAnsi"/>
        </w:rPr>
        <w:t>recommended</w:t>
      </w:r>
      <w:r w:rsidRPr="00D1116F">
        <w:rPr>
          <w:rFonts w:asciiTheme="majorHAnsi" w:hAnsiTheme="majorHAnsi"/>
        </w:rPr>
        <w:t xml:space="preserve"> to ensure data actuality. </w:t>
      </w:r>
      <w:r w:rsidRPr="00D1116F">
        <w:rPr>
          <w:rFonts w:asciiTheme="majorHAnsi" w:hAnsiTheme="majorHAnsi"/>
          <w:lang w:val="en-GB"/>
        </w:rPr>
        <w:t xml:space="preserve">To perform the annual check, the initial screening analysis should be updated based on data for the most recent </w:t>
      </w:r>
      <w:r w:rsidRPr="00D1116F">
        <w:rPr>
          <w:rFonts w:asciiTheme="majorHAnsi" w:hAnsiTheme="majorHAnsi"/>
        </w:rPr>
        <w:t>year. An update of data is mandatory if the reported emission increases by 5% or more based on the screening analysis compared to the previous reporting period. Additionally, an update of data is mandatory in the following</w:t>
      </w:r>
      <w:r w:rsidRPr="00D1116F">
        <w:rPr>
          <w:rFonts w:asciiTheme="majorHAnsi" w:hAnsiTheme="majorHAnsi"/>
          <w:lang w:val="en-GB"/>
        </w:rPr>
        <w:t xml:space="preserve"> situations (adapted from GHG protocol):</w:t>
      </w:r>
    </w:p>
    <w:p w14:paraId="5737A299" w14:textId="7532BB95" w:rsidR="008327D7" w:rsidRPr="001D43E6" w:rsidRDefault="008327D7" w:rsidP="006C1918">
      <w:pPr>
        <w:pStyle w:val="ListParagraph"/>
        <w:numPr>
          <w:ilvl w:val="0"/>
          <w:numId w:val="21"/>
        </w:numPr>
        <w:spacing w:after="160" w:line="259" w:lineRule="auto"/>
        <w:rPr>
          <w:rFonts w:asciiTheme="majorHAnsi" w:hAnsiTheme="majorHAnsi"/>
          <w:color w:val="7030A0"/>
          <w:lang w:val="en-GB"/>
        </w:rPr>
      </w:pPr>
      <w:r w:rsidRPr="001D43E6">
        <w:rPr>
          <w:rFonts w:asciiTheme="majorHAnsi" w:hAnsiTheme="majorHAnsi"/>
          <w:color w:val="7030A0"/>
          <w:lang w:val="en-GB"/>
        </w:rPr>
        <w:t xml:space="preserve">Structural changes in operation to the product system under study, including significant process change in operation, </w:t>
      </w:r>
      <w:r w:rsidR="001D43E6" w:rsidRPr="001D43E6">
        <w:rPr>
          <w:rFonts w:asciiTheme="majorHAnsi" w:hAnsiTheme="majorHAnsi"/>
          <w:color w:val="7030A0"/>
          <w:lang w:val="en-GB"/>
        </w:rPr>
        <w:t xml:space="preserve">change in production technologies or </w:t>
      </w:r>
      <w:r w:rsidRPr="001D43E6">
        <w:rPr>
          <w:rFonts w:asciiTheme="majorHAnsi" w:hAnsiTheme="majorHAnsi"/>
          <w:color w:val="7030A0"/>
          <w:lang w:val="en-GB"/>
        </w:rPr>
        <w:t>technology advancement, raw material or energy changes.</w:t>
      </w:r>
    </w:p>
    <w:p w14:paraId="0C65B68E" w14:textId="77777777" w:rsidR="008327D7" w:rsidRPr="001D43E6" w:rsidRDefault="008327D7" w:rsidP="006C1918">
      <w:pPr>
        <w:pStyle w:val="ListParagraph"/>
        <w:numPr>
          <w:ilvl w:val="0"/>
          <w:numId w:val="21"/>
        </w:numPr>
        <w:spacing w:after="160" w:line="259" w:lineRule="auto"/>
        <w:rPr>
          <w:rFonts w:asciiTheme="majorHAnsi" w:hAnsiTheme="majorHAnsi"/>
          <w:color w:val="7030A0"/>
          <w:lang w:val="en-GB"/>
        </w:rPr>
      </w:pPr>
      <w:r w:rsidRPr="001D43E6">
        <w:rPr>
          <w:rFonts w:asciiTheme="majorHAnsi" w:hAnsiTheme="majorHAnsi"/>
          <w:color w:val="7030A0"/>
          <w:lang w:val="en-GB"/>
        </w:rPr>
        <w:t>Changes in calculation methodology or improvements in the accuracy of emission factors or activity data or inclusion of new types of sources that result in a significant impact on the emissions data.</w:t>
      </w:r>
    </w:p>
    <w:p w14:paraId="35191970" w14:textId="77777777" w:rsidR="008327D7" w:rsidRPr="001D43E6" w:rsidRDefault="008327D7" w:rsidP="006C1918">
      <w:pPr>
        <w:pStyle w:val="ListParagraph"/>
        <w:numPr>
          <w:ilvl w:val="0"/>
          <w:numId w:val="21"/>
        </w:numPr>
        <w:spacing w:after="160" w:line="259" w:lineRule="auto"/>
        <w:rPr>
          <w:rFonts w:asciiTheme="majorHAnsi" w:hAnsiTheme="majorHAnsi"/>
          <w:color w:val="7030A0"/>
        </w:rPr>
      </w:pPr>
      <w:r w:rsidRPr="001D43E6">
        <w:rPr>
          <w:rFonts w:asciiTheme="majorHAnsi" w:hAnsiTheme="majorHAnsi"/>
          <w:color w:val="7030A0"/>
          <w:lang w:val="en-GB"/>
        </w:rPr>
        <w:t>Discovery of significant errors, or a number of cumulative errors that are collectively significant.</w:t>
      </w:r>
    </w:p>
    <w:p w14:paraId="1EF1ABD7" w14:textId="77777777" w:rsidR="008327D7" w:rsidRPr="00D1116F" w:rsidRDefault="008327D7" w:rsidP="008327D7">
      <w:pPr>
        <w:pStyle w:val="Heading4"/>
        <w:rPr>
          <w:rFonts w:cs="Calibri"/>
        </w:rPr>
      </w:pPr>
      <w:r w:rsidRPr="00D1116F">
        <w:rPr>
          <w:rFonts w:cs="Calibri"/>
        </w:rPr>
        <w:t>Geography</w:t>
      </w:r>
    </w:p>
    <w:p w14:paraId="385A1BE4" w14:textId="77777777" w:rsidR="008327D7" w:rsidRPr="001D43E6" w:rsidRDefault="008327D7" w:rsidP="008327D7">
      <w:pPr>
        <w:rPr>
          <w:rFonts w:asciiTheme="majorHAnsi" w:hAnsiTheme="majorHAnsi"/>
          <w:color w:val="7030A0"/>
        </w:rPr>
      </w:pPr>
      <w:r w:rsidRPr="001D43E6">
        <w:rPr>
          <w:rFonts w:asciiTheme="majorHAnsi" w:hAnsiTheme="majorHAnsi"/>
          <w:color w:val="7030A0"/>
        </w:rPr>
        <w:t>Emissions shall by default be reported on the plant level. Averaging over a region or country may be considered but shall be flagged as such.</w:t>
      </w:r>
    </w:p>
    <w:p w14:paraId="25C2086F" w14:textId="42B4C960" w:rsidR="001D43E6" w:rsidRPr="001D43E6" w:rsidRDefault="001D43E6" w:rsidP="008327D7">
      <w:pPr>
        <w:rPr>
          <w:rFonts w:asciiTheme="majorHAnsi" w:hAnsiTheme="majorHAnsi"/>
          <w:color w:val="7030A0"/>
        </w:rPr>
      </w:pPr>
      <w:r w:rsidRPr="001D43E6">
        <w:rPr>
          <w:rFonts w:asciiTheme="majorHAnsi" w:hAnsiTheme="majorHAnsi"/>
          <w:color w:val="7030A0"/>
        </w:rPr>
        <w:t>[Explain about differences if secondary data are used]</w:t>
      </w:r>
    </w:p>
    <w:p w14:paraId="4FBA4731" w14:textId="77777777" w:rsidR="008327D7" w:rsidRPr="00D1116F" w:rsidRDefault="008327D7" w:rsidP="008327D7">
      <w:pPr>
        <w:pStyle w:val="Heading4"/>
        <w:rPr>
          <w:rFonts w:cs="Calibri"/>
        </w:rPr>
      </w:pPr>
      <w:bookmarkStart w:id="90" w:name="_Ref173410950"/>
      <w:commentRangeStart w:id="91"/>
      <w:r w:rsidRPr="00D1116F">
        <w:rPr>
          <w:rFonts w:cs="Calibri"/>
        </w:rPr>
        <w:t>Primary data share</w:t>
      </w:r>
      <w:commentRangeEnd w:id="91"/>
      <w:r w:rsidR="00267C18">
        <w:rPr>
          <w:rStyle w:val="CommentReference"/>
          <w:rFonts w:asciiTheme="minorHAnsi" w:eastAsiaTheme="minorHAnsi" w:hAnsiTheme="minorHAnsi" w:cstheme="minorBidi"/>
          <w:iCs w:val="0"/>
          <w:color w:val="595959" w:themeColor="text2"/>
        </w:rPr>
        <w:commentReference w:id="91"/>
      </w:r>
    </w:p>
    <w:p w14:paraId="3849FA18" w14:textId="0CA83949"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To create visibility on the share of primary data in PCF calculations, the primary data share (PDS) indicator in each data set shall be determined and shared. The Primary Data Share (PDS) is defined as the proportion (percentage) of a PCF that is derived from primary data (as defined in Section</w:t>
      </w:r>
      <w:r w:rsidR="00603803" w:rsidRPr="00F64E03">
        <w:rPr>
          <w:rFonts w:asciiTheme="majorHAnsi" w:hAnsiTheme="majorHAnsi"/>
          <w:color w:val="FFA600" w:themeColor="accent1"/>
        </w:rPr>
        <w:t xml:space="preserve"> </w:t>
      </w:r>
      <w:r w:rsidR="00603803" w:rsidRPr="00F64E03">
        <w:rPr>
          <w:rFonts w:asciiTheme="majorHAnsi" w:hAnsiTheme="majorHAnsi"/>
          <w:color w:val="FFA600" w:themeColor="accent1"/>
        </w:rPr>
        <w:fldChar w:fldCharType="begin"/>
      </w:r>
      <w:r w:rsidR="00603803" w:rsidRPr="00F64E03">
        <w:rPr>
          <w:rFonts w:asciiTheme="majorHAnsi" w:hAnsiTheme="majorHAnsi"/>
          <w:color w:val="FFA600" w:themeColor="accent1"/>
        </w:rPr>
        <w:instrText xml:space="preserve"> REF _Ref173748922 \r \h </w:instrText>
      </w:r>
      <w:r w:rsidR="00603803" w:rsidRPr="00F64E03">
        <w:rPr>
          <w:rFonts w:asciiTheme="majorHAnsi" w:hAnsiTheme="majorHAnsi"/>
          <w:color w:val="FFA600" w:themeColor="accent1"/>
        </w:rPr>
      </w:r>
      <w:r w:rsidR="00603803" w:rsidRPr="00F64E03">
        <w:rPr>
          <w:rFonts w:asciiTheme="majorHAnsi" w:hAnsiTheme="majorHAnsi"/>
          <w:color w:val="FFA600" w:themeColor="accent1"/>
        </w:rPr>
        <w:fldChar w:fldCharType="separate"/>
      </w:r>
      <w:r w:rsidR="00603803" w:rsidRPr="00F64E03">
        <w:rPr>
          <w:rFonts w:asciiTheme="majorHAnsi" w:hAnsiTheme="majorHAnsi"/>
          <w:color w:val="FFA600" w:themeColor="accent1"/>
        </w:rPr>
        <w:t>2.2.6.1</w:t>
      </w:r>
      <w:r w:rsidR="00603803" w:rsidRPr="00F64E03">
        <w:rPr>
          <w:rFonts w:asciiTheme="majorHAnsi" w:hAnsiTheme="majorHAnsi"/>
          <w:color w:val="FFA600" w:themeColor="accent1"/>
        </w:rPr>
        <w:fldChar w:fldCharType="end"/>
      </w:r>
      <w:r w:rsidRPr="00F64E03">
        <w:rPr>
          <w:rFonts w:asciiTheme="majorHAnsi" w:hAnsiTheme="majorHAnsi"/>
          <w:color w:val="FFA600" w:themeColor="accent1"/>
        </w:rPr>
        <w:t>).</w:t>
      </w:r>
    </w:p>
    <w:p w14:paraId="3472ED5C" w14:textId="72144D1E"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The PDS is reported for the total PCF (PCF</w:t>
      </w:r>
      <w:r w:rsidRPr="00F64E03">
        <w:rPr>
          <w:rFonts w:asciiTheme="majorHAnsi" w:hAnsiTheme="majorHAnsi"/>
          <w:i/>
          <w:iCs/>
          <w:color w:val="FFA600" w:themeColor="accent1"/>
          <w:vertAlign w:val="subscript"/>
        </w:rPr>
        <w:t>total</w:t>
      </w:r>
      <w:r w:rsidRPr="00F64E03">
        <w:rPr>
          <w:rFonts w:asciiTheme="majorHAnsi" w:hAnsiTheme="majorHAnsi"/>
          <w:color w:val="FFA600" w:themeColor="accent1"/>
        </w:rPr>
        <w:t>) only</w:t>
      </w:r>
      <w:r w:rsidR="00603803" w:rsidRPr="00F64E03">
        <w:rPr>
          <w:rFonts w:asciiTheme="majorHAnsi" w:hAnsiTheme="majorHAnsi"/>
          <w:color w:val="FFA600" w:themeColor="accent1"/>
        </w:rPr>
        <w:t xml:space="preserve">. </w:t>
      </w:r>
      <w:r w:rsidRPr="00F64E03">
        <w:rPr>
          <w:rFonts w:asciiTheme="majorHAnsi" w:hAnsiTheme="majorHAnsi"/>
          <w:color w:val="FFA600" w:themeColor="accent1"/>
        </w:rPr>
        <w:t>To ensure that a consistent PDS can be reported no matter if reporting is done stepwise or collectively for multiple steps, the percentage of the primary data shall relate to the absolute sum of all positive or negative PCF contributions (PCF</w:t>
      </w:r>
      <w:r w:rsidRPr="00F64E03">
        <w:rPr>
          <w:rFonts w:asciiTheme="majorHAnsi" w:hAnsiTheme="majorHAnsi"/>
          <w:i/>
          <w:iCs/>
          <w:color w:val="FFA600" w:themeColor="accent1"/>
          <w:vertAlign w:val="subscript"/>
        </w:rPr>
        <w:t>as</w:t>
      </w:r>
      <w:r w:rsidRPr="00F64E03">
        <w:rPr>
          <w:rFonts w:asciiTheme="majorHAnsi" w:hAnsiTheme="majorHAnsi"/>
          <w:color w:val="FFA600" w:themeColor="accent1"/>
        </w:rPr>
        <w:t>). The positive or negative PCF contributions (PCF</w:t>
      </w:r>
      <w:r w:rsidRPr="00F64E03">
        <w:rPr>
          <w:rFonts w:asciiTheme="majorHAnsi" w:hAnsiTheme="majorHAnsi"/>
          <w:i/>
          <w:iCs/>
          <w:color w:val="FFA600" w:themeColor="accent1"/>
          <w:vertAlign w:val="subscript"/>
        </w:rPr>
        <w:t>i</w:t>
      </w:r>
      <w:r w:rsidRPr="00F64E03">
        <w:rPr>
          <w:rFonts w:asciiTheme="majorHAnsi" w:hAnsiTheme="majorHAnsi"/>
          <w:color w:val="FFA600" w:themeColor="accent1"/>
        </w:rPr>
        <w:t xml:space="preserve">) are to be understood as intermediate summands to the total PCF, which might reflect the total PCF contributions from suppliers or contributions from individual process steps under the control of the reporting company. </w:t>
      </w:r>
      <w:r w:rsidR="00603803" w:rsidRPr="00F64E03">
        <w:rPr>
          <w:rFonts w:asciiTheme="majorHAnsi" w:hAnsiTheme="majorHAnsi"/>
          <w:color w:val="FFA600" w:themeColor="accent1"/>
        </w:rPr>
        <w:fldChar w:fldCharType="begin"/>
      </w:r>
      <w:r w:rsidR="00603803" w:rsidRPr="00F64E03">
        <w:rPr>
          <w:rFonts w:asciiTheme="majorHAnsi" w:hAnsiTheme="majorHAnsi"/>
          <w:color w:val="FFA600" w:themeColor="accent1"/>
        </w:rPr>
        <w:instrText xml:space="preserve"> REF _Ref173749111 \h </w:instrText>
      </w:r>
      <w:r w:rsidR="00603803" w:rsidRPr="00F64E03">
        <w:rPr>
          <w:rFonts w:asciiTheme="majorHAnsi" w:hAnsiTheme="majorHAnsi"/>
          <w:color w:val="FFA600" w:themeColor="accent1"/>
        </w:rPr>
      </w:r>
      <w:r w:rsidR="00603803" w:rsidRPr="00F64E03">
        <w:rPr>
          <w:rFonts w:asciiTheme="majorHAnsi" w:hAnsiTheme="majorHAnsi"/>
          <w:color w:val="FFA600" w:themeColor="accent1"/>
        </w:rPr>
        <w:fldChar w:fldCharType="separate"/>
      </w:r>
      <w:r w:rsidR="00603803" w:rsidRPr="00F64E03">
        <w:rPr>
          <w:color w:val="FFA600" w:themeColor="accent1"/>
        </w:rPr>
        <w:t xml:space="preserve">Figure </w:t>
      </w:r>
      <w:r w:rsidR="00603803" w:rsidRPr="00F64E03">
        <w:rPr>
          <w:noProof/>
          <w:color w:val="FFA600" w:themeColor="accent1"/>
        </w:rPr>
        <w:t>8</w:t>
      </w:r>
      <w:r w:rsidR="00603803" w:rsidRPr="00F64E03">
        <w:rPr>
          <w:rFonts w:asciiTheme="majorHAnsi" w:hAnsiTheme="majorHAnsi"/>
          <w:color w:val="FFA600" w:themeColor="accent1"/>
        </w:rPr>
        <w:fldChar w:fldCharType="end"/>
      </w:r>
      <w:r w:rsidR="00603803" w:rsidRPr="00F64E03">
        <w:rPr>
          <w:rFonts w:asciiTheme="majorHAnsi" w:hAnsiTheme="majorHAnsi"/>
          <w:color w:val="FFA600" w:themeColor="accent1"/>
        </w:rPr>
        <w:t xml:space="preserve"> </w:t>
      </w:r>
      <w:r w:rsidRPr="00F64E03">
        <w:rPr>
          <w:rFonts w:asciiTheme="majorHAnsi" w:hAnsiTheme="majorHAnsi"/>
          <w:color w:val="FFA600" w:themeColor="accent1"/>
        </w:rPr>
        <w:t>illustrates the definition of PCF</w:t>
      </w:r>
      <w:r w:rsidRPr="00F64E03">
        <w:rPr>
          <w:rFonts w:asciiTheme="majorHAnsi" w:hAnsiTheme="majorHAnsi"/>
          <w:i/>
          <w:iCs/>
          <w:color w:val="FFA600" w:themeColor="accent1"/>
          <w:vertAlign w:val="subscript"/>
        </w:rPr>
        <w:t>as</w:t>
      </w:r>
      <w:r w:rsidRPr="00F64E03">
        <w:rPr>
          <w:rFonts w:asciiTheme="majorHAnsi" w:hAnsiTheme="majorHAnsi"/>
          <w:color w:val="FFA600" w:themeColor="accent1"/>
        </w:rPr>
        <w:t>.</w:t>
      </w:r>
    </w:p>
    <w:p w14:paraId="3808A3E9" w14:textId="77777777" w:rsidR="008327D7" w:rsidRPr="00F64E03" w:rsidRDefault="009F04F3" w:rsidP="008327D7">
      <w:pPr>
        <w:rPr>
          <w:rFonts w:asciiTheme="majorHAnsi" w:eastAsiaTheme="minorEastAsia" w:hAnsiTheme="majorHAnsi" w:hint="eastAsia"/>
          <w:color w:val="FFA600" w:themeColor="accent1"/>
        </w:rPr>
      </w:pPr>
      <m:oMathPara>
        <m:oMath>
          <m:sSub>
            <m:sSubPr>
              <m:ctrlPr>
                <w:rPr>
                  <w:rFonts w:ascii="Cambria Math" w:hAnsi="Cambria Math"/>
                  <w:color w:val="FFA600" w:themeColor="accent1"/>
                </w:rPr>
              </m:ctrlPr>
            </m:sSubPr>
            <m:e>
              <m:r>
                <w:rPr>
                  <w:rFonts w:ascii="Cambria Math" w:hAnsi="Cambria Math"/>
                  <w:color w:val="FFA600" w:themeColor="accent1"/>
                </w:rPr>
                <m:t>PCF</m:t>
              </m:r>
            </m:e>
            <m:sub>
              <m:r>
                <w:rPr>
                  <w:rFonts w:ascii="Cambria Math" w:hAnsi="Cambria Math"/>
                  <w:color w:val="FFA600" w:themeColor="accent1"/>
                </w:rPr>
                <m:t>as</m:t>
              </m:r>
            </m:sub>
          </m:sSub>
          <m:r>
            <w:rPr>
              <w:rFonts w:ascii="Cambria Math" w:hAnsi="Cambria Math"/>
              <w:color w:val="FFA600" w:themeColor="accent1"/>
            </w:rPr>
            <m:t>=</m:t>
          </m:r>
          <m:nary>
            <m:naryPr>
              <m:chr m:val="∑"/>
              <m:limLoc m:val="undOvr"/>
              <m:supHide m:val="1"/>
              <m:ctrlPr>
                <w:rPr>
                  <w:rFonts w:ascii="Cambria Math" w:hAnsi="Cambria Math"/>
                  <w:i/>
                  <w:color w:val="FFA600" w:themeColor="accent1"/>
                </w:rPr>
              </m:ctrlPr>
            </m:naryPr>
            <m:sub>
              <m:r>
                <w:rPr>
                  <w:rFonts w:ascii="Cambria Math" w:hAnsi="Cambria Math"/>
                  <w:color w:val="FFA600" w:themeColor="accent1"/>
                </w:rPr>
                <m:t>i</m:t>
              </m:r>
            </m:sub>
            <m:sup/>
            <m:e>
              <m:d>
                <m:dPr>
                  <m:begChr m:val="|"/>
                  <m:endChr m:val="|"/>
                  <m:ctrlPr>
                    <w:rPr>
                      <w:rFonts w:ascii="Cambria Math" w:hAnsi="Cambria Math"/>
                      <w:i/>
                      <w:color w:val="FFA600" w:themeColor="accent1"/>
                    </w:rPr>
                  </m:ctrlPr>
                </m:dPr>
                <m:e>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i</m:t>
                      </m:r>
                    </m:sub>
                  </m:sSub>
                </m:e>
              </m:d>
            </m:e>
          </m:nary>
        </m:oMath>
      </m:oMathPara>
    </w:p>
    <w:p w14:paraId="3E84F20B" w14:textId="53CC2838" w:rsidR="008327D7" w:rsidRPr="00F64E03" w:rsidRDefault="00603803" w:rsidP="008327D7">
      <w:pPr>
        <w:keepNext/>
        <w:rPr>
          <w:color w:val="FFA600" w:themeColor="accent1"/>
        </w:rPr>
      </w:pPr>
      <w:r w:rsidRPr="00F64E03">
        <w:rPr>
          <w:noProof/>
          <w:color w:val="FFA600" w:themeColor="accent1"/>
        </w:rPr>
        <w:drawing>
          <wp:inline distT="0" distB="0" distL="0" distR="0" wp14:anchorId="666A2261" wp14:editId="17F66699">
            <wp:extent cx="5650355" cy="1600250"/>
            <wp:effectExtent l="0" t="0" r="7620" b="0"/>
            <wp:docPr id="194" name="Grafik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97971" cy="1613735"/>
                    </a:xfrm>
                    <a:prstGeom prst="rect">
                      <a:avLst/>
                    </a:prstGeom>
                    <a:noFill/>
                  </pic:spPr>
                </pic:pic>
              </a:graphicData>
            </a:graphic>
          </wp:inline>
        </w:drawing>
      </w:r>
    </w:p>
    <w:p w14:paraId="0D466604" w14:textId="61154E66" w:rsidR="008327D7" w:rsidRPr="00F64E03" w:rsidRDefault="008327D7" w:rsidP="008327D7">
      <w:pPr>
        <w:pStyle w:val="Caption"/>
        <w:rPr>
          <w:rFonts w:asciiTheme="majorHAnsi" w:hAnsiTheme="majorHAnsi"/>
          <w:color w:val="FFA600" w:themeColor="accent1"/>
        </w:rPr>
      </w:pPr>
      <w:bookmarkStart w:id="92" w:name="_Ref173749111"/>
      <w:bookmarkStart w:id="93" w:name="_Toc178673570"/>
      <w:r w:rsidRPr="00F64E03">
        <w:rPr>
          <w:color w:val="FFA600" w:themeColor="accent1"/>
        </w:rPr>
        <w:t xml:space="preserve">Figure </w:t>
      </w:r>
      <w:r w:rsidRPr="00F64E03">
        <w:rPr>
          <w:color w:val="FFA600" w:themeColor="accent1"/>
        </w:rPr>
        <w:fldChar w:fldCharType="begin"/>
      </w:r>
      <w:r w:rsidRPr="00F64E03">
        <w:rPr>
          <w:color w:val="FFA600" w:themeColor="accent1"/>
        </w:rPr>
        <w:instrText xml:space="preserve"> SEQ Figure \* ARABIC </w:instrText>
      </w:r>
      <w:r w:rsidRPr="00F64E03">
        <w:rPr>
          <w:color w:val="FFA600" w:themeColor="accent1"/>
        </w:rPr>
        <w:fldChar w:fldCharType="separate"/>
      </w:r>
      <w:r w:rsidR="008272DB">
        <w:rPr>
          <w:noProof/>
          <w:color w:val="FFA600" w:themeColor="accent1"/>
        </w:rPr>
        <w:t>12</w:t>
      </w:r>
      <w:r w:rsidRPr="00F64E03">
        <w:rPr>
          <w:color w:val="FFA600" w:themeColor="accent1"/>
        </w:rPr>
        <w:fldChar w:fldCharType="end"/>
      </w:r>
      <w:bookmarkEnd w:id="92"/>
      <w:r w:rsidRPr="00F64E03">
        <w:rPr>
          <w:color w:val="FFA600" w:themeColor="accent1"/>
        </w:rPr>
        <w:t>: Definition of PCF</w:t>
      </w:r>
      <w:r w:rsidRPr="00F64E03">
        <w:rPr>
          <w:color w:val="FFA600" w:themeColor="accent1"/>
          <w:vertAlign w:val="subscript"/>
        </w:rPr>
        <w:t>as</w:t>
      </w:r>
      <w:bookmarkEnd w:id="93"/>
    </w:p>
    <w:p w14:paraId="60C46F02"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In case there are no negative PCF contributions PCF</w:t>
      </w:r>
      <w:r w:rsidRPr="00F64E03">
        <w:rPr>
          <w:rFonts w:asciiTheme="majorHAnsi" w:hAnsiTheme="majorHAnsi"/>
          <w:i/>
          <w:iCs/>
          <w:color w:val="FFA600" w:themeColor="accent1"/>
          <w:vertAlign w:val="subscript"/>
        </w:rPr>
        <w:t>total</w:t>
      </w:r>
      <w:r w:rsidRPr="00F64E03">
        <w:rPr>
          <w:rFonts w:asciiTheme="majorHAnsi" w:hAnsiTheme="majorHAnsi"/>
          <w:color w:val="FFA600" w:themeColor="accent1"/>
        </w:rPr>
        <w:t xml:space="preserve"> is equal PCF</w:t>
      </w:r>
      <w:r w:rsidRPr="00F64E03">
        <w:rPr>
          <w:rFonts w:asciiTheme="majorHAnsi" w:hAnsiTheme="majorHAnsi"/>
          <w:i/>
          <w:iCs/>
          <w:color w:val="FFA600" w:themeColor="accent1"/>
          <w:vertAlign w:val="subscript"/>
        </w:rPr>
        <w:t>as</w:t>
      </w:r>
      <w:r w:rsidRPr="00F64E03">
        <w:rPr>
          <w:rFonts w:asciiTheme="majorHAnsi" w:hAnsiTheme="majorHAnsi"/>
          <w:color w:val="FFA600" w:themeColor="accent1"/>
        </w:rPr>
        <w:t xml:space="preserve">. </w:t>
      </w:r>
    </w:p>
    <w:p w14:paraId="6AE38B79"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In case PCF</w:t>
      </w:r>
      <w:r w:rsidRPr="00F64E03">
        <w:rPr>
          <w:rFonts w:asciiTheme="majorHAnsi" w:hAnsiTheme="majorHAnsi"/>
          <w:i/>
          <w:iCs/>
          <w:color w:val="FFA600" w:themeColor="accent1"/>
          <w:vertAlign w:val="subscript"/>
        </w:rPr>
        <w:t xml:space="preserve">as </w:t>
      </w:r>
      <w:r w:rsidRPr="00F64E03">
        <w:rPr>
          <w:rFonts w:asciiTheme="majorHAnsi" w:hAnsiTheme="majorHAnsi"/>
          <w:color w:val="FFA600" w:themeColor="accent1"/>
        </w:rPr>
        <w:t>is not yet reported PCF</w:t>
      </w:r>
      <w:r w:rsidRPr="00F64E03">
        <w:rPr>
          <w:rFonts w:asciiTheme="majorHAnsi" w:hAnsiTheme="majorHAnsi"/>
          <w:i/>
          <w:iCs/>
          <w:color w:val="FFA600" w:themeColor="accent1"/>
          <w:vertAlign w:val="subscript"/>
        </w:rPr>
        <w:t>total</w:t>
      </w:r>
      <w:r w:rsidRPr="00F64E03">
        <w:rPr>
          <w:rFonts w:asciiTheme="majorHAnsi" w:hAnsiTheme="majorHAnsi"/>
          <w:color w:val="FFA600" w:themeColor="accent1"/>
          <w:vertAlign w:val="subscript"/>
        </w:rPr>
        <w:t xml:space="preserve"> </w:t>
      </w:r>
      <w:r w:rsidRPr="00F64E03">
        <w:rPr>
          <w:rFonts w:asciiTheme="majorHAnsi" w:hAnsiTheme="majorHAnsi"/>
          <w:color w:val="FFA600" w:themeColor="accent1"/>
        </w:rPr>
        <w:t>shall be used instead.</w:t>
      </w:r>
    </w:p>
    <w:p w14:paraId="366A8271"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lastRenderedPageBreak/>
        <w:t>Having introduced PCF</w:t>
      </w:r>
      <w:r w:rsidRPr="00F64E03">
        <w:rPr>
          <w:rFonts w:asciiTheme="majorHAnsi" w:hAnsiTheme="majorHAnsi"/>
          <w:i/>
          <w:iCs/>
          <w:color w:val="FFA600" w:themeColor="accent1"/>
          <w:vertAlign w:val="subscript"/>
        </w:rPr>
        <w:t>as</w:t>
      </w:r>
      <w:r w:rsidRPr="00F64E03">
        <w:rPr>
          <w:rFonts w:asciiTheme="majorHAnsi" w:hAnsiTheme="majorHAnsi"/>
          <w:i/>
          <w:iCs/>
          <w:color w:val="FFA600" w:themeColor="accent1"/>
        </w:rPr>
        <w:t xml:space="preserve"> </w:t>
      </w:r>
      <w:r w:rsidRPr="00F64E03">
        <w:rPr>
          <w:rFonts w:asciiTheme="majorHAnsi" w:hAnsiTheme="majorHAnsi"/>
          <w:color w:val="FFA600" w:themeColor="accent1"/>
        </w:rPr>
        <w:t>the primary data share can now be defined:</w:t>
      </w:r>
    </w:p>
    <w:p w14:paraId="2F1AE8AB" w14:textId="77777777" w:rsidR="008327D7" w:rsidRPr="00F64E03" w:rsidRDefault="008327D7" w:rsidP="008327D7">
      <w:pPr>
        <w:rPr>
          <w:color w:val="FFA600" w:themeColor="accent1"/>
        </w:rPr>
      </w:pPr>
      <m:oMathPara>
        <m:oMath>
          <m:r>
            <w:rPr>
              <w:rFonts w:ascii="Cambria Math" w:hAnsi="Cambria Math"/>
              <w:color w:val="FFA600" w:themeColor="accent1"/>
            </w:rPr>
            <m:t>PD</m:t>
          </m:r>
          <m:sSub>
            <m:sSubPr>
              <m:ctrlPr>
                <w:rPr>
                  <w:rFonts w:ascii="Cambria Math" w:hAnsi="Cambria Math"/>
                  <w:color w:val="FFA600" w:themeColor="accent1"/>
                </w:rPr>
              </m:ctrlPr>
            </m:sSubPr>
            <m:e>
              <m:r>
                <w:rPr>
                  <w:rFonts w:ascii="Cambria Math" w:hAnsi="Cambria Math"/>
                  <w:color w:val="FFA600" w:themeColor="accent1"/>
                </w:rPr>
                <m:t>S</m:t>
              </m:r>
            </m:e>
            <m:sub>
              <m:r>
                <w:rPr>
                  <w:rFonts w:ascii="Cambria Math" w:hAnsi="Cambria Math"/>
                  <w:color w:val="FFA600" w:themeColor="accent1"/>
                </w:rPr>
                <m:t>PCF</m:t>
              </m:r>
            </m:sub>
          </m:sSub>
          <m:r>
            <w:rPr>
              <w:rFonts w:ascii="Cambria Math" w:hAnsi="Cambria Math"/>
              <w:color w:val="FFA600" w:themeColor="accent1"/>
            </w:rPr>
            <m:t>=</m:t>
          </m:r>
          <m:f>
            <m:fPr>
              <m:ctrlPr>
                <w:rPr>
                  <w:rFonts w:ascii="Cambria Math" w:hAnsi="Cambria Math"/>
                  <w:color w:val="FFA600" w:themeColor="accent1"/>
                </w:rPr>
              </m:ctrlPr>
            </m:fPr>
            <m:num>
              <m:d>
                <m:dPr>
                  <m:begChr m:val="|"/>
                  <m:endChr m:val="|"/>
                  <m:ctrlPr>
                    <w:rPr>
                      <w:rFonts w:ascii="Cambria Math" w:hAnsi="Cambria Math"/>
                      <w:i/>
                      <w:color w:val="FFA600" w:themeColor="accent1"/>
                    </w:rPr>
                  </m:ctrlPr>
                </m:dPr>
                <m:e>
                  <m:r>
                    <w:rPr>
                      <w:rFonts w:ascii="Cambria Math" w:hAnsi="Cambria Math"/>
                      <w:color w:val="FFA600" w:themeColor="accent1"/>
                    </w:rPr>
                    <m:t>Part of PCF based on primary data [kg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e>
              </m:d>
            </m:num>
            <m:den>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as</m:t>
                  </m:r>
                </m:sub>
              </m:sSub>
              <m:r>
                <w:rPr>
                  <w:rFonts w:ascii="Cambria Math" w:hAnsi="Cambria Math"/>
                  <w:color w:val="FFA600" w:themeColor="accent1"/>
                </w:rPr>
                <m:t xml:space="preserve"> [kg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den>
          </m:f>
        </m:oMath>
      </m:oMathPara>
    </w:p>
    <w:p w14:paraId="365CA3C4" w14:textId="77777777" w:rsidR="008327D7" w:rsidRPr="00F64E03" w:rsidRDefault="008327D7" w:rsidP="008327D7">
      <w:pPr>
        <w:rPr>
          <w:color w:val="FFA600" w:themeColor="accent1"/>
        </w:rPr>
      </w:pPr>
      <w:r w:rsidRPr="00F64E03">
        <w:rPr>
          <w:color w:val="FFA600" w:themeColor="accent1"/>
        </w:rPr>
        <w:t>The aggregated primary data share for multiple PCF contributions reported with individual PDS (PDS</w:t>
      </w:r>
      <w:r w:rsidRPr="00F64E03">
        <w:rPr>
          <w:i/>
          <w:iCs/>
          <w:color w:val="FFA600" w:themeColor="accent1"/>
          <w:vertAlign w:val="subscript"/>
        </w:rPr>
        <w:t>i</w:t>
      </w:r>
      <w:r w:rsidRPr="00F64E03">
        <w:rPr>
          <w:color w:val="FFA600" w:themeColor="accent1"/>
        </w:rPr>
        <w:t>)</w:t>
      </w:r>
    </w:p>
    <w:p w14:paraId="1B036029" w14:textId="77777777" w:rsidR="008327D7" w:rsidRPr="00F64E03" w:rsidRDefault="009F04F3" w:rsidP="008327D7">
      <w:pPr>
        <w:rPr>
          <w:color w:val="FFA600" w:themeColor="accent1"/>
        </w:rPr>
      </w:pPr>
      <m:oMathPara>
        <m:oMath>
          <m:sSub>
            <m:sSubPr>
              <m:ctrlPr>
                <w:rPr>
                  <w:rFonts w:ascii="Cambria Math" w:hAnsi="Cambria Math"/>
                  <w:i/>
                  <w:color w:val="FFA600" w:themeColor="accent1"/>
                </w:rPr>
              </m:ctrlPr>
            </m:sSubPr>
            <m:e>
              <m:r>
                <w:rPr>
                  <w:rFonts w:ascii="Cambria Math" w:hAnsi="Cambria Math"/>
                  <w:color w:val="FFA600" w:themeColor="accent1"/>
                </w:rPr>
                <m:t>PDS</m:t>
              </m:r>
            </m:e>
            <m:sub>
              <m:r>
                <w:rPr>
                  <w:rFonts w:ascii="Cambria Math" w:hAnsi="Cambria Math"/>
                  <w:color w:val="FFA600" w:themeColor="accent1"/>
                </w:rPr>
                <m:t>aggregated</m:t>
              </m:r>
            </m:sub>
          </m:sSub>
          <m:r>
            <w:rPr>
              <w:rFonts w:ascii="Cambria Math" w:hAnsi="Cambria Math"/>
              <w:color w:val="FFA600" w:themeColor="accent1"/>
            </w:rPr>
            <m:t>=</m:t>
          </m:r>
          <m:f>
            <m:fPr>
              <m:ctrlPr>
                <w:rPr>
                  <w:rFonts w:ascii="Cambria Math" w:hAnsi="Cambria Math"/>
                  <w:color w:val="FFA600" w:themeColor="accent1"/>
                </w:rPr>
              </m:ctrlPr>
            </m:fPr>
            <m:num>
              <m:nary>
                <m:naryPr>
                  <m:chr m:val="∑"/>
                  <m:limLoc m:val="undOvr"/>
                  <m:supHide m:val="1"/>
                  <m:ctrlPr>
                    <w:rPr>
                      <w:rFonts w:ascii="Cambria Math" w:hAnsi="Cambria Math"/>
                      <w:i/>
                      <w:color w:val="FFA600" w:themeColor="accent1"/>
                    </w:rPr>
                  </m:ctrlPr>
                </m:naryPr>
                <m:sub>
                  <m:r>
                    <w:rPr>
                      <w:rFonts w:ascii="Cambria Math" w:hAnsi="Cambria Math"/>
                      <w:color w:val="FFA600" w:themeColor="accent1"/>
                    </w:rPr>
                    <m:t>i</m:t>
                  </m:r>
                </m:sub>
                <m:sup/>
                <m:e>
                  <m:d>
                    <m:dPr>
                      <m:ctrlPr>
                        <w:rPr>
                          <w:rFonts w:ascii="Cambria Math" w:hAnsi="Cambria Math"/>
                          <w:i/>
                          <w:color w:val="FFA600" w:themeColor="accent1"/>
                        </w:rPr>
                      </m:ctrlPr>
                    </m:dPr>
                    <m:e>
                      <m:d>
                        <m:dPr>
                          <m:begChr m:val="|"/>
                          <m:endChr m:val="|"/>
                          <m:ctrlPr>
                            <w:rPr>
                              <w:rFonts w:ascii="Cambria Math" w:hAnsi="Cambria Math"/>
                              <w:i/>
                              <w:color w:val="FFA600" w:themeColor="accent1"/>
                            </w:rPr>
                          </m:ctrlPr>
                        </m:dPr>
                        <m:e>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total</m:t>
                              </m:r>
                              <m:r>
                                <w:rPr>
                                  <w:rFonts w:ascii="Cambria Math" w:hAnsi="Cambria Math"/>
                                  <w:color w:val="FFA600" w:themeColor="accent1"/>
                                </w:rPr>
                                <m:t>,</m:t>
                              </m:r>
                              <m:r>
                                <w:rPr>
                                  <w:rFonts w:ascii="Cambria Math" w:hAnsi="Cambria Math"/>
                                  <w:color w:val="FFA600" w:themeColor="accent1"/>
                                </w:rPr>
                                <m:t>i</m:t>
                              </m:r>
                            </m:sub>
                          </m:sSub>
                        </m:e>
                      </m:d>
                      <m:r>
                        <w:rPr>
                          <w:rFonts w:ascii="Cambria Math" w:hAnsi="Cambria Math"/>
                          <w:color w:val="FFA600" w:themeColor="accent1"/>
                        </w:rPr>
                        <m:t>⋅</m:t>
                      </m:r>
                      <m:sSub>
                        <m:sSubPr>
                          <m:ctrlPr>
                            <w:rPr>
                              <w:rFonts w:ascii="Cambria Math" w:hAnsi="Cambria Math"/>
                              <w:i/>
                              <w:color w:val="FFA600" w:themeColor="accent1"/>
                            </w:rPr>
                          </m:ctrlPr>
                        </m:sSubPr>
                        <m:e>
                          <m:r>
                            <w:rPr>
                              <w:rFonts w:ascii="Cambria Math" w:hAnsi="Cambria Math"/>
                              <w:color w:val="FFA600" w:themeColor="accent1"/>
                            </w:rPr>
                            <m:t>PDS</m:t>
                          </m:r>
                        </m:e>
                        <m:sub>
                          <m:r>
                            <w:rPr>
                              <w:rFonts w:ascii="Cambria Math" w:hAnsi="Cambria Math"/>
                              <w:color w:val="FFA600" w:themeColor="accent1"/>
                            </w:rPr>
                            <m:t>i</m:t>
                          </m:r>
                        </m:sub>
                      </m:sSub>
                    </m:e>
                  </m:d>
                </m:e>
              </m:nary>
            </m:num>
            <m:den>
              <m:nary>
                <m:naryPr>
                  <m:chr m:val="∑"/>
                  <m:limLoc m:val="undOvr"/>
                  <m:supHide m:val="1"/>
                  <m:ctrlPr>
                    <w:rPr>
                      <w:rFonts w:ascii="Cambria Math" w:hAnsi="Cambria Math"/>
                      <w:i/>
                      <w:color w:val="FFA600" w:themeColor="accent1"/>
                    </w:rPr>
                  </m:ctrlPr>
                </m:naryPr>
                <m:sub>
                  <m:r>
                    <w:rPr>
                      <w:rFonts w:ascii="Cambria Math" w:hAnsi="Cambria Math"/>
                      <w:color w:val="FFA600" w:themeColor="accent1"/>
                    </w:rPr>
                    <m:t>i</m:t>
                  </m:r>
                </m:sub>
                <m:sup/>
                <m:e>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as</m:t>
                      </m:r>
                      <m:r>
                        <w:rPr>
                          <w:rFonts w:ascii="Cambria Math" w:hAnsi="Cambria Math"/>
                          <w:color w:val="FFA600" w:themeColor="accent1"/>
                        </w:rPr>
                        <m:t>,</m:t>
                      </m:r>
                      <m:r>
                        <w:rPr>
                          <w:rFonts w:ascii="Cambria Math" w:hAnsi="Cambria Math"/>
                          <w:color w:val="FFA600" w:themeColor="accent1"/>
                        </w:rPr>
                        <m:t>i</m:t>
                      </m:r>
                    </m:sub>
                  </m:sSub>
                </m:e>
              </m:nary>
            </m:den>
          </m:f>
        </m:oMath>
      </m:oMathPara>
    </w:p>
    <w:p w14:paraId="6B8CC315"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 xml:space="preserve">As an example, three suppliers, Company A, Company B and Company C, provide parts to Company D. Each part has a different primary data share and contribution to the absolute value total PCF of the part of Company D (cf.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_Ref167898053 \h </w:instrText>
      </w:r>
      <w:r w:rsidRPr="00F64E03">
        <w:rPr>
          <w:rFonts w:asciiTheme="majorHAnsi" w:hAnsiTheme="majorHAnsi"/>
          <w:color w:val="FFA600" w:themeColor="accent1"/>
        </w:rPr>
      </w:r>
      <w:r w:rsidRPr="00F64E03">
        <w:rPr>
          <w:rFonts w:asciiTheme="majorHAnsi" w:hAnsiTheme="majorHAnsi"/>
          <w:color w:val="FFA600" w:themeColor="accent1"/>
        </w:rPr>
        <w:fldChar w:fldCharType="separate"/>
      </w:r>
      <w:r w:rsidRPr="00F64E03">
        <w:rPr>
          <w:color w:val="FFA600" w:themeColor="accent1"/>
        </w:rPr>
        <w:t xml:space="preserve">Figure </w:t>
      </w:r>
      <w:r w:rsidRPr="00F64E03">
        <w:rPr>
          <w:noProof/>
          <w:color w:val="FFA600" w:themeColor="accent1"/>
        </w:rPr>
        <w:t>11</w:t>
      </w:r>
      <w:r w:rsidRPr="00F64E03">
        <w:rPr>
          <w:rFonts w:asciiTheme="majorHAnsi" w:hAnsiTheme="majorHAnsi"/>
          <w:color w:val="FFA600" w:themeColor="accent1"/>
        </w:rPr>
        <w:fldChar w:fldCharType="end"/>
      </w:r>
      <w:r w:rsidRPr="00F64E03">
        <w:rPr>
          <w:rFonts w:asciiTheme="majorHAnsi" w:hAnsiTheme="majorHAnsi"/>
          <w:color w:val="FFA600" w:themeColor="accent1"/>
        </w:rPr>
        <w:t xml:space="preserve">). According to formula above, the primary data share of Company D’s part is calculated from the primary data share and contributions to the absolute value total PCF (see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_Ref167897976 \h </w:instrText>
      </w:r>
      <w:r w:rsidRPr="00F64E03">
        <w:rPr>
          <w:rFonts w:asciiTheme="majorHAnsi" w:hAnsiTheme="majorHAnsi"/>
          <w:color w:val="FFA600" w:themeColor="accent1"/>
        </w:rPr>
      </w:r>
      <w:r w:rsidRPr="00F64E03">
        <w:rPr>
          <w:rFonts w:asciiTheme="majorHAnsi" w:hAnsiTheme="majorHAnsi"/>
          <w:color w:val="FFA600" w:themeColor="accent1"/>
        </w:rPr>
        <w:fldChar w:fldCharType="separate"/>
      </w:r>
      <w:r w:rsidRPr="00F64E03">
        <w:rPr>
          <w:color w:val="FFA600" w:themeColor="accent1"/>
        </w:rPr>
        <w:t xml:space="preserve">Figure </w:t>
      </w:r>
      <w:r w:rsidRPr="00F64E03">
        <w:rPr>
          <w:noProof/>
          <w:color w:val="FFA600" w:themeColor="accent1"/>
        </w:rPr>
        <w:t>12</w:t>
      </w:r>
      <w:r w:rsidRPr="00F64E03">
        <w:rPr>
          <w:rFonts w:asciiTheme="majorHAnsi" w:hAnsiTheme="majorHAnsi"/>
          <w:color w:val="FFA600" w:themeColor="accent1"/>
        </w:rPr>
        <w:fldChar w:fldCharType="end"/>
      </w:r>
      <w:r w:rsidRPr="00F64E03">
        <w:rPr>
          <w:rFonts w:asciiTheme="majorHAnsi" w:hAnsiTheme="majorHAnsi"/>
          <w:color w:val="FFA600" w:themeColor="accent1"/>
        </w:rPr>
        <w:t>).</w:t>
      </w:r>
    </w:p>
    <w:p w14:paraId="1224F3B1" w14:textId="373AA466" w:rsidR="008327D7" w:rsidRPr="00F64E03" w:rsidRDefault="00603803" w:rsidP="008327D7">
      <w:pPr>
        <w:rPr>
          <w:rFonts w:asciiTheme="majorHAnsi" w:hAnsiTheme="majorHAnsi"/>
          <w:color w:val="FFA600" w:themeColor="accent1"/>
        </w:rPr>
      </w:pPr>
      <w:r w:rsidRPr="00F64E03">
        <w:rPr>
          <w:rFonts w:asciiTheme="majorHAnsi" w:hAnsiTheme="majorHAnsi"/>
          <w:noProof/>
          <w:color w:val="FFA600" w:themeColor="accent1"/>
        </w:rPr>
        <w:drawing>
          <wp:inline distT="0" distB="0" distL="0" distR="0" wp14:anchorId="5F704119" wp14:editId="14478CEF">
            <wp:extent cx="5750478" cy="2131569"/>
            <wp:effectExtent l="0" t="0" r="3175" b="2540"/>
            <wp:docPr id="195" name="Grafik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802725" cy="2150936"/>
                    </a:xfrm>
                    <a:prstGeom prst="rect">
                      <a:avLst/>
                    </a:prstGeom>
                    <a:noFill/>
                  </pic:spPr>
                </pic:pic>
              </a:graphicData>
            </a:graphic>
          </wp:inline>
        </w:drawing>
      </w:r>
    </w:p>
    <w:p w14:paraId="2EA598E8" w14:textId="7570C772" w:rsidR="008327D7" w:rsidRPr="00F64E03" w:rsidRDefault="008327D7" w:rsidP="008327D7">
      <w:pPr>
        <w:pStyle w:val="Caption"/>
        <w:rPr>
          <w:rFonts w:asciiTheme="majorHAnsi" w:hAnsiTheme="majorHAnsi"/>
          <w:color w:val="FFA600" w:themeColor="accent1"/>
        </w:rPr>
      </w:pPr>
      <w:bookmarkStart w:id="94" w:name="_Toc178673571"/>
      <w:r w:rsidRPr="00F64E03">
        <w:rPr>
          <w:color w:val="FFA600" w:themeColor="accent1"/>
        </w:rPr>
        <w:t xml:space="preserve">Figure </w:t>
      </w:r>
      <w:r w:rsidRPr="00F64E03">
        <w:rPr>
          <w:color w:val="FFA600" w:themeColor="accent1"/>
        </w:rPr>
        <w:fldChar w:fldCharType="begin"/>
      </w:r>
      <w:r w:rsidRPr="00F64E03">
        <w:rPr>
          <w:color w:val="FFA600" w:themeColor="accent1"/>
        </w:rPr>
        <w:instrText xml:space="preserve"> SEQ Figure \* ARABIC </w:instrText>
      </w:r>
      <w:r w:rsidRPr="00F64E03">
        <w:rPr>
          <w:color w:val="FFA600" w:themeColor="accent1"/>
        </w:rPr>
        <w:fldChar w:fldCharType="separate"/>
      </w:r>
      <w:r w:rsidR="008272DB">
        <w:rPr>
          <w:noProof/>
          <w:color w:val="FFA600" w:themeColor="accent1"/>
        </w:rPr>
        <w:t>13</w:t>
      </w:r>
      <w:r w:rsidRPr="00F64E03">
        <w:rPr>
          <w:color w:val="FFA600" w:themeColor="accent1"/>
        </w:rPr>
        <w:fldChar w:fldCharType="end"/>
      </w:r>
      <w:r w:rsidRPr="00F64E03">
        <w:rPr>
          <w:color w:val="FFA600" w:themeColor="accent1"/>
        </w:rPr>
        <w:t>: PCF cascade of primary data for an exemplary supply chain</w:t>
      </w:r>
      <w:bookmarkEnd w:id="94"/>
    </w:p>
    <w:p w14:paraId="21E7BA53" w14:textId="77777777" w:rsidR="008327D7" w:rsidRPr="00F64E03" w:rsidRDefault="008327D7" w:rsidP="008327D7">
      <w:pPr>
        <w:rPr>
          <w:rFonts w:asciiTheme="majorHAnsi" w:hAnsiTheme="majorHAnsi"/>
          <w:color w:val="FFA600" w:themeColor="accent1"/>
        </w:rPr>
      </w:pPr>
    </w:p>
    <w:p w14:paraId="51E3C4EA" w14:textId="57482435" w:rsidR="008327D7" w:rsidRPr="00F64E03" w:rsidRDefault="008327D7" w:rsidP="008327D7">
      <w:pPr>
        <w:pStyle w:val="Caption"/>
        <w:rPr>
          <w:rFonts w:asciiTheme="majorHAnsi" w:hAnsiTheme="majorHAnsi"/>
          <w:color w:val="FFA600" w:themeColor="accent1"/>
        </w:rPr>
      </w:pPr>
      <w:bookmarkStart w:id="95" w:name="_Toc178673579"/>
      <w:r w:rsidRPr="00F64E03">
        <w:rPr>
          <w:rFonts w:asciiTheme="majorHAnsi" w:hAnsiTheme="majorHAnsi"/>
          <w:color w:val="FFA600" w:themeColor="accent1"/>
        </w:rPr>
        <w:t xml:space="preserve">Table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SEQ Table \* ARABIC </w:instrText>
      </w:r>
      <w:r w:rsidRPr="00F64E03">
        <w:rPr>
          <w:rFonts w:asciiTheme="majorHAnsi" w:hAnsiTheme="majorHAnsi"/>
          <w:color w:val="FFA600" w:themeColor="accent1"/>
        </w:rPr>
        <w:fldChar w:fldCharType="separate"/>
      </w:r>
      <w:r w:rsidR="008272DB">
        <w:rPr>
          <w:rFonts w:asciiTheme="majorHAnsi" w:hAnsiTheme="majorHAnsi"/>
          <w:noProof/>
          <w:color w:val="FFA600" w:themeColor="accent1"/>
        </w:rPr>
        <w:t>4</w:t>
      </w:r>
      <w:r w:rsidRPr="00F64E03">
        <w:rPr>
          <w:rFonts w:asciiTheme="majorHAnsi" w:hAnsiTheme="majorHAnsi"/>
          <w:color w:val="FFA600" w:themeColor="accent1"/>
        </w:rPr>
        <w:fldChar w:fldCharType="end"/>
      </w:r>
      <w:r w:rsidRPr="00F64E03">
        <w:rPr>
          <w:rFonts w:asciiTheme="majorHAnsi" w:hAnsiTheme="majorHAnsi"/>
          <w:color w:val="FFA600" w:themeColor="accent1"/>
        </w:rPr>
        <w:t xml:space="preserve">: Primary data share of the example as in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_Ref167897976 \h </w:instrText>
      </w:r>
      <w:r w:rsidRPr="00F64E03">
        <w:rPr>
          <w:rFonts w:asciiTheme="majorHAnsi" w:hAnsiTheme="majorHAnsi"/>
          <w:color w:val="FFA600" w:themeColor="accent1"/>
        </w:rPr>
      </w:r>
      <w:r w:rsidRPr="00F64E03">
        <w:rPr>
          <w:rFonts w:asciiTheme="majorHAnsi" w:hAnsiTheme="majorHAnsi"/>
          <w:color w:val="FFA600" w:themeColor="accent1"/>
        </w:rPr>
        <w:fldChar w:fldCharType="separate"/>
      </w:r>
      <w:r w:rsidRPr="00F64E03">
        <w:rPr>
          <w:color w:val="FFA600" w:themeColor="accent1"/>
        </w:rPr>
        <w:t xml:space="preserve">Figure </w:t>
      </w:r>
      <w:r w:rsidRPr="00F64E03">
        <w:rPr>
          <w:noProof/>
          <w:color w:val="FFA600" w:themeColor="accent1"/>
        </w:rPr>
        <w:t>12</w:t>
      </w:r>
      <w:bookmarkEnd w:id="95"/>
      <w:r w:rsidRPr="00F64E03">
        <w:rPr>
          <w:rFonts w:asciiTheme="majorHAnsi" w:hAnsiTheme="majorHAnsi"/>
          <w:color w:val="FFA600" w:themeColor="accent1"/>
        </w:rPr>
        <w:fldChar w:fldCharType="end"/>
      </w:r>
    </w:p>
    <w:tbl>
      <w:tblPr>
        <w:tblStyle w:val="Cantena-X"/>
        <w:tblW w:w="9072" w:type="dxa"/>
        <w:tblLook w:val="04A0" w:firstRow="1" w:lastRow="0" w:firstColumn="1" w:lastColumn="0" w:noHBand="0" w:noVBand="1"/>
      </w:tblPr>
      <w:tblGrid>
        <w:gridCol w:w="1701"/>
        <w:gridCol w:w="1276"/>
        <w:gridCol w:w="1843"/>
        <w:gridCol w:w="4252"/>
      </w:tblGrid>
      <w:tr w:rsidR="00F64E03" w:rsidRPr="00F64E03" w14:paraId="6C78A7F8" w14:textId="77777777" w:rsidTr="00603803">
        <w:trPr>
          <w:cnfStyle w:val="100000000000" w:firstRow="1" w:lastRow="0" w:firstColumn="0" w:lastColumn="0" w:oddVBand="0" w:evenVBand="0" w:oddHBand="0" w:evenHBand="0" w:firstRowFirstColumn="0" w:firstRowLastColumn="0" w:lastRowFirstColumn="0" w:lastRowLastColumn="0"/>
          <w:trHeight w:val="300"/>
        </w:trPr>
        <w:tc>
          <w:tcPr>
            <w:tcW w:w="1701" w:type="dxa"/>
            <w:shd w:val="clear" w:color="auto" w:fill="046B99" w:themeFill="accent5"/>
            <w:hideMark/>
          </w:tcPr>
          <w:p w14:paraId="2A0618C8" w14:textId="77777777" w:rsidR="008327D7" w:rsidRPr="00F64E03" w:rsidRDefault="008327D7" w:rsidP="00EE2E56">
            <w:pPr>
              <w:pStyle w:val="TableText"/>
              <w:rPr>
                <w:b/>
                <w:bCs/>
                <w:color w:val="FFA600" w:themeColor="accent1"/>
              </w:rPr>
            </w:pPr>
          </w:p>
        </w:tc>
        <w:tc>
          <w:tcPr>
            <w:tcW w:w="1276" w:type="dxa"/>
            <w:shd w:val="clear" w:color="auto" w:fill="046B99" w:themeFill="accent5"/>
            <w:hideMark/>
          </w:tcPr>
          <w:p w14:paraId="46F166FB" w14:textId="77777777" w:rsidR="008327D7" w:rsidRPr="00F64E03" w:rsidRDefault="008327D7" w:rsidP="00EE2E56">
            <w:pPr>
              <w:pStyle w:val="TableText"/>
              <w:rPr>
                <w:b/>
                <w:bCs/>
                <w:color w:val="FFA600" w:themeColor="accent1"/>
              </w:rPr>
            </w:pPr>
            <w:r w:rsidRPr="00F64E03">
              <w:rPr>
                <w:b/>
                <w:bCs/>
                <w:color w:val="FFA600" w:themeColor="accent1"/>
              </w:rPr>
              <w:t>PDS</w:t>
            </w:r>
            <w:r w:rsidRPr="00F64E03">
              <w:rPr>
                <w:b/>
                <w:bCs/>
                <w:color w:val="FFA600" w:themeColor="accent1"/>
                <w:vertAlign w:val="subscript"/>
              </w:rPr>
              <w:t>i</w:t>
            </w:r>
          </w:p>
        </w:tc>
        <w:tc>
          <w:tcPr>
            <w:tcW w:w="1843" w:type="dxa"/>
            <w:shd w:val="clear" w:color="auto" w:fill="046B99" w:themeFill="accent5"/>
            <w:hideMark/>
          </w:tcPr>
          <w:p w14:paraId="3608791C" w14:textId="77777777" w:rsidR="008327D7" w:rsidRPr="00F64E03" w:rsidRDefault="008327D7" w:rsidP="00EE2E56">
            <w:pPr>
              <w:pStyle w:val="TableText"/>
              <w:rPr>
                <w:b/>
                <w:bCs/>
                <w:color w:val="FFA600" w:themeColor="accent1"/>
              </w:rPr>
            </w:pPr>
            <w:r w:rsidRPr="00F64E03">
              <w:rPr>
                <w:b/>
                <w:bCs/>
                <w:color w:val="FFA600" w:themeColor="accent1"/>
              </w:rPr>
              <w:t>PCF</w:t>
            </w:r>
            <w:r w:rsidRPr="00F64E03">
              <w:rPr>
                <w:b/>
                <w:bCs/>
                <w:i/>
                <w:iCs/>
                <w:color w:val="FFA600" w:themeColor="accent1"/>
                <w:vertAlign w:val="subscript"/>
              </w:rPr>
              <w:t>total</w:t>
            </w:r>
            <w:r w:rsidRPr="00F64E03">
              <w:rPr>
                <w:b/>
                <w:bCs/>
                <w:i/>
                <w:iCs/>
                <w:color w:val="FFA600" w:themeColor="accent1"/>
              </w:rPr>
              <w:t>,</w:t>
            </w:r>
            <w:r w:rsidRPr="00F64E03">
              <w:rPr>
                <w:b/>
                <w:bCs/>
                <w:i/>
                <w:iCs/>
                <w:color w:val="FFA600" w:themeColor="accent1"/>
                <w:vertAlign w:val="subscript"/>
              </w:rPr>
              <w:t>i</w:t>
            </w:r>
            <w:r w:rsidRPr="00F64E03">
              <w:rPr>
                <w:b/>
                <w:bCs/>
                <w:i/>
                <w:iCs/>
                <w:color w:val="FFA600" w:themeColor="accent1"/>
              </w:rPr>
              <w:t xml:space="preserve"> </w:t>
            </w:r>
          </w:p>
        </w:tc>
        <w:tc>
          <w:tcPr>
            <w:tcW w:w="4252" w:type="dxa"/>
            <w:shd w:val="clear" w:color="auto" w:fill="046B99" w:themeFill="accent5"/>
            <w:hideMark/>
          </w:tcPr>
          <w:p w14:paraId="7E1AFD69" w14:textId="077F6481" w:rsidR="008327D7" w:rsidRPr="00F64E03" w:rsidRDefault="008327D7" w:rsidP="00EE2E56">
            <w:pPr>
              <w:pStyle w:val="TableText"/>
              <w:rPr>
                <w:b/>
                <w:bCs/>
                <w:color w:val="FFA600" w:themeColor="accent1"/>
              </w:rPr>
            </w:pPr>
            <w:r w:rsidRPr="00F64E03">
              <w:rPr>
                <w:b/>
                <w:bCs/>
                <w:color w:val="FFA600" w:themeColor="accent1"/>
              </w:rPr>
              <w:t>PDS</w:t>
            </w:r>
            <w:r w:rsidR="00603803" w:rsidRPr="00F64E03">
              <w:rPr>
                <w:b/>
                <w:bCs/>
                <w:i/>
                <w:iCs/>
                <w:color w:val="FFA600" w:themeColor="accent1"/>
              </w:rPr>
              <w:t xml:space="preserve"> Aggregation</w:t>
            </w:r>
          </w:p>
        </w:tc>
      </w:tr>
      <w:tr w:rsidR="00F64E03" w:rsidRPr="00F64E03" w14:paraId="42C7F31B" w14:textId="77777777" w:rsidTr="00EE2E56">
        <w:trPr>
          <w:cnfStyle w:val="000000100000" w:firstRow="0" w:lastRow="0" w:firstColumn="0" w:lastColumn="0" w:oddVBand="0" w:evenVBand="0" w:oddHBand="1" w:evenHBand="0" w:firstRowFirstColumn="0" w:firstRowLastColumn="0" w:lastRowFirstColumn="0" w:lastRowLastColumn="0"/>
          <w:trHeight w:val="300"/>
        </w:trPr>
        <w:tc>
          <w:tcPr>
            <w:tcW w:w="1701" w:type="dxa"/>
            <w:hideMark/>
          </w:tcPr>
          <w:p w14:paraId="6BD0B4A0" w14:textId="77777777" w:rsidR="008327D7" w:rsidRPr="00F64E03" w:rsidRDefault="008327D7" w:rsidP="00EE2E56">
            <w:pPr>
              <w:pStyle w:val="TableText"/>
              <w:rPr>
                <w:color w:val="FFA600" w:themeColor="accent1"/>
              </w:rPr>
            </w:pPr>
            <w:r w:rsidRPr="00F64E03">
              <w:rPr>
                <w:color w:val="FFA600" w:themeColor="accent1"/>
              </w:rPr>
              <w:t>Company A</w:t>
            </w:r>
          </w:p>
        </w:tc>
        <w:tc>
          <w:tcPr>
            <w:tcW w:w="1276" w:type="dxa"/>
            <w:hideMark/>
          </w:tcPr>
          <w:p w14:paraId="40AE4EBE" w14:textId="77777777" w:rsidR="008327D7" w:rsidRPr="00F64E03" w:rsidRDefault="008327D7" w:rsidP="00EE2E56">
            <w:pPr>
              <w:pStyle w:val="TableText"/>
              <w:rPr>
                <w:color w:val="FFA600" w:themeColor="accent1"/>
              </w:rPr>
            </w:pPr>
            <w:r w:rsidRPr="00F64E03">
              <w:rPr>
                <w:color w:val="FFA600" w:themeColor="accent1"/>
              </w:rPr>
              <w:t>75%</w:t>
            </w:r>
          </w:p>
        </w:tc>
        <w:tc>
          <w:tcPr>
            <w:tcW w:w="1843" w:type="dxa"/>
            <w:hideMark/>
          </w:tcPr>
          <w:p w14:paraId="7A0FA929" w14:textId="77777777" w:rsidR="008327D7" w:rsidRPr="00F64E03" w:rsidRDefault="008327D7" w:rsidP="00EE2E56">
            <w:pPr>
              <w:pStyle w:val="TableText"/>
              <w:rPr>
                <w:color w:val="FFA600" w:themeColor="accent1"/>
              </w:rPr>
            </w:pPr>
            <w:r w:rsidRPr="00F64E03">
              <w:rPr>
                <w:color w:val="FFA600" w:themeColor="accent1"/>
              </w:rPr>
              <w:t xml:space="preserve">10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p>
        </w:tc>
        <w:tc>
          <w:tcPr>
            <w:tcW w:w="4252" w:type="dxa"/>
            <w:hideMark/>
          </w:tcPr>
          <w:p w14:paraId="45D97771" w14:textId="77777777" w:rsidR="008327D7" w:rsidRPr="00F64E03" w:rsidRDefault="008327D7" w:rsidP="00EE2E56">
            <w:pPr>
              <w:pStyle w:val="TableText"/>
              <w:rPr>
                <w:color w:val="FFA600" w:themeColor="accent1"/>
              </w:rPr>
            </w:pPr>
            <w:r w:rsidRPr="00F64E03">
              <w:rPr>
                <w:color w:val="FFA600" w:themeColor="accent1"/>
              </w:rPr>
              <w:t xml:space="preserve">75% * 10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r w:rsidRPr="00F64E03">
              <w:rPr>
                <w:color w:val="FFA600" w:themeColor="accent1"/>
              </w:rPr>
              <w:t xml:space="preserve"> = 7.5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m:t>
              </m:r>
            </m:oMath>
          </w:p>
        </w:tc>
      </w:tr>
      <w:tr w:rsidR="00F64E03" w:rsidRPr="00F64E03" w14:paraId="42E0740A" w14:textId="77777777" w:rsidTr="00EE2E56">
        <w:trPr>
          <w:cnfStyle w:val="000000010000" w:firstRow="0" w:lastRow="0" w:firstColumn="0" w:lastColumn="0" w:oddVBand="0" w:evenVBand="0" w:oddHBand="0" w:evenHBand="1" w:firstRowFirstColumn="0" w:firstRowLastColumn="0" w:lastRowFirstColumn="0" w:lastRowLastColumn="0"/>
          <w:trHeight w:val="300"/>
        </w:trPr>
        <w:tc>
          <w:tcPr>
            <w:tcW w:w="1701" w:type="dxa"/>
            <w:hideMark/>
          </w:tcPr>
          <w:p w14:paraId="0BC63079" w14:textId="77777777" w:rsidR="008327D7" w:rsidRPr="00F64E03" w:rsidRDefault="008327D7" w:rsidP="00EE2E56">
            <w:pPr>
              <w:pStyle w:val="TableText"/>
              <w:rPr>
                <w:color w:val="FFA600" w:themeColor="accent1"/>
              </w:rPr>
            </w:pPr>
            <w:r w:rsidRPr="00F64E03">
              <w:rPr>
                <w:color w:val="FFA600" w:themeColor="accent1"/>
              </w:rPr>
              <w:t>Company B</w:t>
            </w:r>
          </w:p>
        </w:tc>
        <w:tc>
          <w:tcPr>
            <w:tcW w:w="1276" w:type="dxa"/>
            <w:hideMark/>
          </w:tcPr>
          <w:p w14:paraId="4D3E4761" w14:textId="77777777" w:rsidR="008327D7" w:rsidRPr="00F64E03" w:rsidRDefault="008327D7" w:rsidP="00EE2E56">
            <w:pPr>
              <w:pStyle w:val="TableText"/>
              <w:rPr>
                <w:color w:val="FFA600" w:themeColor="accent1"/>
              </w:rPr>
            </w:pPr>
            <w:r w:rsidRPr="00F64E03">
              <w:rPr>
                <w:color w:val="FFA600" w:themeColor="accent1"/>
              </w:rPr>
              <w:t>25%</w:t>
            </w:r>
          </w:p>
        </w:tc>
        <w:tc>
          <w:tcPr>
            <w:tcW w:w="1843" w:type="dxa"/>
            <w:hideMark/>
          </w:tcPr>
          <w:p w14:paraId="694541A2" w14:textId="77777777" w:rsidR="008327D7" w:rsidRPr="00F64E03" w:rsidRDefault="008327D7" w:rsidP="00EE2E56">
            <w:pPr>
              <w:pStyle w:val="TableText"/>
              <w:rPr>
                <w:color w:val="FFA600" w:themeColor="accent1"/>
              </w:rPr>
            </w:pPr>
            <w:r w:rsidRPr="00F64E03">
              <w:rPr>
                <w:color w:val="FFA600" w:themeColor="accent1"/>
              </w:rPr>
              <w:t xml:space="preserve">25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p>
        </w:tc>
        <w:tc>
          <w:tcPr>
            <w:tcW w:w="4252" w:type="dxa"/>
            <w:hideMark/>
          </w:tcPr>
          <w:p w14:paraId="20F3C530" w14:textId="77777777" w:rsidR="008327D7" w:rsidRPr="00F64E03" w:rsidRDefault="008327D7" w:rsidP="00EE2E56">
            <w:pPr>
              <w:pStyle w:val="TableText"/>
              <w:rPr>
                <w:color w:val="FFA600" w:themeColor="accent1"/>
              </w:rPr>
            </w:pPr>
            <w:r w:rsidRPr="00F64E03">
              <w:rPr>
                <w:color w:val="FFA600" w:themeColor="accent1"/>
              </w:rPr>
              <w:t xml:space="preserve">25% * 25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r w:rsidRPr="00F64E03">
              <w:rPr>
                <w:color w:val="FFA600" w:themeColor="accent1"/>
              </w:rPr>
              <w:t xml:space="preserve"> = 6.3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m:t>
              </m:r>
            </m:oMath>
          </w:p>
        </w:tc>
      </w:tr>
      <w:tr w:rsidR="00F64E03" w:rsidRPr="00F64E03" w14:paraId="1AD06DFB" w14:textId="77777777" w:rsidTr="00EE2E56">
        <w:trPr>
          <w:cnfStyle w:val="000000100000" w:firstRow="0" w:lastRow="0" w:firstColumn="0" w:lastColumn="0" w:oddVBand="0" w:evenVBand="0" w:oddHBand="1" w:evenHBand="0" w:firstRowFirstColumn="0" w:firstRowLastColumn="0" w:lastRowFirstColumn="0" w:lastRowLastColumn="0"/>
          <w:trHeight w:val="300"/>
        </w:trPr>
        <w:tc>
          <w:tcPr>
            <w:tcW w:w="1701" w:type="dxa"/>
            <w:hideMark/>
          </w:tcPr>
          <w:p w14:paraId="37D086EA" w14:textId="77777777" w:rsidR="008327D7" w:rsidRPr="00F64E03" w:rsidRDefault="008327D7" w:rsidP="00EE2E56">
            <w:pPr>
              <w:pStyle w:val="TableText"/>
              <w:rPr>
                <w:color w:val="FFA600" w:themeColor="accent1"/>
              </w:rPr>
            </w:pPr>
            <w:r w:rsidRPr="00F64E03">
              <w:rPr>
                <w:color w:val="FFA600" w:themeColor="accent1"/>
              </w:rPr>
              <w:t>Company C</w:t>
            </w:r>
          </w:p>
        </w:tc>
        <w:tc>
          <w:tcPr>
            <w:tcW w:w="1276" w:type="dxa"/>
            <w:hideMark/>
          </w:tcPr>
          <w:p w14:paraId="55D48C55" w14:textId="77777777" w:rsidR="008327D7" w:rsidRPr="00F64E03" w:rsidRDefault="008327D7" w:rsidP="00EE2E56">
            <w:pPr>
              <w:pStyle w:val="TableText"/>
              <w:rPr>
                <w:color w:val="FFA600" w:themeColor="accent1"/>
              </w:rPr>
            </w:pPr>
            <w:r w:rsidRPr="00F64E03">
              <w:rPr>
                <w:color w:val="FFA600" w:themeColor="accent1"/>
              </w:rPr>
              <w:t>50%</w:t>
            </w:r>
          </w:p>
        </w:tc>
        <w:tc>
          <w:tcPr>
            <w:tcW w:w="1843" w:type="dxa"/>
            <w:hideMark/>
          </w:tcPr>
          <w:p w14:paraId="5618841A" w14:textId="77777777" w:rsidR="008327D7" w:rsidRPr="00F64E03" w:rsidRDefault="008327D7" w:rsidP="00EE2E56">
            <w:pPr>
              <w:pStyle w:val="TableText"/>
              <w:rPr>
                <w:color w:val="FFA600" w:themeColor="accent1"/>
              </w:rPr>
            </w:pPr>
            <w:r w:rsidRPr="00F64E03">
              <w:rPr>
                <w:color w:val="FFA600" w:themeColor="accent1"/>
              </w:rPr>
              <w:t xml:space="preserve">50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p>
        </w:tc>
        <w:tc>
          <w:tcPr>
            <w:tcW w:w="4252" w:type="dxa"/>
            <w:hideMark/>
          </w:tcPr>
          <w:p w14:paraId="0590B084" w14:textId="77777777" w:rsidR="008327D7" w:rsidRPr="00F64E03" w:rsidRDefault="008327D7" w:rsidP="00EE2E56">
            <w:pPr>
              <w:pStyle w:val="TableText"/>
              <w:rPr>
                <w:color w:val="FFA600" w:themeColor="accent1"/>
              </w:rPr>
            </w:pPr>
            <w:r w:rsidRPr="00F64E03">
              <w:rPr>
                <w:color w:val="FFA600" w:themeColor="accent1"/>
              </w:rPr>
              <w:t xml:space="preserve">50% * 50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r w:rsidRPr="00F64E03">
              <w:rPr>
                <w:color w:val="FFA600" w:themeColor="accent1"/>
              </w:rPr>
              <w:t xml:space="preserve"> = 25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m:t>
              </m:r>
            </m:oMath>
          </w:p>
        </w:tc>
      </w:tr>
      <w:tr w:rsidR="00F64E03" w:rsidRPr="00F64E03" w14:paraId="4F8D14A9" w14:textId="77777777" w:rsidTr="00EE2E56">
        <w:trPr>
          <w:cnfStyle w:val="000000010000" w:firstRow="0" w:lastRow="0" w:firstColumn="0" w:lastColumn="0" w:oddVBand="0" w:evenVBand="0" w:oddHBand="0" w:evenHBand="1" w:firstRowFirstColumn="0" w:firstRowLastColumn="0" w:lastRowFirstColumn="0" w:lastRowLastColumn="0"/>
          <w:trHeight w:val="300"/>
        </w:trPr>
        <w:tc>
          <w:tcPr>
            <w:tcW w:w="1701" w:type="dxa"/>
            <w:hideMark/>
          </w:tcPr>
          <w:p w14:paraId="4917E83C" w14:textId="77777777" w:rsidR="008327D7" w:rsidRPr="00F64E03" w:rsidRDefault="008327D7" w:rsidP="00EE2E56">
            <w:pPr>
              <w:pStyle w:val="TableText"/>
              <w:rPr>
                <w:color w:val="FFA600" w:themeColor="accent1"/>
              </w:rPr>
            </w:pPr>
            <w:r w:rsidRPr="00F64E03">
              <w:rPr>
                <w:color w:val="FFA600" w:themeColor="accent1"/>
              </w:rPr>
              <w:t>Company D</w:t>
            </w:r>
          </w:p>
        </w:tc>
        <w:tc>
          <w:tcPr>
            <w:tcW w:w="1276" w:type="dxa"/>
            <w:hideMark/>
          </w:tcPr>
          <w:p w14:paraId="35352C86" w14:textId="77777777" w:rsidR="008327D7" w:rsidRPr="00F64E03" w:rsidRDefault="008327D7" w:rsidP="00EE2E56">
            <w:pPr>
              <w:pStyle w:val="TableText"/>
              <w:rPr>
                <w:color w:val="FFA600" w:themeColor="accent1"/>
              </w:rPr>
            </w:pPr>
            <w:r w:rsidRPr="00F64E03">
              <w:rPr>
                <w:color w:val="FFA600" w:themeColor="accent1"/>
              </w:rPr>
              <w:t>100%</w:t>
            </w:r>
          </w:p>
        </w:tc>
        <w:tc>
          <w:tcPr>
            <w:tcW w:w="1843" w:type="dxa"/>
            <w:hideMark/>
          </w:tcPr>
          <w:p w14:paraId="53F9EBA4" w14:textId="77777777" w:rsidR="008327D7" w:rsidRPr="00F64E03" w:rsidRDefault="008327D7" w:rsidP="00EE2E56">
            <w:pPr>
              <w:pStyle w:val="TableText"/>
              <w:rPr>
                <w:rFonts w:ascii="Cambria Math" w:hAnsi="Cambria Math"/>
                <w:i/>
                <w:color w:val="FFA600" w:themeColor="accent1"/>
              </w:rPr>
            </w:pPr>
            <w:r w:rsidRPr="00F64E03">
              <w:rPr>
                <w:color w:val="FFA600" w:themeColor="accent1"/>
              </w:rPr>
              <w:t xml:space="preserve">15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p>
        </w:tc>
        <w:tc>
          <w:tcPr>
            <w:tcW w:w="4252" w:type="dxa"/>
            <w:hideMark/>
          </w:tcPr>
          <w:p w14:paraId="35D1E00D" w14:textId="77777777" w:rsidR="008327D7" w:rsidRPr="00F64E03" w:rsidRDefault="008327D7" w:rsidP="00EE2E56">
            <w:pPr>
              <w:pStyle w:val="TableText"/>
              <w:rPr>
                <w:color w:val="FFA600" w:themeColor="accent1"/>
              </w:rPr>
            </w:pPr>
            <w:r w:rsidRPr="00F64E03">
              <w:rPr>
                <w:color w:val="FFA600" w:themeColor="accent1"/>
              </w:rPr>
              <w:t xml:space="preserve">100% * 15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r w:rsidRPr="00F64E03">
              <w:rPr>
                <w:color w:val="FFA600" w:themeColor="accent1"/>
              </w:rPr>
              <w:t xml:space="preserve"> = 15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m:t>
              </m:r>
            </m:oMath>
          </w:p>
        </w:tc>
      </w:tr>
      <w:tr w:rsidR="00F64E03" w:rsidRPr="00F64E03" w14:paraId="2EC76AF2" w14:textId="77777777" w:rsidTr="00EE2E56">
        <w:trPr>
          <w:cnfStyle w:val="000000100000" w:firstRow="0" w:lastRow="0" w:firstColumn="0" w:lastColumn="0" w:oddVBand="0" w:evenVBand="0" w:oddHBand="1" w:evenHBand="0" w:firstRowFirstColumn="0" w:firstRowLastColumn="0" w:lastRowFirstColumn="0" w:lastRowLastColumn="0"/>
          <w:trHeight w:val="300"/>
        </w:trPr>
        <w:tc>
          <w:tcPr>
            <w:tcW w:w="1701" w:type="dxa"/>
            <w:hideMark/>
          </w:tcPr>
          <w:p w14:paraId="725E6B3D" w14:textId="77777777" w:rsidR="008327D7" w:rsidRPr="00F64E03" w:rsidRDefault="008327D7" w:rsidP="00EE2E56">
            <w:pPr>
              <w:pStyle w:val="TableText"/>
              <w:rPr>
                <w:b/>
                <w:color w:val="FFA600" w:themeColor="accent1"/>
              </w:rPr>
            </w:pPr>
            <w:r w:rsidRPr="00F64E03">
              <w:rPr>
                <w:b/>
                <w:color w:val="FFA600" w:themeColor="accent1"/>
              </w:rPr>
              <w:t>Total</w:t>
            </w:r>
          </w:p>
        </w:tc>
        <w:tc>
          <w:tcPr>
            <w:tcW w:w="1276" w:type="dxa"/>
            <w:hideMark/>
          </w:tcPr>
          <w:p w14:paraId="2B44E6D1" w14:textId="77777777" w:rsidR="008327D7" w:rsidRPr="00F64E03" w:rsidRDefault="008327D7" w:rsidP="00EE2E56">
            <w:pPr>
              <w:pStyle w:val="TableText"/>
              <w:rPr>
                <w:color w:val="FFA600" w:themeColor="accent1"/>
              </w:rPr>
            </w:pPr>
          </w:p>
        </w:tc>
        <w:tc>
          <w:tcPr>
            <w:tcW w:w="1843" w:type="dxa"/>
            <w:hideMark/>
          </w:tcPr>
          <w:p w14:paraId="0D57A9E2" w14:textId="77777777" w:rsidR="008327D7" w:rsidRPr="00F64E03" w:rsidRDefault="008327D7" w:rsidP="00EE2E56">
            <w:pPr>
              <w:pStyle w:val="TableText"/>
              <w:rPr>
                <w:b/>
                <w:color w:val="FFA600" w:themeColor="accent1"/>
              </w:rPr>
            </w:pPr>
            <w:r w:rsidRPr="00F64E03">
              <w:rPr>
                <w:b/>
                <w:bCs/>
                <w:color w:val="FFA600" w:themeColor="accent1"/>
              </w:rPr>
              <w:t xml:space="preserve">100 </w:t>
            </w:r>
            <m:oMath>
              <m:r>
                <m:rPr>
                  <m:sty m:val="bi"/>
                </m:rPr>
                <w:rPr>
                  <w:rFonts w:ascii="Cambria Math" w:hAnsi="Cambria Math"/>
                  <w:color w:val="FFA600" w:themeColor="accent1"/>
                </w:rPr>
                <m:t>kg C</m:t>
              </m:r>
              <m:sSub>
                <m:sSubPr>
                  <m:ctrlPr>
                    <w:rPr>
                      <w:rFonts w:ascii="Cambria Math" w:hAnsi="Cambria Math"/>
                      <w:b/>
                      <w:bCs/>
                      <w:color w:val="FFA600" w:themeColor="accent1"/>
                    </w:rPr>
                  </m:ctrlPr>
                </m:sSubPr>
                <m:e>
                  <m:r>
                    <m:rPr>
                      <m:sty m:val="bi"/>
                    </m:rPr>
                    <w:rPr>
                      <w:rFonts w:ascii="Cambria Math" w:hAnsi="Cambria Math"/>
                      <w:color w:val="FFA600" w:themeColor="accent1"/>
                    </w:rPr>
                    <m:t>O</m:t>
                  </m:r>
                </m:e>
                <m:sub>
                  <m:r>
                    <m:rPr>
                      <m:sty m:val="bi"/>
                    </m:rPr>
                    <w:rPr>
                      <w:rFonts w:ascii="Cambria Math" w:hAnsi="Cambria Math"/>
                      <w:color w:val="FFA600" w:themeColor="accent1"/>
                    </w:rPr>
                    <m:t>2</m:t>
                  </m:r>
                </m:sub>
              </m:sSub>
              <m:r>
                <m:rPr>
                  <m:sty m:val="bi"/>
                </m:rPr>
                <w:rPr>
                  <w:rFonts w:ascii="Cambria Math" w:hAnsi="Cambria Math"/>
                  <w:color w:val="FFA600" w:themeColor="accent1"/>
                </w:rPr>
                <m:t xml:space="preserve"> eq</m:t>
              </m:r>
            </m:oMath>
          </w:p>
        </w:tc>
        <w:tc>
          <w:tcPr>
            <w:tcW w:w="4252" w:type="dxa"/>
            <w:hideMark/>
          </w:tcPr>
          <w:p w14:paraId="771D014A" w14:textId="10D61276" w:rsidR="008327D7" w:rsidRPr="00F64E03" w:rsidRDefault="008327D7" w:rsidP="00EE2E56">
            <w:pPr>
              <w:pStyle w:val="TableText"/>
              <w:rPr>
                <w:color w:val="FFA600" w:themeColor="accent1"/>
              </w:rPr>
            </w:pPr>
            <w:r w:rsidRPr="00F64E03">
              <w:rPr>
                <w:color w:val="FFA600" w:themeColor="accent1"/>
              </w:rPr>
              <w:t xml:space="preserve">≈ 54 </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m:t>
              </m:r>
            </m:oMath>
            <w:r w:rsidRPr="00F64E03">
              <w:rPr>
                <w:color w:val="FFA600" w:themeColor="accent1"/>
              </w:rPr>
              <w:t>, (7.5 + 6.3 + 25 + 15)</w:t>
            </w:r>
            <m:oMath>
              <m:r>
                <w:rPr>
                  <w:rFonts w:ascii="Cambria Math" w:hAnsi="Cambria Math"/>
                  <w:color w:val="FFA600" w:themeColor="accent1"/>
                </w:rPr>
                <m:t>kg C</m:t>
              </m:r>
              <m:sSub>
                <m:sSubPr>
                  <m:ctrlPr>
                    <w:rPr>
                      <w:rFonts w:ascii="Cambria Math" w:hAnsi="Cambria Math"/>
                      <w:color w:val="FFA600" w:themeColor="accent1"/>
                    </w:rPr>
                  </m:ctrlPr>
                </m:sSubPr>
                <m:e>
                  <m:r>
                    <w:rPr>
                      <w:rFonts w:ascii="Cambria Math" w:hAnsi="Cambria Math"/>
                      <w:color w:val="FFA600" w:themeColor="accent1"/>
                    </w:rPr>
                    <m:t>O</m:t>
                  </m:r>
                </m:e>
                <m:sub>
                  <m:r>
                    <w:rPr>
                      <w:rFonts w:ascii="Cambria Math" w:hAnsi="Cambria Math"/>
                      <w:color w:val="FFA600" w:themeColor="accent1"/>
                    </w:rPr>
                    <m:t>2</m:t>
                  </m:r>
                </m:sub>
              </m:sSub>
              <m:r>
                <w:rPr>
                  <w:rFonts w:ascii="Cambria Math" w:hAnsi="Cambria Math"/>
                  <w:color w:val="FFA600" w:themeColor="accent1"/>
                </w:rPr>
                <m:t xml:space="preserve"> eq</m:t>
              </m:r>
            </m:oMath>
            <w:r w:rsidR="00603803" w:rsidRPr="00F64E03">
              <w:rPr>
                <w:color w:val="FFA600" w:themeColor="accent1"/>
              </w:rPr>
              <w:br/>
            </w:r>
            <w:r w:rsidR="00603803" w:rsidRPr="00F64E03">
              <w:rPr>
                <w:b/>
                <w:bCs/>
                <w:color w:val="FFA600" w:themeColor="accent1"/>
              </w:rPr>
              <w:t>≈ 54% PDS</w:t>
            </w:r>
            <w:r w:rsidR="00603803" w:rsidRPr="00F64E03">
              <w:rPr>
                <w:b/>
                <w:bCs/>
                <w:color w:val="FFA600" w:themeColor="accent1"/>
                <w:vertAlign w:val="subscript"/>
              </w:rPr>
              <w:t>total</w:t>
            </w:r>
          </w:p>
        </w:tc>
      </w:tr>
    </w:tbl>
    <w:p w14:paraId="335E9185" w14:textId="77777777" w:rsidR="008327D7" w:rsidRPr="00F64E03" w:rsidRDefault="008327D7" w:rsidP="008327D7">
      <w:pPr>
        <w:rPr>
          <w:rFonts w:asciiTheme="majorHAnsi" w:hAnsiTheme="majorHAnsi"/>
          <w:color w:val="FFA600" w:themeColor="accent1"/>
        </w:rPr>
      </w:pPr>
    </w:p>
    <w:p w14:paraId="4E01595B" w14:textId="0AA2BA98"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When calculating the primary data share, a contribution to the primary data share shall only be attributed, if both the activity data (e.g., amount in kWh) and the GHG emission factor (expressed in kgCO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 xml:space="preserve">eq per unit) information is derived from primary </w:t>
      </w:r>
      <w:r w:rsidR="00603803" w:rsidRPr="00F64E03">
        <w:rPr>
          <w:rFonts w:asciiTheme="majorHAnsi" w:hAnsiTheme="majorHAnsi"/>
          <w:color w:val="FFA600" w:themeColor="accent1"/>
        </w:rPr>
        <w:t>data</w:t>
      </w:r>
      <w:r w:rsidRPr="00F64E03">
        <w:rPr>
          <w:rFonts w:asciiTheme="majorHAnsi" w:hAnsiTheme="majorHAnsi"/>
          <w:color w:val="FFA600" w:themeColor="accent1"/>
        </w:rPr>
        <w:t>. Supplier data shall only be considered as primary data if declared as such in percentage of primary data share.</w:t>
      </w:r>
    </w:p>
    <w:p w14:paraId="24CDE12F" w14:textId="77777777" w:rsidR="008327D7" w:rsidRPr="00F64E03" w:rsidRDefault="008327D7" w:rsidP="008327D7">
      <w:pPr>
        <w:rPr>
          <w:rFonts w:asciiTheme="majorHAnsi" w:hAnsiTheme="majorHAnsi"/>
          <w:color w:val="FFA600" w:themeColor="accent1"/>
          <w:highlight w:val="yellow"/>
        </w:rPr>
      </w:pPr>
      <w:r w:rsidRPr="00F64E03">
        <w:rPr>
          <w:rFonts w:asciiTheme="majorHAnsi" w:hAnsiTheme="majorHAnsi"/>
          <w:color w:val="FFA600" w:themeColor="accent1"/>
        </w:rPr>
        <w:t>Only product or company-specific data may contribute to the primary data share.</w:t>
      </w:r>
    </w:p>
    <w:p w14:paraId="38C3EF26" w14:textId="77777777" w:rsidR="008327D7" w:rsidRPr="008327D7" w:rsidRDefault="008327D7" w:rsidP="008327D7"/>
    <w:p w14:paraId="1264E46E" w14:textId="29D88D70" w:rsidR="008327D7" w:rsidRPr="00D1116F" w:rsidRDefault="008327D7">
      <w:pPr>
        <w:pStyle w:val="Heading4"/>
        <w:rPr>
          <w:rFonts w:cs="Calibri"/>
        </w:rPr>
      </w:pPr>
      <w:r w:rsidRPr="00D1116F">
        <w:rPr>
          <w:rFonts w:cs="Calibri"/>
        </w:rPr>
        <w:t>Data quality assessment</w:t>
      </w:r>
    </w:p>
    <w:p w14:paraId="55359DE7"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During the data collection process, companies shall assess the data quality of activity data, emission factors, and/or direct emissions data by using the data quality ratings (DQR).</w:t>
      </w:r>
    </w:p>
    <w:p w14:paraId="04F78542" w14:textId="77777777" w:rsidR="008327D7" w:rsidRPr="00F64E03" w:rsidRDefault="008327D7" w:rsidP="008327D7">
      <w:pPr>
        <w:pStyle w:val="ListParagraph"/>
        <w:numPr>
          <w:ilvl w:val="0"/>
          <w:numId w:val="0"/>
        </w:numPr>
        <w:rPr>
          <w:rFonts w:asciiTheme="majorHAnsi" w:hAnsiTheme="majorHAnsi"/>
          <w:color w:val="FFA600" w:themeColor="accent1"/>
          <w:sz w:val="22"/>
          <w:szCs w:val="24"/>
        </w:rPr>
      </w:pPr>
      <w:r w:rsidRPr="00F64E03">
        <w:rPr>
          <w:rStyle w:val="cf01"/>
          <w:rFonts w:asciiTheme="majorHAnsi" w:hAnsiTheme="majorHAnsi"/>
          <w:color w:val="FFA600" w:themeColor="accent1"/>
          <w:sz w:val="20"/>
          <w:szCs w:val="20"/>
        </w:rPr>
        <w:t xml:space="preserve">Today companies can calculate their Product Carbon footprints (PCFs) with the scope cradle-to-gate using several data types. The quality of data can be significantly different. Therefore, data quality assessments of </w:t>
      </w:r>
      <w:r w:rsidRPr="00F64E03">
        <w:rPr>
          <w:rStyle w:val="cf01"/>
          <w:rFonts w:asciiTheme="majorHAnsi" w:hAnsiTheme="majorHAnsi"/>
          <w:color w:val="FFA600" w:themeColor="accent1"/>
          <w:sz w:val="20"/>
          <w:szCs w:val="20"/>
        </w:rPr>
        <w:lastRenderedPageBreak/>
        <w:t>data used to calculate a PCF provide data users with a better understanding of the overall integrity of the data and the resulting PCF.</w:t>
      </w:r>
    </w:p>
    <w:p w14:paraId="26BFDC64"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The standard defines the three data quality indicators to use in assessing data quality. They are:</w:t>
      </w:r>
    </w:p>
    <w:p w14:paraId="2976B0A3" w14:textId="64E85D10" w:rsidR="008327D7" w:rsidRPr="00F64E03" w:rsidRDefault="008327D7" w:rsidP="006C1918">
      <w:pPr>
        <w:pStyle w:val="ListParagraph"/>
        <w:numPr>
          <w:ilvl w:val="0"/>
          <w:numId w:val="22"/>
        </w:numPr>
        <w:rPr>
          <w:rFonts w:asciiTheme="majorHAnsi" w:hAnsiTheme="majorHAnsi"/>
          <w:color w:val="FFA600" w:themeColor="accent1"/>
        </w:rPr>
      </w:pPr>
      <w:r w:rsidRPr="00F64E03">
        <w:rPr>
          <w:rStyle w:val="Strong"/>
          <w:rFonts w:asciiTheme="majorHAnsi" w:hAnsiTheme="majorHAnsi"/>
          <w:color w:val="FFA600" w:themeColor="accent1"/>
        </w:rPr>
        <w:t>Technological representativeness:</w:t>
      </w:r>
      <w:r w:rsidRPr="00F64E03">
        <w:rPr>
          <w:rFonts w:asciiTheme="majorHAnsi" w:hAnsiTheme="majorHAnsi"/>
          <w:color w:val="FFA600" w:themeColor="accent1"/>
        </w:rPr>
        <w:t xml:space="preserve"> the degree to which the data reflects the actual technology(ies) used in the process.</w:t>
      </w:r>
    </w:p>
    <w:p w14:paraId="49631B8E" w14:textId="77777777" w:rsidR="008327D7" w:rsidRPr="00F64E03" w:rsidRDefault="008327D7" w:rsidP="006C1918">
      <w:pPr>
        <w:pStyle w:val="ListParagraph"/>
        <w:numPr>
          <w:ilvl w:val="0"/>
          <w:numId w:val="22"/>
        </w:numPr>
        <w:rPr>
          <w:rFonts w:asciiTheme="majorHAnsi" w:hAnsiTheme="majorHAnsi"/>
          <w:color w:val="FFA600" w:themeColor="accent1"/>
        </w:rPr>
      </w:pPr>
      <w:r w:rsidRPr="00F64E03">
        <w:rPr>
          <w:rStyle w:val="Strong"/>
          <w:rFonts w:asciiTheme="majorHAnsi" w:hAnsiTheme="majorHAnsi"/>
          <w:color w:val="FFA600" w:themeColor="accent1"/>
        </w:rPr>
        <w:t>Geographical representativeness:</w:t>
      </w:r>
      <w:r w:rsidRPr="00F64E03">
        <w:rPr>
          <w:rFonts w:asciiTheme="majorHAnsi" w:hAnsiTheme="majorHAnsi"/>
          <w:color w:val="FFA600" w:themeColor="accent1"/>
        </w:rPr>
        <w:t xml:space="preserve"> the degree to which the data reflects actual geographic location of the processes within the inventory boundary (e.g., country or site)</w:t>
      </w:r>
    </w:p>
    <w:p w14:paraId="7A24F538" w14:textId="77777777" w:rsidR="008327D7" w:rsidRPr="00F64E03" w:rsidRDefault="008327D7" w:rsidP="006C1918">
      <w:pPr>
        <w:pStyle w:val="ListParagraph"/>
        <w:numPr>
          <w:ilvl w:val="0"/>
          <w:numId w:val="22"/>
        </w:numPr>
        <w:rPr>
          <w:rFonts w:asciiTheme="majorHAnsi" w:hAnsiTheme="majorHAnsi"/>
          <w:color w:val="FFA600" w:themeColor="accent1"/>
        </w:rPr>
      </w:pPr>
      <w:r w:rsidRPr="00F64E03">
        <w:rPr>
          <w:rStyle w:val="Strong"/>
          <w:rFonts w:asciiTheme="majorHAnsi" w:hAnsiTheme="majorHAnsi"/>
          <w:color w:val="FFA600" w:themeColor="accent1"/>
        </w:rPr>
        <w:t>Temporal representativeness:</w:t>
      </w:r>
      <w:r w:rsidRPr="00F64E03">
        <w:rPr>
          <w:rFonts w:asciiTheme="majorHAnsi" w:hAnsiTheme="majorHAnsi"/>
          <w:color w:val="FFA600" w:themeColor="accent1"/>
        </w:rPr>
        <w:t xml:space="preserve"> the degree to which the data reflect the actual time (e.g., year) or age of the process.</w:t>
      </w:r>
    </w:p>
    <w:p w14:paraId="76E04EFD"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Assessing data quality during data collection allows companies to make data quality improvements more efficiently than if data quality is assessed after collection is complete.</w:t>
      </w:r>
    </w:p>
    <w:p w14:paraId="1643449C" w14:textId="77777777" w:rsidR="008327D7" w:rsidRPr="00F64E03" w:rsidRDefault="008327D7" w:rsidP="00C947DF">
      <w:pPr>
        <w:rPr>
          <w:rFonts w:asciiTheme="majorHAnsi" w:hAnsiTheme="majorHAnsi"/>
          <w:color w:val="FFA600" w:themeColor="accent1"/>
          <w:spacing w:val="-2"/>
        </w:rPr>
      </w:pPr>
      <w:r w:rsidRPr="00F64E03">
        <w:rPr>
          <w:rFonts w:asciiTheme="majorHAnsi" w:hAnsiTheme="majorHAnsi"/>
          <w:color w:val="FFA600" w:themeColor="accent1"/>
          <w:spacing w:val="-2"/>
        </w:rPr>
        <w:t xml:space="preserve">Data quality shall be assessed for both primary and secondary data in terms of how well they represent the actual production of the product under study. In the case of secondary data, the data quality rating reported for the original data taken from a database may not be directly used. </w:t>
      </w:r>
    </w:p>
    <w:p w14:paraId="2DABE286" w14:textId="77777777" w:rsidR="008327D7" w:rsidRPr="00F64E03" w:rsidRDefault="008327D7" w:rsidP="008327D7">
      <w:pPr>
        <w:rPr>
          <w:rFonts w:asciiTheme="majorHAnsi" w:hAnsiTheme="majorHAnsi"/>
          <w:color w:val="FFA600" w:themeColor="accent1"/>
          <w:spacing w:val="-2"/>
        </w:rPr>
      </w:pPr>
      <w:r w:rsidRPr="00F64E03">
        <w:rPr>
          <w:rFonts w:asciiTheme="majorHAnsi" w:hAnsiTheme="majorHAnsi"/>
          <w:color w:val="FFA600" w:themeColor="accent1"/>
          <w:spacing w:val="-2"/>
        </w:rPr>
        <w:t>Instead, the reported data quality rating should serve as the basis to assess the representativeness of the product under study, i.e., how well the secondary data represents actual production in the supply chain.</w:t>
      </w:r>
    </w:p>
    <w:p w14:paraId="361DFDF4" w14:textId="7D26D920"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 xml:space="preserve">The data quality of each PCF shall be calculated and reported. The DQR calculation shall be based on three data quality criteria where TeR is the technological representativeness, TiR is the time/temporal representativeness, GeR is the geographical representativeness, </w:t>
      </w:r>
      <w:r w:rsidR="002973E2" w:rsidRPr="00F64E03">
        <w:rPr>
          <w:rFonts w:asciiTheme="majorHAnsi" w:hAnsiTheme="majorHAnsi"/>
          <w:color w:val="FFA600" w:themeColor="accent1"/>
        </w:rPr>
        <w:fldChar w:fldCharType="begin"/>
      </w:r>
      <w:r w:rsidR="002973E2" w:rsidRPr="00F64E03">
        <w:rPr>
          <w:rFonts w:asciiTheme="majorHAnsi" w:hAnsiTheme="majorHAnsi"/>
          <w:color w:val="FFA600" w:themeColor="accent1"/>
        </w:rPr>
        <w:instrText xml:space="preserve"> REF _Ref173752120 \h </w:instrText>
      </w:r>
      <w:r w:rsidR="002973E2" w:rsidRPr="00F64E03">
        <w:rPr>
          <w:rFonts w:asciiTheme="majorHAnsi" w:hAnsiTheme="majorHAnsi"/>
          <w:color w:val="FFA600" w:themeColor="accent1"/>
        </w:rPr>
      </w:r>
      <w:r w:rsidR="002973E2" w:rsidRPr="00F64E03">
        <w:rPr>
          <w:rFonts w:asciiTheme="majorHAnsi" w:hAnsiTheme="majorHAnsi"/>
          <w:color w:val="FFA600" w:themeColor="accent1"/>
        </w:rPr>
        <w:fldChar w:fldCharType="separate"/>
      </w:r>
      <w:r w:rsidR="002973E2" w:rsidRPr="00F64E03">
        <w:rPr>
          <w:rFonts w:asciiTheme="majorHAnsi" w:hAnsiTheme="majorHAnsi"/>
          <w:color w:val="FFA600" w:themeColor="accent1"/>
        </w:rPr>
        <w:t xml:space="preserve">Table </w:t>
      </w:r>
      <w:r w:rsidR="002973E2" w:rsidRPr="00F64E03">
        <w:rPr>
          <w:rFonts w:asciiTheme="majorHAnsi" w:hAnsiTheme="majorHAnsi"/>
          <w:noProof/>
          <w:color w:val="FFA600" w:themeColor="accent1"/>
        </w:rPr>
        <w:t>4</w:t>
      </w:r>
      <w:r w:rsidR="002973E2" w:rsidRPr="00F64E03">
        <w:rPr>
          <w:rFonts w:asciiTheme="majorHAnsi" w:hAnsiTheme="majorHAnsi"/>
          <w:color w:val="FFA600" w:themeColor="accent1"/>
        </w:rPr>
        <w:fldChar w:fldCharType="end"/>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_Ref108706488 \h  \* MERGEFORMAT </w:instrText>
      </w:r>
      <w:r w:rsidRPr="00F64E03">
        <w:rPr>
          <w:rFonts w:asciiTheme="majorHAnsi" w:hAnsiTheme="majorHAnsi"/>
          <w:color w:val="FFA600" w:themeColor="accent1"/>
        </w:rPr>
      </w:r>
      <w:r w:rsidR="009F04F3">
        <w:rPr>
          <w:rFonts w:asciiTheme="majorHAnsi" w:hAnsiTheme="majorHAnsi"/>
          <w:color w:val="FFA600" w:themeColor="accent1"/>
        </w:rPr>
        <w:fldChar w:fldCharType="separate"/>
      </w:r>
      <w:r w:rsidRPr="00F64E03">
        <w:rPr>
          <w:rFonts w:asciiTheme="majorHAnsi" w:hAnsiTheme="majorHAnsi"/>
          <w:color w:val="FFA600" w:themeColor="accent1"/>
        </w:rPr>
        <w:fldChar w:fldCharType="end"/>
      </w:r>
      <w:r w:rsidRPr="00F64E03">
        <w:rPr>
          <w:rFonts w:asciiTheme="majorHAnsi" w:hAnsiTheme="majorHAnsi"/>
          <w:color w:val="FFA600" w:themeColor="accent1"/>
        </w:rPr>
        <w:t xml:space="preserve"> shall be used to determine a semi-quantitative data quality rating.</w:t>
      </w:r>
    </w:p>
    <w:p w14:paraId="37A45A39"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The quality levels are expressed in five categories from 1 (best) to 5 (worst). The repre</w:t>
      </w:r>
      <w:r w:rsidRPr="00F64E03">
        <w:rPr>
          <w:rFonts w:asciiTheme="majorHAnsi" w:hAnsiTheme="majorHAnsi"/>
          <w:color w:val="FFA600" w:themeColor="accent1"/>
        </w:rPr>
        <w:softHyphen/>
        <w:t>sentativeness (technological, geographical, and time-related) characterizes the degree to which the processes and products selected depict the system analyzed.</w:t>
      </w:r>
    </w:p>
    <w:p w14:paraId="37261BB8" w14:textId="7644268D" w:rsidR="008327D7" w:rsidRPr="00F64E03" w:rsidRDefault="008327D7" w:rsidP="008327D7">
      <w:pPr>
        <w:pStyle w:val="Caption"/>
        <w:rPr>
          <w:rFonts w:asciiTheme="majorHAnsi" w:hAnsiTheme="majorHAnsi"/>
          <w:color w:val="FFA600" w:themeColor="accent1"/>
        </w:rPr>
      </w:pPr>
      <w:bookmarkStart w:id="96" w:name="_Ref173752120"/>
      <w:bookmarkStart w:id="97" w:name="_Toc178673580"/>
      <w:r w:rsidRPr="00F64E03">
        <w:rPr>
          <w:rFonts w:asciiTheme="majorHAnsi" w:hAnsiTheme="majorHAnsi"/>
          <w:color w:val="FFA600" w:themeColor="accent1"/>
        </w:rPr>
        <w:t xml:space="preserve">Table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SEQ Table \* ARABIC </w:instrText>
      </w:r>
      <w:r w:rsidRPr="00F64E03">
        <w:rPr>
          <w:rFonts w:asciiTheme="majorHAnsi" w:hAnsiTheme="majorHAnsi"/>
          <w:color w:val="FFA600" w:themeColor="accent1"/>
        </w:rPr>
        <w:fldChar w:fldCharType="separate"/>
      </w:r>
      <w:r w:rsidR="008272DB">
        <w:rPr>
          <w:rFonts w:asciiTheme="majorHAnsi" w:hAnsiTheme="majorHAnsi"/>
          <w:noProof/>
          <w:color w:val="FFA600" w:themeColor="accent1"/>
        </w:rPr>
        <w:t>5</w:t>
      </w:r>
      <w:r w:rsidRPr="00F64E03">
        <w:rPr>
          <w:rFonts w:asciiTheme="majorHAnsi" w:hAnsiTheme="majorHAnsi"/>
          <w:color w:val="FFA600" w:themeColor="accent1"/>
        </w:rPr>
        <w:fldChar w:fldCharType="end"/>
      </w:r>
      <w:bookmarkEnd w:id="96"/>
      <w:r w:rsidRPr="00F64E03">
        <w:rPr>
          <w:rFonts w:asciiTheme="majorHAnsi" w:hAnsiTheme="majorHAnsi"/>
          <w:color w:val="FFA600" w:themeColor="accent1"/>
        </w:rPr>
        <w:t>: Sample scoring criteria for performing a qualitative data quality assessment.</w:t>
      </w:r>
      <w:bookmarkEnd w:id="97"/>
    </w:p>
    <w:tbl>
      <w:tblPr>
        <w:tblStyle w:val="Cantena-X"/>
        <w:tblW w:w="0" w:type="auto"/>
        <w:tblLayout w:type="fixed"/>
        <w:tblLook w:val="04A0" w:firstRow="1" w:lastRow="0" w:firstColumn="1" w:lastColumn="0" w:noHBand="0" w:noVBand="1"/>
      </w:tblPr>
      <w:tblGrid>
        <w:gridCol w:w="1511"/>
        <w:gridCol w:w="26"/>
        <w:gridCol w:w="1865"/>
        <w:gridCol w:w="35"/>
        <w:gridCol w:w="1567"/>
        <w:gridCol w:w="1462"/>
        <w:gridCol w:w="13"/>
        <w:gridCol w:w="1175"/>
        <w:gridCol w:w="222"/>
        <w:gridCol w:w="1196"/>
      </w:tblGrid>
      <w:tr w:rsidR="00F64E03" w:rsidRPr="00F64E03" w14:paraId="0E41B675" w14:textId="77777777" w:rsidTr="002973E2">
        <w:trPr>
          <w:cnfStyle w:val="100000000000" w:firstRow="1" w:lastRow="0" w:firstColumn="0" w:lastColumn="0" w:oddVBand="0" w:evenVBand="0" w:oddHBand="0" w:evenHBand="0" w:firstRowFirstColumn="0" w:firstRowLastColumn="0" w:lastRowFirstColumn="0" w:lastRowLastColumn="0"/>
          <w:trHeight w:val="570"/>
          <w:tblHeader/>
        </w:trPr>
        <w:tc>
          <w:tcPr>
            <w:tcW w:w="1537" w:type="dxa"/>
            <w:gridSpan w:val="2"/>
            <w:shd w:val="clear" w:color="auto" w:fill="046B99" w:themeFill="accent5"/>
            <w:hideMark/>
          </w:tcPr>
          <w:p w14:paraId="4C02219B" w14:textId="76A83FDD" w:rsidR="008327D7" w:rsidRPr="00F64E03" w:rsidRDefault="008327D7" w:rsidP="00EE2E56">
            <w:pPr>
              <w:pStyle w:val="TableText"/>
              <w:rPr>
                <w:b/>
                <w:bCs/>
                <w:color w:val="FFA600" w:themeColor="accent1"/>
              </w:rPr>
            </w:pPr>
          </w:p>
        </w:tc>
        <w:tc>
          <w:tcPr>
            <w:tcW w:w="1900" w:type="dxa"/>
            <w:gridSpan w:val="2"/>
            <w:shd w:val="clear" w:color="auto" w:fill="046B99" w:themeFill="accent5"/>
            <w:hideMark/>
          </w:tcPr>
          <w:p w14:paraId="08D02741" w14:textId="5EB591D3" w:rsidR="008327D7" w:rsidRPr="00F64E03" w:rsidRDefault="008327D7" w:rsidP="00EE2E56">
            <w:pPr>
              <w:pStyle w:val="TableText"/>
              <w:rPr>
                <w:b/>
                <w:bCs/>
                <w:color w:val="FFA600" w:themeColor="accent1"/>
              </w:rPr>
            </w:pPr>
            <w:r w:rsidRPr="00F64E03">
              <w:rPr>
                <w:b/>
                <w:bCs/>
                <w:color w:val="FFA600" w:themeColor="accent1"/>
              </w:rPr>
              <w:t>1</w:t>
            </w:r>
          </w:p>
        </w:tc>
        <w:tc>
          <w:tcPr>
            <w:tcW w:w="1567" w:type="dxa"/>
            <w:shd w:val="clear" w:color="auto" w:fill="046B99" w:themeFill="accent5"/>
            <w:hideMark/>
          </w:tcPr>
          <w:p w14:paraId="347EAA54" w14:textId="39CAF3C8" w:rsidR="008327D7" w:rsidRPr="00F64E03" w:rsidRDefault="008327D7" w:rsidP="00EE2E56">
            <w:pPr>
              <w:pStyle w:val="TableText"/>
              <w:rPr>
                <w:b/>
                <w:bCs/>
                <w:color w:val="FFA600" w:themeColor="accent1"/>
              </w:rPr>
            </w:pPr>
            <w:r w:rsidRPr="00F64E03">
              <w:rPr>
                <w:b/>
                <w:bCs/>
                <w:color w:val="FFA600" w:themeColor="accent1"/>
              </w:rPr>
              <w:t>2</w:t>
            </w:r>
          </w:p>
        </w:tc>
        <w:tc>
          <w:tcPr>
            <w:tcW w:w="1475" w:type="dxa"/>
            <w:gridSpan w:val="2"/>
            <w:shd w:val="clear" w:color="auto" w:fill="046B99" w:themeFill="accent5"/>
            <w:hideMark/>
          </w:tcPr>
          <w:p w14:paraId="7A591774" w14:textId="39F70D35" w:rsidR="008327D7" w:rsidRPr="00F64E03" w:rsidRDefault="008327D7" w:rsidP="00EE2E56">
            <w:pPr>
              <w:pStyle w:val="TableText"/>
              <w:rPr>
                <w:b/>
                <w:bCs/>
                <w:color w:val="FFA600" w:themeColor="accent1"/>
              </w:rPr>
            </w:pPr>
            <w:r w:rsidRPr="00F64E03">
              <w:rPr>
                <w:b/>
                <w:bCs/>
                <w:color w:val="FFA600" w:themeColor="accent1"/>
              </w:rPr>
              <w:t>3</w:t>
            </w:r>
          </w:p>
        </w:tc>
        <w:tc>
          <w:tcPr>
            <w:tcW w:w="1397" w:type="dxa"/>
            <w:gridSpan w:val="2"/>
            <w:shd w:val="clear" w:color="auto" w:fill="046B99" w:themeFill="accent5"/>
            <w:hideMark/>
          </w:tcPr>
          <w:p w14:paraId="46E5AD29" w14:textId="55C28404" w:rsidR="008327D7" w:rsidRPr="00F64E03" w:rsidRDefault="008327D7" w:rsidP="00EE2E56">
            <w:pPr>
              <w:pStyle w:val="TableText"/>
              <w:rPr>
                <w:b/>
                <w:bCs/>
                <w:color w:val="FFA600" w:themeColor="accent1"/>
              </w:rPr>
            </w:pPr>
            <w:r w:rsidRPr="00F64E03">
              <w:rPr>
                <w:b/>
                <w:bCs/>
                <w:color w:val="FFA600" w:themeColor="accent1"/>
              </w:rPr>
              <w:t>4</w:t>
            </w:r>
          </w:p>
        </w:tc>
        <w:tc>
          <w:tcPr>
            <w:tcW w:w="1196" w:type="dxa"/>
            <w:shd w:val="clear" w:color="auto" w:fill="046B99" w:themeFill="accent5"/>
            <w:hideMark/>
          </w:tcPr>
          <w:p w14:paraId="7430C6A6" w14:textId="224F7E86" w:rsidR="008327D7" w:rsidRPr="00F64E03" w:rsidRDefault="008327D7" w:rsidP="00EE2E56">
            <w:pPr>
              <w:pStyle w:val="TableText"/>
              <w:rPr>
                <w:b/>
                <w:bCs/>
                <w:color w:val="FFA600" w:themeColor="accent1"/>
              </w:rPr>
            </w:pPr>
            <w:r w:rsidRPr="00F64E03">
              <w:rPr>
                <w:b/>
                <w:bCs/>
                <w:color w:val="FFA600" w:themeColor="accent1"/>
              </w:rPr>
              <w:t>5</w:t>
            </w:r>
          </w:p>
        </w:tc>
      </w:tr>
      <w:tr w:rsidR="00F64E03" w:rsidRPr="00F64E03" w14:paraId="593B6363" w14:textId="77777777" w:rsidTr="002973E2">
        <w:trPr>
          <w:cnfStyle w:val="000000100000" w:firstRow="0" w:lastRow="0" w:firstColumn="0" w:lastColumn="0" w:oddVBand="0" w:evenVBand="0" w:oddHBand="1" w:evenHBand="0" w:firstRowFirstColumn="0" w:firstRowLastColumn="0" w:lastRowFirstColumn="0" w:lastRowLastColumn="0"/>
        </w:trPr>
        <w:tc>
          <w:tcPr>
            <w:tcW w:w="1537" w:type="dxa"/>
            <w:gridSpan w:val="2"/>
            <w:hideMark/>
          </w:tcPr>
          <w:p w14:paraId="0A016C91" w14:textId="2FA6F6ED" w:rsidR="008327D7" w:rsidRPr="00F64E03" w:rsidRDefault="008327D7" w:rsidP="00EE2E56">
            <w:pPr>
              <w:pStyle w:val="TableText"/>
              <w:rPr>
                <w:color w:val="FFA600" w:themeColor="accent1"/>
              </w:rPr>
            </w:pPr>
            <w:r w:rsidRPr="00F64E03">
              <w:rPr>
                <w:color w:val="FFA600" w:themeColor="accent1"/>
              </w:rPr>
              <w:t>Technology   Representa-tiveness (TeR)</w:t>
            </w:r>
          </w:p>
        </w:tc>
        <w:tc>
          <w:tcPr>
            <w:tcW w:w="1900" w:type="dxa"/>
            <w:gridSpan w:val="2"/>
            <w:hideMark/>
          </w:tcPr>
          <w:p w14:paraId="73AEA3C8" w14:textId="335B9C78" w:rsidR="008327D7" w:rsidRPr="00F64E03" w:rsidRDefault="008327D7" w:rsidP="00EE2E56">
            <w:pPr>
              <w:pStyle w:val="TableText"/>
              <w:rPr>
                <w:color w:val="FFA600" w:themeColor="accent1"/>
              </w:rPr>
            </w:pPr>
            <w:r w:rsidRPr="00F64E03">
              <w:rPr>
                <w:color w:val="FFA600" w:themeColor="accent1"/>
              </w:rPr>
              <w:t>The dataset has been created based on data reflecting the exact technology employed (i.e. plant specific process/equipment data for the plant/equipment where the product has been manufactured) </w:t>
            </w:r>
          </w:p>
          <w:p w14:paraId="0DCE16D6" w14:textId="5C8E6E2D" w:rsidR="008327D7" w:rsidRPr="00F64E03" w:rsidRDefault="008327D7" w:rsidP="00EE2E56">
            <w:pPr>
              <w:pStyle w:val="TableText"/>
              <w:rPr>
                <w:color w:val="FFA600" w:themeColor="accent1"/>
              </w:rPr>
            </w:pPr>
            <w:r w:rsidRPr="00F64E03">
              <w:rPr>
                <w:color w:val="FFA600" w:themeColor="accent1"/>
              </w:rPr>
              <w:t> </w:t>
            </w:r>
          </w:p>
          <w:p w14:paraId="364EC7DD" w14:textId="5F25923B" w:rsidR="008327D7" w:rsidRPr="00F64E03" w:rsidRDefault="008327D7" w:rsidP="00EE2E56">
            <w:pPr>
              <w:pStyle w:val="TableText"/>
              <w:rPr>
                <w:color w:val="FFA600" w:themeColor="accent1"/>
              </w:rPr>
            </w:pPr>
            <w:r w:rsidRPr="00F64E03">
              <w:rPr>
                <w:color w:val="FFA600" w:themeColor="accent1"/>
              </w:rPr>
              <w:t>Explanation: this quality score can be achieved only in case of use of primary data</w:t>
            </w:r>
          </w:p>
          <w:p w14:paraId="07564500" w14:textId="3F67D220" w:rsidR="008327D7" w:rsidRPr="00F64E03" w:rsidRDefault="008327D7" w:rsidP="00EE2E56">
            <w:pPr>
              <w:pStyle w:val="TableText"/>
              <w:rPr>
                <w:color w:val="FFA600" w:themeColor="accent1"/>
              </w:rPr>
            </w:pPr>
            <w:r w:rsidRPr="00F64E03">
              <w:rPr>
                <w:color w:val="FFA600" w:themeColor="accent1"/>
              </w:rPr>
              <w:t> </w:t>
            </w:r>
          </w:p>
        </w:tc>
        <w:tc>
          <w:tcPr>
            <w:tcW w:w="1567" w:type="dxa"/>
            <w:hideMark/>
          </w:tcPr>
          <w:p w14:paraId="13A1D111" w14:textId="21BDF464" w:rsidR="008327D7" w:rsidRPr="00F64E03" w:rsidRDefault="008327D7" w:rsidP="00EE2E56">
            <w:pPr>
              <w:pStyle w:val="TableText"/>
              <w:rPr>
                <w:color w:val="FFA600" w:themeColor="accent1"/>
              </w:rPr>
            </w:pPr>
            <w:r w:rsidRPr="00F64E03">
              <w:rPr>
                <w:color w:val="FFA600" w:themeColor="accent1"/>
              </w:rPr>
              <w:t>The dataset has been created based on data reflecting the company-specific and same technology to the one employed for the actual manufacturing (i.e. same technology, the company/site specific but not necessarily plant specific – it could be an average if several company/site specific data are available) </w:t>
            </w:r>
          </w:p>
          <w:p w14:paraId="41DE3844" w14:textId="2E2021D0" w:rsidR="008327D7" w:rsidRPr="00F64E03" w:rsidRDefault="008327D7" w:rsidP="00EE2E56">
            <w:pPr>
              <w:pStyle w:val="TableText"/>
              <w:rPr>
                <w:color w:val="FFA600" w:themeColor="accent1"/>
              </w:rPr>
            </w:pPr>
            <w:r w:rsidRPr="00F64E03">
              <w:rPr>
                <w:color w:val="FFA600" w:themeColor="accent1"/>
              </w:rPr>
              <w:t> </w:t>
            </w:r>
          </w:p>
          <w:p w14:paraId="0521604C" w14:textId="4BEFCD98" w:rsidR="008327D7" w:rsidRPr="00F64E03" w:rsidRDefault="008327D7" w:rsidP="00EE2E56">
            <w:pPr>
              <w:pStyle w:val="TableText"/>
              <w:rPr>
                <w:color w:val="FFA600" w:themeColor="accent1"/>
              </w:rPr>
            </w:pPr>
            <w:r w:rsidRPr="00F64E03">
              <w:rPr>
                <w:color w:val="FFA600" w:themeColor="accent1"/>
              </w:rPr>
              <w:t xml:space="preserve">Explanation: this quality score can be </w:t>
            </w:r>
            <w:r w:rsidRPr="00F64E03">
              <w:rPr>
                <w:color w:val="FFA600" w:themeColor="accent1"/>
              </w:rPr>
              <w:lastRenderedPageBreak/>
              <w:t>achieved only in case of use of primary data</w:t>
            </w:r>
          </w:p>
        </w:tc>
        <w:tc>
          <w:tcPr>
            <w:tcW w:w="1475" w:type="dxa"/>
            <w:gridSpan w:val="2"/>
            <w:hideMark/>
          </w:tcPr>
          <w:p w14:paraId="6C78040C" w14:textId="2CA76D7D" w:rsidR="008327D7" w:rsidRPr="00F64E03" w:rsidRDefault="008327D7" w:rsidP="00EE2E56">
            <w:pPr>
              <w:pStyle w:val="TableText"/>
              <w:rPr>
                <w:color w:val="FFA600" w:themeColor="accent1"/>
              </w:rPr>
            </w:pPr>
            <w:r w:rsidRPr="00F64E03">
              <w:rPr>
                <w:color w:val="FFA600" w:themeColor="accent1"/>
              </w:rPr>
              <w:lastRenderedPageBreak/>
              <w:t>The dataset has been created based on data reflecting an average for an equivalent technology to the one employed for the actual manufacturing (i.e. same technology, but not company specific) </w:t>
            </w:r>
          </w:p>
          <w:p w14:paraId="5340224A" w14:textId="0CF4F6A9" w:rsidR="008327D7" w:rsidRPr="00F64E03" w:rsidRDefault="008327D7" w:rsidP="00EE2E56">
            <w:pPr>
              <w:pStyle w:val="TableText"/>
              <w:rPr>
                <w:color w:val="FFA600" w:themeColor="accent1"/>
              </w:rPr>
            </w:pPr>
            <w:r w:rsidRPr="00F64E03">
              <w:rPr>
                <w:color w:val="FFA600" w:themeColor="accent1"/>
              </w:rPr>
              <w:t>Explanation: this is the maximum score achievable with secondary data</w:t>
            </w:r>
          </w:p>
        </w:tc>
        <w:tc>
          <w:tcPr>
            <w:tcW w:w="1397" w:type="dxa"/>
            <w:gridSpan w:val="2"/>
            <w:hideMark/>
          </w:tcPr>
          <w:p w14:paraId="5E705A4E" w14:textId="6A221D4D" w:rsidR="008327D7" w:rsidRPr="00F64E03" w:rsidRDefault="008327D7" w:rsidP="00EE2E56">
            <w:pPr>
              <w:pStyle w:val="TableText"/>
              <w:rPr>
                <w:color w:val="FFA600" w:themeColor="accent1"/>
              </w:rPr>
            </w:pPr>
            <w:r w:rsidRPr="00F64E03">
              <w:rPr>
                <w:color w:val="FFA600" w:themeColor="accent1"/>
              </w:rPr>
              <w:t>The dataset has been created based on data reflecting a technological proxy (i.e. similar but not same technology, irrespectively if based on averages or supplier specific data) </w:t>
            </w:r>
          </w:p>
          <w:p w14:paraId="174551FB" w14:textId="56648A7F" w:rsidR="008327D7" w:rsidRPr="00F64E03" w:rsidRDefault="008327D7" w:rsidP="00EE2E56">
            <w:pPr>
              <w:pStyle w:val="TableText"/>
              <w:rPr>
                <w:color w:val="FFA600" w:themeColor="accent1"/>
              </w:rPr>
            </w:pPr>
            <w:r w:rsidRPr="00F64E03">
              <w:rPr>
                <w:color w:val="FFA600" w:themeColor="accent1"/>
              </w:rPr>
              <w:t> </w:t>
            </w:r>
          </w:p>
        </w:tc>
        <w:tc>
          <w:tcPr>
            <w:tcW w:w="1196" w:type="dxa"/>
            <w:hideMark/>
          </w:tcPr>
          <w:p w14:paraId="5966D662" w14:textId="0F557347" w:rsidR="008327D7" w:rsidRPr="00F64E03" w:rsidRDefault="008327D7" w:rsidP="00EE2E56">
            <w:pPr>
              <w:pStyle w:val="TableText"/>
              <w:rPr>
                <w:color w:val="FFA600" w:themeColor="accent1"/>
              </w:rPr>
            </w:pPr>
            <w:r w:rsidRPr="00F64E03">
              <w:rPr>
                <w:color w:val="FFA600" w:themeColor="accent1"/>
              </w:rPr>
              <w:t>The dataset has been created based on different or unknown technology vs technology actually employed </w:t>
            </w:r>
          </w:p>
        </w:tc>
      </w:tr>
      <w:tr w:rsidR="00F64E03" w:rsidRPr="00F64E03" w14:paraId="153DDD15" w14:textId="77777777" w:rsidTr="002973E2">
        <w:trPr>
          <w:cnfStyle w:val="000000010000" w:firstRow="0" w:lastRow="0" w:firstColumn="0" w:lastColumn="0" w:oddVBand="0" w:evenVBand="0" w:oddHBand="0" w:evenHBand="1" w:firstRowFirstColumn="0" w:firstRowLastColumn="0" w:lastRowFirstColumn="0" w:lastRowLastColumn="0"/>
        </w:trPr>
        <w:tc>
          <w:tcPr>
            <w:tcW w:w="1537" w:type="dxa"/>
            <w:gridSpan w:val="2"/>
          </w:tcPr>
          <w:p w14:paraId="5660BB7C" w14:textId="77777777" w:rsidR="008327D7" w:rsidRPr="00F64E03" w:rsidRDefault="008327D7" w:rsidP="00EE2E56">
            <w:pPr>
              <w:pStyle w:val="TableText"/>
              <w:rPr>
                <w:color w:val="FFA600" w:themeColor="accent1"/>
                <w:lang w:val="pt-BR"/>
              </w:rPr>
            </w:pPr>
            <w:r w:rsidRPr="00F64E03">
              <w:rPr>
                <w:color w:val="FFA600" w:themeColor="accent1"/>
                <w:lang w:val="pt-BR"/>
              </w:rPr>
              <w:t>Temporal/time Representa-tiveness</w:t>
            </w:r>
          </w:p>
          <w:p w14:paraId="58055AD0" w14:textId="77777777" w:rsidR="008327D7" w:rsidRPr="00F64E03" w:rsidRDefault="008327D7" w:rsidP="00EE2E56">
            <w:pPr>
              <w:pStyle w:val="TableText"/>
              <w:rPr>
                <w:color w:val="FFA600" w:themeColor="accent1"/>
                <w:lang w:val="pt-BR"/>
              </w:rPr>
            </w:pPr>
            <w:r w:rsidRPr="00F64E03">
              <w:rPr>
                <w:color w:val="FFA600" w:themeColor="accent1"/>
                <w:lang w:val="pt-BR"/>
              </w:rPr>
              <w:t>(TeR)</w:t>
            </w:r>
          </w:p>
        </w:tc>
        <w:tc>
          <w:tcPr>
            <w:tcW w:w="1900" w:type="dxa"/>
            <w:gridSpan w:val="2"/>
          </w:tcPr>
          <w:p w14:paraId="6079C470" w14:textId="5C342131" w:rsidR="008327D7" w:rsidRPr="00F64E03" w:rsidRDefault="008327D7" w:rsidP="00EE2E56">
            <w:pPr>
              <w:pStyle w:val="TableText"/>
              <w:rPr>
                <w:color w:val="FFA600" w:themeColor="accent1"/>
              </w:rPr>
            </w:pPr>
            <w:r w:rsidRPr="00F64E03">
              <w:rPr>
                <w:color w:val="FFA600" w:themeColor="accent1"/>
              </w:rPr>
              <w:t>The difference between “Reference Period End” of the dataset and “Date of Issue” of the PCF is ≤1 year (i.e. 366d (to count for leap year))</w:t>
            </w:r>
          </w:p>
        </w:tc>
        <w:tc>
          <w:tcPr>
            <w:tcW w:w="1567" w:type="dxa"/>
          </w:tcPr>
          <w:p w14:paraId="3A71E596" w14:textId="56EA29B2" w:rsidR="008327D7" w:rsidRPr="00F64E03" w:rsidRDefault="008327D7" w:rsidP="00EE2E56">
            <w:pPr>
              <w:pStyle w:val="TableText"/>
              <w:rPr>
                <w:color w:val="FFA600" w:themeColor="accent1"/>
              </w:rPr>
            </w:pPr>
            <w:r w:rsidRPr="00F64E03">
              <w:rPr>
                <w:color w:val="FFA600" w:themeColor="accent1"/>
              </w:rPr>
              <w:t>The difference between “Reference Period End” of the dataset and “Date of Issue” of the PCF is &gt;1 year and ≤2 years (i.e. 731d)</w:t>
            </w:r>
          </w:p>
        </w:tc>
        <w:tc>
          <w:tcPr>
            <w:tcW w:w="1475" w:type="dxa"/>
            <w:gridSpan w:val="2"/>
          </w:tcPr>
          <w:p w14:paraId="3E8190B9" w14:textId="704E63C8" w:rsidR="008327D7" w:rsidRPr="00F64E03" w:rsidRDefault="008327D7" w:rsidP="00EE2E56">
            <w:pPr>
              <w:pStyle w:val="TableText"/>
              <w:rPr>
                <w:color w:val="FFA600" w:themeColor="accent1"/>
              </w:rPr>
            </w:pPr>
            <w:r w:rsidRPr="00F64E03">
              <w:rPr>
                <w:color w:val="FFA600" w:themeColor="accent1"/>
              </w:rPr>
              <w:t>The difference between “Reference Period End” of the dataset and “Date of Issue” of the PCF &gt;2 years and ≤3 years (i.e. 1096d)</w:t>
            </w:r>
          </w:p>
        </w:tc>
        <w:tc>
          <w:tcPr>
            <w:tcW w:w="1397" w:type="dxa"/>
            <w:gridSpan w:val="2"/>
          </w:tcPr>
          <w:p w14:paraId="0B99CBE6" w14:textId="0A56F2DC" w:rsidR="008327D7" w:rsidRPr="00F64E03" w:rsidRDefault="008327D7" w:rsidP="00EE2E56">
            <w:pPr>
              <w:pStyle w:val="TableText"/>
              <w:rPr>
                <w:color w:val="FFA600" w:themeColor="accent1"/>
              </w:rPr>
            </w:pPr>
            <w:r w:rsidRPr="00F64E03">
              <w:rPr>
                <w:color w:val="FFA600" w:themeColor="accent1"/>
              </w:rPr>
              <w:t>The difference between “Reference Period End” of the dataset and “Date of Issue” of the PCF is &gt;3 years and ≤4 years (i.e. 1461d)</w:t>
            </w:r>
          </w:p>
        </w:tc>
        <w:tc>
          <w:tcPr>
            <w:tcW w:w="1196" w:type="dxa"/>
          </w:tcPr>
          <w:p w14:paraId="262FDCFF" w14:textId="44AF977F" w:rsidR="008327D7" w:rsidRPr="00F64E03" w:rsidRDefault="008327D7" w:rsidP="00EE2E56">
            <w:pPr>
              <w:pStyle w:val="TableText"/>
              <w:rPr>
                <w:color w:val="FFA600" w:themeColor="accent1"/>
              </w:rPr>
            </w:pPr>
            <w:r w:rsidRPr="00F64E03">
              <w:rPr>
                <w:color w:val="FFA600" w:themeColor="accent1"/>
              </w:rPr>
              <w:t>The difference between “Reference Period End” of the dataset and “Date of Issue” of the PCF is &gt;4 years</w:t>
            </w:r>
          </w:p>
        </w:tc>
      </w:tr>
      <w:tr w:rsidR="00F64E03" w:rsidRPr="00F64E03" w14:paraId="2851F30F" w14:textId="77777777" w:rsidTr="002973E2">
        <w:trPr>
          <w:cnfStyle w:val="000000100000" w:firstRow="0" w:lastRow="0" w:firstColumn="0" w:lastColumn="0" w:oddVBand="0" w:evenVBand="0" w:oddHBand="1" w:evenHBand="0" w:firstRowFirstColumn="0" w:firstRowLastColumn="0" w:lastRowFirstColumn="0" w:lastRowLastColumn="0"/>
          <w:trHeight w:val="1005"/>
        </w:trPr>
        <w:tc>
          <w:tcPr>
            <w:tcW w:w="1511" w:type="dxa"/>
            <w:hideMark/>
          </w:tcPr>
          <w:p w14:paraId="01573C2F" w14:textId="77777777" w:rsidR="008327D7" w:rsidRPr="00F64E03" w:rsidRDefault="008327D7" w:rsidP="00EE2E56">
            <w:pPr>
              <w:pStyle w:val="TableText"/>
              <w:rPr>
                <w:color w:val="FFA600" w:themeColor="accent1"/>
              </w:rPr>
            </w:pPr>
            <w:r w:rsidRPr="00F64E03">
              <w:rPr>
                <w:color w:val="FFA600" w:themeColor="accent1"/>
              </w:rPr>
              <w:t>Geographical Representa-tiveness</w:t>
            </w:r>
          </w:p>
          <w:p w14:paraId="0AAC8A7B" w14:textId="77777777" w:rsidR="008327D7" w:rsidRPr="00F64E03" w:rsidRDefault="008327D7" w:rsidP="00EE2E56">
            <w:pPr>
              <w:pStyle w:val="TableText"/>
              <w:rPr>
                <w:color w:val="FFA600" w:themeColor="accent1"/>
              </w:rPr>
            </w:pPr>
            <w:r w:rsidRPr="00F64E03">
              <w:rPr>
                <w:color w:val="FFA600" w:themeColor="accent1"/>
              </w:rPr>
              <w:t>(GeR)</w:t>
            </w:r>
          </w:p>
        </w:tc>
        <w:tc>
          <w:tcPr>
            <w:tcW w:w="1891" w:type="dxa"/>
            <w:gridSpan w:val="2"/>
            <w:hideMark/>
          </w:tcPr>
          <w:p w14:paraId="18493507" w14:textId="77777777" w:rsidR="008327D7" w:rsidRPr="00F64E03" w:rsidRDefault="008327D7" w:rsidP="00EE2E56">
            <w:pPr>
              <w:pStyle w:val="TableText"/>
              <w:rPr>
                <w:color w:val="FFA600" w:themeColor="accent1"/>
              </w:rPr>
            </w:pPr>
            <w:r w:rsidRPr="00F64E03">
              <w:rPr>
                <w:color w:val="FFA600" w:themeColor="accent1"/>
              </w:rPr>
              <w:t>The dataset has been created based on data reflecting the country subdivision in which the product has been manufactured</w:t>
            </w:r>
          </w:p>
          <w:p w14:paraId="4B841031" w14:textId="1F53B81C" w:rsidR="008327D7" w:rsidRPr="00F64E03" w:rsidRDefault="008327D7" w:rsidP="00EE2E56">
            <w:pPr>
              <w:pStyle w:val="TableText"/>
              <w:rPr>
                <w:color w:val="FFA600" w:themeColor="accent1"/>
              </w:rPr>
            </w:pPr>
          </w:p>
          <w:p w14:paraId="246E044D" w14:textId="69CABCE5" w:rsidR="008327D7" w:rsidRPr="00F64E03" w:rsidRDefault="008327D7" w:rsidP="00EE2E56">
            <w:pPr>
              <w:pStyle w:val="TableText"/>
              <w:rPr>
                <w:color w:val="FFA600" w:themeColor="accent1"/>
              </w:rPr>
            </w:pPr>
            <w:r w:rsidRPr="00F64E03">
              <w:rPr>
                <w:color w:val="FFA600" w:themeColor="accent1"/>
              </w:rPr>
              <w:t>Example for country subdivision: Provinces in China, States in the US, applicable for bigger countries</w:t>
            </w:r>
          </w:p>
          <w:p w14:paraId="5BB11811" w14:textId="24A7F097" w:rsidR="008327D7" w:rsidRPr="00F64E03" w:rsidRDefault="008327D7" w:rsidP="00EE2E56">
            <w:pPr>
              <w:pStyle w:val="TableText"/>
              <w:rPr>
                <w:color w:val="FFA600" w:themeColor="accent1"/>
              </w:rPr>
            </w:pPr>
          </w:p>
        </w:tc>
        <w:tc>
          <w:tcPr>
            <w:tcW w:w="1602" w:type="dxa"/>
            <w:gridSpan w:val="2"/>
            <w:hideMark/>
          </w:tcPr>
          <w:p w14:paraId="33F53099" w14:textId="77777777" w:rsidR="008327D7" w:rsidRPr="00F64E03" w:rsidRDefault="008327D7" w:rsidP="00EE2E56">
            <w:pPr>
              <w:pStyle w:val="TableText"/>
              <w:rPr>
                <w:color w:val="FFA600" w:themeColor="accent1"/>
              </w:rPr>
            </w:pPr>
            <w:r w:rsidRPr="00F64E03">
              <w:rPr>
                <w:color w:val="FFA600" w:themeColor="accent1"/>
              </w:rPr>
              <w:t>The dataset has been created based on data pertaining the country, in which the product has been manufactured</w:t>
            </w:r>
          </w:p>
          <w:p w14:paraId="6056310D" w14:textId="77777777" w:rsidR="008327D7" w:rsidRPr="00F64E03" w:rsidRDefault="008327D7" w:rsidP="00EE2E56">
            <w:pPr>
              <w:pStyle w:val="TableText"/>
              <w:rPr>
                <w:color w:val="FFA600" w:themeColor="accent1"/>
              </w:rPr>
            </w:pPr>
            <w:r w:rsidRPr="00F64E03">
              <w:rPr>
                <w:color w:val="FFA600" w:themeColor="accent1"/>
              </w:rPr>
              <w:t>The area where the dataset is generated is valid for the geographical area where the site is located</w:t>
            </w:r>
          </w:p>
          <w:p w14:paraId="65A4A6E6" w14:textId="3C649935" w:rsidR="008327D7" w:rsidRPr="00F64E03" w:rsidRDefault="008327D7" w:rsidP="00EE2E56">
            <w:pPr>
              <w:pStyle w:val="TableText"/>
              <w:rPr>
                <w:color w:val="FFA600" w:themeColor="accent1"/>
              </w:rPr>
            </w:pPr>
          </w:p>
          <w:p w14:paraId="78A3A3F6" w14:textId="3E6178D0" w:rsidR="008327D7" w:rsidRPr="00F64E03" w:rsidRDefault="008327D7" w:rsidP="00EE2E56">
            <w:pPr>
              <w:pStyle w:val="TableText"/>
              <w:rPr>
                <w:color w:val="FFA600" w:themeColor="accent1"/>
              </w:rPr>
            </w:pPr>
            <w:r w:rsidRPr="00F64E03">
              <w:rPr>
                <w:color w:val="FFA600" w:themeColor="accent1"/>
              </w:rPr>
              <w:t>Example 1: The site is in California and the dataset is a US average</w:t>
            </w:r>
            <w:r w:rsidRPr="00F64E03">
              <w:rPr>
                <w:rFonts w:ascii="Times New Roman" w:hAnsi="Times New Roman"/>
                <w:color w:val="FFA600" w:themeColor="accent1"/>
              </w:rPr>
              <w:t>.</w:t>
            </w:r>
          </w:p>
        </w:tc>
        <w:tc>
          <w:tcPr>
            <w:tcW w:w="1462" w:type="dxa"/>
            <w:hideMark/>
          </w:tcPr>
          <w:p w14:paraId="38D60F7A" w14:textId="77777777" w:rsidR="008327D7" w:rsidRPr="00F64E03" w:rsidRDefault="008327D7" w:rsidP="00EE2E56">
            <w:pPr>
              <w:pStyle w:val="TableText"/>
              <w:rPr>
                <w:color w:val="FFA600" w:themeColor="accent1"/>
              </w:rPr>
            </w:pPr>
            <w:r w:rsidRPr="00F64E03">
              <w:rPr>
                <w:color w:val="FFA600" w:themeColor="accent1"/>
              </w:rPr>
              <w:t>The dataset has been created based on data pertaining the geographical region (e.g. Europe, Asia, N. America), in which the product has been manufactured </w:t>
            </w:r>
          </w:p>
          <w:p w14:paraId="071C7F95" w14:textId="759709D7" w:rsidR="008327D7" w:rsidRPr="00F64E03" w:rsidRDefault="008327D7" w:rsidP="00EE2E56">
            <w:pPr>
              <w:pStyle w:val="TableText"/>
              <w:rPr>
                <w:color w:val="FFA600" w:themeColor="accent1"/>
              </w:rPr>
            </w:pPr>
            <w:r w:rsidRPr="00F64E03">
              <w:rPr>
                <w:color w:val="FFA600" w:themeColor="accent1"/>
              </w:rPr>
              <w:t>The area where the dataset is generated is valid for the geographical area where the site is located. </w:t>
            </w:r>
          </w:p>
          <w:p w14:paraId="6B573CCF" w14:textId="7A565154" w:rsidR="008327D7" w:rsidRPr="00F64E03" w:rsidRDefault="008327D7" w:rsidP="00EE2E56">
            <w:pPr>
              <w:pStyle w:val="TableText"/>
              <w:rPr>
                <w:color w:val="FFA600" w:themeColor="accent1"/>
              </w:rPr>
            </w:pPr>
            <w:r w:rsidRPr="00F64E03">
              <w:rPr>
                <w:color w:val="FFA600" w:themeColor="accent1"/>
              </w:rPr>
              <w:t>Example 1: The site is in Spain and the dataset is a European average</w:t>
            </w:r>
          </w:p>
        </w:tc>
        <w:tc>
          <w:tcPr>
            <w:tcW w:w="1188" w:type="dxa"/>
            <w:gridSpan w:val="2"/>
            <w:hideMark/>
          </w:tcPr>
          <w:p w14:paraId="0CC4CE8F" w14:textId="77777777" w:rsidR="008327D7" w:rsidRPr="00F64E03" w:rsidRDefault="008327D7" w:rsidP="00EE2E56">
            <w:pPr>
              <w:pStyle w:val="TableText"/>
              <w:rPr>
                <w:color w:val="FFA600" w:themeColor="accent1"/>
              </w:rPr>
            </w:pPr>
            <w:r w:rsidRPr="00F64E03">
              <w:rPr>
                <w:color w:val="FFA600" w:themeColor="accent1"/>
              </w:rPr>
              <w:t>The dataset has been created based on global averages </w:t>
            </w:r>
          </w:p>
          <w:p w14:paraId="7534F314" w14:textId="79E4234A" w:rsidR="008327D7" w:rsidRPr="00F64E03" w:rsidRDefault="008327D7" w:rsidP="00EE2E56">
            <w:pPr>
              <w:pStyle w:val="TableText"/>
              <w:rPr>
                <w:color w:val="FFA600" w:themeColor="accent1"/>
              </w:rPr>
            </w:pPr>
          </w:p>
          <w:p w14:paraId="0B5E29C6" w14:textId="01717D64" w:rsidR="008327D7" w:rsidRPr="00F64E03" w:rsidRDefault="008327D7" w:rsidP="00EE2E56">
            <w:pPr>
              <w:pStyle w:val="TableText"/>
              <w:rPr>
                <w:color w:val="FFA600" w:themeColor="accent1"/>
              </w:rPr>
            </w:pPr>
          </w:p>
          <w:p w14:paraId="36754CCC" w14:textId="3557B96E" w:rsidR="008327D7" w:rsidRPr="00F64E03" w:rsidRDefault="008327D7" w:rsidP="00EE2E56">
            <w:pPr>
              <w:pStyle w:val="TableText"/>
              <w:rPr>
                <w:color w:val="FFA600" w:themeColor="accent1"/>
              </w:rPr>
            </w:pPr>
          </w:p>
          <w:p w14:paraId="4D100CF8" w14:textId="27EC752B" w:rsidR="008327D7" w:rsidRPr="00F64E03" w:rsidRDefault="008327D7" w:rsidP="00EE2E56">
            <w:pPr>
              <w:pStyle w:val="TableText"/>
              <w:rPr>
                <w:color w:val="FFA600" w:themeColor="accent1"/>
              </w:rPr>
            </w:pPr>
          </w:p>
          <w:p w14:paraId="7BCE5E48" w14:textId="3129B408" w:rsidR="008327D7" w:rsidRPr="00F64E03" w:rsidRDefault="008327D7" w:rsidP="00EE2E56">
            <w:pPr>
              <w:pStyle w:val="TableText"/>
              <w:rPr>
                <w:color w:val="FFA600" w:themeColor="accent1"/>
              </w:rPr>
            </w:pPr>
          </w:p>
          <w:p w14:paraId="3703E858" w14:textId="4D903AB9" w:rsidR="008327D7" w:rsidRPr="00F64E03" w:rsidRDefault="008327D7" w:rsidP="00EE2E56">
            <w:pPr>
              <w:pStyle w:val="TableText"/>
              <w:rPr>
                <w:color w:val="FFA600" w:themeColor="accent1"/>
              </w:rPr>
            </w:pPr>
          </w:p>
          <w:p w14:paraId="2BF538EF" w14:textId="77777777" w:rsidR="008327D7" w:rsidRPr="00F64E03" w:rsidRDefault="008327D7" w:rsidP="00EE2E56">
            <w:pPr>
              <w:pStyle w:val="TableText"/>
              <w:rPr>
                <w:color w:val="FFA600" w:themeColor="accent1"/>
              </w:rPr>
            </w:pPr>
            <w:r w:rsidRPr="00F64E03">
              <w:rPr>
                <w:color w:val="FFA600" w:themeColor="accent1"/>
              </w:rPr>
              <w:t>Example: The site is in Japan and the dataset is a global average</w:t>
            </w:r>
          </w:p>
        </w:tc>
        <w:tc>
          <w:tcPr>
            <w:tcW w:w="1418" w:type="dxa"/>
            <w:gridSpan w:val="2"/>
            <w:hideMark/>
          </w:tcPr>
          <w:p w14:paraId="7995EECE" w14:textId="467010D9" w:rsidR="008327D7" w:rsidRPr="00F64E03" w:rsidRDefault="008327D7" w:rsidP="00EE2E56">
            <w:pPr>
              <w:pStyle w:val="TableText"/>
              <w:rPr>
                <w:color w:val="FFA600" w:themeColor="accent1"/>
              </w:rPr>
            </w:pPr>
            <w:r w:rsidRPr="00F64E03">
              <w:rPr>
                <w:color w:val="FFA600" w:themeColor="accent1"/>
              </w:rPr>
              <w:t>The dataset has been created based on data with a geographical scope which is either unknown or pertaining a country, or region not including the site in which the product has been manufactured</w:t>
            </w:r>
          </w:p>
          <w:p w14:paraId="07F747B4" w14:textId="54433018" w:rsidR="008327D7" w:rsidRPr="00F64E03" w:rsidRDefault="008327D7" w:rsidP="00EE2E56">
            <w:pPr>
              <w:pStyle w:val="TableText"/>
              <w:rPr>
                <w:color w:val="FFA600" w:themeColor="accent1"/>
              </w:rPr>
            </w:pPr>
            <w:r w:rsidRPr="00F64E03">
              <w:rPr>
                <w:color w:val="FFA600" w:themeColor="accent1"/>
              </w:rPr>
              <w:t>Example 1: In absence of a global average, the dataset geographical applicability is unknown.</w:t>
            </w:r>
            <w:r w:rsidRPr="00F64E03">
              <w:rPr>
                <w:rFonts w:ascii="Manrope Light" w:hAnsi="Manrope Light" w:cs="Manrope Light"/>
                <w:color w:val="FFA600" w:themeColor="accent1"/>
              </w:rPr>
              <w:t> </w:t>
            </w:r>
          </w:p>
          <w:p w14:paraId="34868967" w14:textId="77777777" w:rsidR="008327D7" w:rsidRPr="00F64E03" w:rsidRDefault="008327D7" w:rsidP="00EE2E56">
            <w:pPr>
              <w:pStyle w:val="TableText"/>
              <w:rPr>
                <w:color w:val="FFA600" w:themeColor="accent1"/>
              </w:rPr>
            </w:pPr>
            <w:r w:rsidRPr="00F64E03">
              <w:rPr>
                <w:color w:val="FFA600" w:themeColor="accent1"/>
              </w:rPr>
              <w:t>Example 2: The site is in Mexico, but the dataset is a US average, or a Finnish average or an Asian average or a European average</w:t>
            </w:r>
          </w:p>
        </w:tc>
      </w:tr>
    </w:tbl>
    <w:p w14:paraId="6AE65A97" w14:textId="77777777" w:rsidR="008327D7" w:rsidRPr="00F64E03" w:rsidRDefault="008327D7" w:rsidP="008327D7">
      <w:pPr>
        <w:rPr>
          <w:rFonts w:asciiTheme="majorHAnsi" w:hAnsiTheme="majorHAnsi"/>
          <w:color w:val="FFA600" w:themeColor="accent1"/>
        </w:rPr>
      </w:pPr>
    </w:p>
    <w:p w14:paraId="222E5263" w14:textId="414AEB63" w:rsidR="008327D7" w:rsidRPr="00F64E03" w:rsidRDefault="008327D7" w:rsidP="008327D7">
      <w:pPr>
        <w:rPr>
          <w:rFonts w:asciiTheme="majorHAnsi" w:hAnsiTheme="majorHAnsi"/>
          <w:color w:val="FFA600" w:themeColor="accent1"/>
          <w:lang w:val="en-GB"/>
        </w:rPr>
      </w:pPr>
      <w:r w:rsidRPr="00F64E03">
        <w:rPr>
          <w:rFonts w:asciiTheme="majorHAnsi" w:hAnsiTheme="majorHAnsi"/>
          <w:color w:val="FFA600" w:themeColor="accent1"/>
        </w:rPr>
        <w:t xml:space="preserve">The data quality shall be propagated through the supply chain in the same manner as the primary data share (PDS). </w:t>
      </w:r>
      <w:r w:rsidRPr="00F64E03">
        <w:rPr>
          <w:rFonts w:asciiTheme="majorHAnsi" w:hAnsiTheme="majorHAnsi"/>
          <w:color w:val="FFA600" w:themeColor="accent1"/>
          <w:lang w:val="en-GB"/>
        </w:rPr>
        <w:t xml:space="preserve">If no DQR is reported, the values representing the lowest data quality as per the sample scoring </w:t>
      </w:r>
      <w:r w:rsidRPr="00F64E03">
        <w:rPr>
          <w:rFonts w:asciiTheme="majorHAnsi" w:hAnsiTheme="majorHAnsi"/>
          <w:color w:val="FFA600" w:themeColor="accent1"/>
          <w:lang w:val="en-GB"/>
        </w:rPr>
        <w:lastRenderedPageBreak/>
        <w:t xml:space="preserve">criteria in </w:t>
      </w:r>
      <w:r w:rsidRPr="00F64E03">
        <w:rPr>
          <w:rFonts w:asciiTheme="majorHAnsi" w:hAnsiTheme="majorHAnsi"/>
          <w:color w:val="FFA600" w:themeColor="accent1"/>
          <w:lang w:val="en-GB"/>
        </w:rPr>
        <w:fldChar w:fldCharType="begin"/>
      </w:r>
      <w:r w:rsidRPr="00F64E03">
        <w:rPr>
          <w:rFonts w:asciiTheme="majorHAnsi" w:hAnsiTheme="majorHAnsi"/>
          <w:color w:val="FFA600" w:themeColor="accent1"/>
          <w:lang w:val="en-GB"/>
        </w:rPr>
        <w:instrText xml:space="preserve"> REF _Ref108706488 \h  \* MERGEFORMAT </w:instrText>
      </w:r>
      <w:r w:rsidRPr="00F64E03">
        <w:rPr>
          <w:rFonts w:asciiTheme="majorHAnsi" w:hAnsiTheme="majorHAnsi"/>
          <w:color w:val="FFA600" w:themeColor="accent1"/>
          <w:lang w:val="en-GB"/>
        </w:rPr>
      </w:r>
      <w:r w:rsidRPr="00F64E03">
        <w:rPr>
          <w:rFonts w:asciiTheme="majorHAnsi" w:hAnsiTheme="majorHAnsi"/>
          <w:color w:val="FFA600" w:themeColor="accent1"/>
          <w:lang w:val="en-GB"/>
        </w:rPr>
        <w:fldChar w:fldCharType="separate"/>
      </w:r>
      <w:r w:rsidRPr="00F64E03">
        <w:rPr>
          <w:rFonts w:asciiTheme="majorHAnsi" w:hAnsiTheme="majorHAnsi"/>
          <w:color w:val="FFA600" w:themeColor="accent1"/>
        </w:rPr>
        <w:t xml:space="preserve">Table </w:t>
      </w:r>
      <w:r w:rsidRPr="00F64E03">
        <w:rPr>
          <w:rFonts w:asciiTheme="majorHAnsi" w:hAnsiTheme="majorHAnsi"/>
          <w:noProof/>
          <w:color w:val="FFA600" w:themeColor="accent1"/>
        </w:rPr>
        <w:t>5</w:t>
      </w:r>
      <w:r w:rsidRPr="00F64E03">
        <w:rPr>
          <w:rFonts w:asciiTheme="majorHAnsi" w:hAnsiTheme="majorHAnsi"/>
          <w:color w:val="FFA600" w:themeColor="accent1"/>
          <w:lang w:val="en-GB"/>
        </w:rPr>
        <w:fldChar w:fldCharType="end"/>
      </w:r>
      <w:r w:rsidRPr="00F64E03">
        <w:rPr>
          <w:rFonts w:asciiTheme="majorHAnsi" w:hAnsiTheme="majorHAnsi"/>
          <w:color w:val="FFA600" w:themeColor="accent1"/>
          <w:lang w:val="en-GB"/>
        </w:rPr>
        <w:t xml:space="preserve"> will be propagated as a default. Therefore, the lowest rating has either the meaning of the lowest data quality or that no data quality rating has been reported.</w:t>
      </w:r>
    </w:p>
    <w:p w14:paraId="661B596F" w14:textId="77777777" w:rsidR="008327D7" w:rsidRPr="00F64E03" w:rsidRDefault="008327D7" w:rsidP="008327D7">
      <w:pPr>
        <w:pStyle w:val="Heading4"/>
        <w:rPr>
          <w:color w:val="FFA600" w:themeColor="accent1"/>
        </w:rPr>
      </w:pPr>
      <w:r w:rsidRPr="00F64E03">
        <w:rPr>
          <w:color w:val="FFA600" w:themeColor="accent1"/>
        </w:rPr>
        <w:t>Aggregated Data Quality Rating</w:t>
      </w:r>
    </w:p>
    <w:p w14:paraId="4242DD60"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Each data quality indicator of the PCF (technical, temporal, and geographical) shall be calculated as a weighted mean with the absolute total product carbon footprint excl. bio contribution as weight:</w:t>
      </w:r>
    </w:p>
    <w:p w14:paraId="1A3394DA"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Accounting for uptake of biogenic or fossil emissions with a characterization factor of -1 kg 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eq per kg CO</w:t>
      </w:r>
      <w:r w:rsidRPr="00F64E03">
        <w:rPr>
          <w:rFonts w:asciiTheme="majorHAnsi" w:hAnsiTheme="majorHAnsi"/>
          <w:color w:val="FFA600" w:themeColor="accent1"/>
          <w:vertAlign w:val="subscript"/>
        </w:rPr>
        <w:t>2</w:t>
      </w:r>
      <w:r w:rsidRPr="00F64E03">
        <w:rPr>
          <w:rFonts w:asciiTheme="majorHAnsi" w:hAnsiTheme="majorHAnsi"/>
          <w:color w:val="FFA600" w:themeColor="accent1"/>
        </w:rPr>
        <w:t xml:space="preserve"> can lead to negative PCF contributions. Thus, the sum of the PCF can be lower than the positive contributions to the PCF (</w:t>
      </w:r>
      <w:r w:rsidRPr="00F64E03">
        <w:rPr>
          <w:rFonts w:asciiTheme="majorHAnsi" w:hAnsiTheme="majorHAnsi"/>
          <w:color w:val="FFA600" w:themeColor="accent1"/>
        </w:rPr>
        <w:fldChar w:fldCharType="begin"/>
      </w:r>
      <w:r w:rsidRPr="00F64E03">
        <w:rPr>
          <w:rFonts w:asciiTheme="majorHAnsi" w:hAnsiTheme="majorHAnsi"/>
          <w:color w:val="FFA600" w:themeColor="accent1"/>
        </w:rPr>
        <w:instrText xml:space="preserve"> REF _Ref167898217 \h </w:instrText>
      </w:r>
      <w:r w:rsidRPr="00F64E03">
        <w:rPr>
          <w:rFonts w:asciiTheme="majorHAnsi" w:hAnsiTheme="majorHAnsi"/>
          <w:color w:val="FFA600" w:themeColor="accent1"/>
        </w:rPr>
      </w:r>
      <w:r w:rsidRPr="00F64E03">
        <w:rPr>
          <w:rFonts w:asciiTheme="majorHAnsi" w:hAnsiTheme="majorHAnsi"/>
          <w:color w:val="FFA600" w:themeColor="accent1"/>
        </w:rPr>
        <w:fldChar w:fldCharType="separate"/>
      </w:r>
      <w:r w:rsidRPr="00F64E03">
        <w:rPr>
          <w:color w:val="FFA600" w:themeColor="accent1"/>
        </w:rPr>
        <w:t xml:space="preserve">Figure </w:t>
      </w:r>
      <w:r w:rsidRPr="00F64E03">
        <w:rPr>
          <w:noProof/>
          <w:color w:val="FFA600" w:themeColor="accent1"/>
        </w:rPr>
        <w:t>14</w:t>
      </w:r>
      <w:r w:rsidRPr="00F64E03">
        <w:rPr>
          <w:rFonts w:asciiTheme="majorHAnsi" w:hAnsiTheme="majorHAnsi"/>
          <w:color w:val="FFA600" w:themeColor="accent1"/>
        </w:rPr>
        <w:fldChar w:fldCharType="end"/>
      </w:r>
      <w:r w:rsidRPr="00F64E03">
        <w:rPr>
          <w:rFonts w:asciiTheme="majorHAnsi" w:hAnsiTheme="majorHAnsi"/>
          <w:color w:val="FFA600" w:themeColor="accent1"/>
        </w:rPr>
        <w:t>). When calculating an aggregated DQR, negative contributions would lead to erroneous calculation of the data quality rating.</w:t>
      </w:r>
    </w:p>
    <w:p w14:paraId="47E23507" w14:textId="77777777" w:rsidR="008327D7" w:rsidRPr="00F64E03" w:rsidRDefault="008327D7" w:rsidP="008327D7">
      <w:pPr>
        <w:rPr>
          <w:rFonts w:asciiTheme="majorHAnsi" w:hAnsiTheme="majorHAnsi"/>
          <w:color w:val="FFA600" w:themeColor="accent1"/>
        </w:rPr>
      </w:pPr>
      <w:r w:rsidRPr="00F64E03">
        <w:rPr>
          <w:rFonts w:asciiTheme="majorHAnsi" w:hAnsiTheme="majorHAnsi"/>
          <w:color w:val="FFA600" w:themeColor="accent1"/>
        </w:rPr>
        <w:t>Hence, to calculate the PDS and DQR absolute values of the PCF, the following formula shall be used:</w:t>
      </w:r>
    </w:p>
    <w:p w14:paraId="4C193279" w14:textId="77777777" w:rsidR="008327D7" w:rsidRPr="00F64E03" w:rsidRDefault="009F04F3" w:rsidP="008327D7">
      <w:pPr>
        <w:rPr>
          <w:color w:val="FFA600" w:themeColor="accent1"/>
        </w:rPr>
      </w:pPr>
      <m:oMathPara>
        <m:oMath>
          <m:sSub>
            <m:sSubPr>
              <m:ctrlPr>
                <w:rPr>
                  <w:rFonts w:ascii="Cambria Math" w:hAnsi="Cambria Math"/>
                  <w:i/>
                  <w:color w:val="FFA600" w:themeColor="accent1"/>
                </w:rPr>
              </m:ctrlPr>
            </m:sSubPr>
            <m:e>
              <m:r>
                <w:rPr>
                  <w:rFonts w:ascii="Cambria Math" w:hAnsi="Cambria Math"/>
                  <w:color w:val="FFA600" w:themeColor="accent1"/>
                </w:rPr>
                <m:t>DQR</m:t>
              </m:r>
            </m:e>
            <m:sub>
              <m:r>
                <w:rPr>
                  <w:rFonts w:ascii="Cambria Math" w:hAnsi="Cambria Math"/>
                  <w:color w:val="FFA600" w:themeColor="accent1"/>
                </w:rPr>
                <m:t>aggregated</m:t>
              </m:r>
            </m:sub>
          </m:sSub>
          <m:r>
            <w:rPr>
              <w:rFonts w:ascii="Cambria Math" w:hAnsi="Cambria Math"/>
              <w:color w:val="FFA600" w:themeColor="accent1"/>
            </w:rPr>
            <m:t>=</m:t>
          </m:r>
          <m:f>
            <m:fPr>
              <m:ctrlPr>
                <w:rPr>
                  <w:rFonts w:ascii="Cambria Math" w:hAnsi="Cambria Math"/>
                  <w:color w:val="FFA600" w:themeColor="accent1"/>
                </w:rPr>
              </m:ctrlPr>
            </m:fPr>
            <m:num>
              <m:nary>
                <m:naryPr>
                  <m:chr m:val="∑"/>
                  <m:limLoc m:val="undOvr"/>
                  <m:supHide m:val="1"/>
                  <m:ctrlPr>
                    <w:rPr>
                      <w:rFonts w:ascii="Cambria Math" w:hAnsi="Cambria Math"/>
                      <w:i/>
                      <w:color w:val="FFA600" w:themeColor="accent1"/>
                    </w:rPr>
                  </m:ctrlPr>
                </m:naryPr>
                <m:sub>
                  <m:r>
                    <w:rPr>
                      <w:rFonts w:ascii="Cambria Math" w:hAnsi="Cambria Math"/>
                      <w:color w:val="FFA600" w:themeColor="accent1"/>
                    </w:rPr>
                    <m:t>i</m:t>
                  </m:r>
                </m:sub>
                <m:sup/>
                <m:e>
                  <m:d>
                    <m:dPr>
                      <m:ctrlPr>
                        <w:rPr>
                          <w:rFonts w:ascii="Cambria Math" w:hAnsi="Cambria Math"/>
                          <w:i/>
                          <w:color w:val="FFA600" w:themeColor="accent1"/>
                        </w:rPr>
                      </m:ctrlPr>
                    </m:dPr>
                    <m:e>
                      <m:d>
                        <m:dPr>
                          <m:begChr m:val="|"/>
                          <m:endChr m:val="|"/>
                          <m:ctrlPr>
                            <w:rPr>
                              <w:rFonts w:ascii="Cambria Math" w:hAnsi="Cambria Math"/>
                              <w:i/>
                              <w:color w:val="FFA600" w:themeColor="accent1"/>
                            </w:rPr>
                          </m:ctrlPr>
                        </m:dPr>
                        <m:e>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total</m:t>
                              </m:r>
                              <m:r>
                                <w:rPr>
                                  <w:rFonts w:ascii="Cambria Math" w:hAnsi="Cambria Math"/>
                                  <w:color w:val="FFA600" w:themeColor="accent1"/>
                                </w:rPr>
                                <m:t>,</m:t>
                              </m:r>
                              <m:r>
                                <w:rPr>
                                  <w:rFonts w:ascii="Cambria Math" w:hAnsi="Cambria Math"/>
                                  <w:color w:val="FFA600" w:themeColor="accent1"/>
                                </w:rPr>
                                <m:t>i</m:t>
                              </m:r>
                            </m:sub>
                          </m:sSub>
                        </m:e>
                      </m:d>
                      <m:r>
                        <w:rPr>
                          <w:rFonts w:ascii="Cambria Math" w:hAnsi="Cambria Math"/>
                          <w:color w:val="FFA600" w:themeColor="accent1"/>
                        </w:rPr>
                        <m:t>⋅</m:t>
                      </m:r>
                      <m:sSub>
                        <m:sSubPr>
                          <m:ctrlPr>
                            <w:rPr>
                              <w:rFonts w:ascii="Cambria Math" w:hAnsi="Cambria Math"/>
                              <w:i/>
                              <w:color w:val="FFA600" w:themeColor="accent1"/>
                            </w:rPr>
                          </m:ctrlPr>
                        </m:sSubPr>
                        <m:e>
                          <m:r>
                            <w:rPr>
                              <w:rFonts w:ascii="Cambria Math" w:hAnsi="Cambria Math"/>
                              <w:color w:val="FFA600" w:themeColor="accent1"/>
                            </w:rPr>
                            <m:t>DQR</m:t>
                          </m:r>
                        </m:e>
                        <m:sub>
                          <m:r>
                            <w:rPr>
                              <w:rFonts w:ascii="Cambria Math" w:hAnsi="Cambria Math"/>
                              <w:color w:val="FFA600" w:themeColor="accent1"/>
                            </w:rPr>
                            <m:t>i</m:t>
                          </m:r>
                        </m:sub>
                      </m:sSub>
                    </m:e>
                  </m:d>
                </m:e>
              </m:nary>
            </m:num>
            <m:den>
              <m:nary>
                <m:naryPr>
                  <m:chr m:val="∑"/>
                  <m:limLoc m:val="undOvr"/>
                  <m:supHide m:val="1"/>
                  <m:ctrlPr>
                    <w:rPr>
                      <w:rFonts w:ascii="Cambria Math" w:hAnsi="Cambria Math"/>
                      <w:i/>
                      <w:color w:val="FFA600" w:themeColor="accent1"/>
                    </w:rPr>
                  </m:ctrlPr>
                </m:naryPr>
                <m:sub>
                  <m:r>
                    <w:rPr>
                      <w:rFonts w:ascii="Cambria Math" w:hAnsi="Cambria Math"/>
                      <w:color w:val="FFA600" w:themeColor="accent1"/>
                    </w:rPr>
                    <m:t>i</m:t>
                  </m:r>
                </m:sub>
                <m:sup/>
                <m:e>
                  <m:sSub>
                    <m:sSubPr>
                      <m:ctrlPr>
                        <w:rPr>
                          <w:rFonts w:ascii="Cambria Math" w:hAnsi="Cambria Math"/>
                          <w:i/>
                          <w:color w:val="FFA600" w:themeColor="accent1"/>
                        </w:rPr>
                      </m:ctrlPr>
                    </m:sSubPr>
                    <m:e>
                      <m:r>
                        <w:rPr>
                          <w:rFonts w:ascii="Cambria Math" w:hAnsi="Cambria Math"/>
                          <w:color w:val="FFA600" w:themeColor="accent1"/>
                        </w:rPr>
                        <m:t>PCF</m:t>
                      </m:r>
                    </m:e>
                    <m:sub>
                      <m:r>
                        <w:rPr>
                          <w:rFonts w:ascii="Cambria Math" w:hAnsi="Cambria Math"/>
                          <w:color w:val="FFA600" w:themeColor="accent1"/>
                        </w:rPr>
                        <m:t>as</m:t>
                      </m:r>
                      <m:r>
                        <w:rPr>
                          <w:rFonts w:ascii="Cambria Math" w:hAnsi="Cambria Math"/>
                          <w:color w:val="FFA600" w:themeColor="accent1"/>
                        </w:rPr>
                        <m:t>,</m:t>
                      </m:r>
                      <m:r>
                        <w:rPr>
                          <w:rFonts w:ascii="Cambria Math" w:hAnsi="Cambria Math"/>
                          <w:color w:val="FFA600" w:themeColor="accent1"/>
                        </w:rPr>
                        <m:t>i</m:t>
                      </m:r>
                    </m:sub>
                  </m:sSub>
                </m:e>
              </m:nary>
            </m:den>
          </m:f>
        </m:oMath>
      </m:oMathPara>
    </w:p>
    <w:p w14:paraId="7DB21921" w14:textId="1C9F08AB" w:rsidR="008327D7" w:rsidRPr="00F64E03" w:rsidRDefault="002973E2" w:rsidP="008327D7">
      <w:pPr>
        <w:rPr>
          <w:rFonts w:asciiTheme="majorHAnsi" w:hAnsiTheme="majorHAnsi"/>
          <w:color w:val="FFA600" w:themeColor="accent1"/>
        </w:rPr>
      </w:pPr>
      <w:r w:rsidRPr="00F64E03">
        <w:rPr>
          <w:rFonts w:asciiTheme="majorHAnsi" w:hAnsiTheme="majorHAnsi"/>
          <w:noProof/>
          <w:color w:val="FFA600" w:themeColor="accent1"/>
        </w:rPr>
        <w:drawing>
          <wp:inline distT="0" distB="0" distL="0" distR="0" wp14:anchorId="3F0492D2" wp14:editId="6D73F33E">
            <wp:extent cx="5730046" cy="1771213"/>
            <wp:effectExtent l="0" t="0" r="4445" b="635"/>
            <wp:docPr id="196" name="Grafik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70557" cy="1783735"/>
                    </a:xfrm>
                    <a:prstGeom prst="rect">
                      <a:avLst/>
                    </a:prstGeom>
                    <a:noFill/>
                  </pic:spPr>
                </pic:pic>
              </a:graphicData>
            </a:graphic>
          </wp:inline>
        </w:drawing>
      </w:r>
    </w:p>
    <w:p w14:paraId="347B0AA3" w14:textId="2EF68CD4" w:rsidR="008327D7" w:rsidRPr="00F64E03" w:rsidRDefault="008327D7" w:rsidP="008327D7">
      <w:pPr>
        <w:rPr>
          <w:rFonts w:asciiTheme="majorHAnsi" w:hAnsiTheme="majorHAnsi"/>
          <w:color w:val="FFA600" w:themeColor="accent1"/>
        </w:rPr>
      </w:pPr>
    </w:p>
    <w:p w14:paraId="6F53EE99" w14:textId="2B8E0905" w:rsidR="008327D7" w:rsidRPr="00F64E03" w:rsidRDefault="008327D7" w:rsidP="008327D7">
      <w:pPr>
        <w:pStyle w:val="Caption"/>
        <w:rPr>
          <w:color w:val="FFA600" w:themeColor="accent1"/>
        </w:rPr>
      </w:pPr>
      <w:bookmarkStart w:id="98" w:name="_Toc178673572"/>
      <w:r w:rsidRPr="00F64E03">
        <w:rPr>
          <w:color w:val="FFA600" w:themeColor="accent1"/>
        </w:rPr>
        <w:t xml:space="preserve">Figure </w:t>
      </w:r>
      <w:r w:rsidRPr="00F64E03">
        <w:rPr>
          <w:color w:val="FFA600" w:themeColor="accent1"/>
        </w:rPr>
        <w:fldChar w:fldCharType="begin"/>
      </w:r>
      <w:r w:rsidRPr="00F64E03">
        <w:rPr>
          <w:color w:val="FFA600" w:themeColor="accent1"/>
        </w:rPr>
        <w:instrText xml:space="preserve"> SEQ Figure \* ARABIC </w:instrText>
      </w:r>
      <w:r w:rsidRPr="00F64E03">
        <w:rPr>
          <w:color w:val="FFA600" w:themeColor="accent1"/>
        </w:rPr>
        <w:fldChar w:fldCharType="separate"/>
      </w:r>
      <w:r w:rsidR="008272DB">
        <w:rPr>
          <w:noProof/>
          <w:color w:val="FFA600" w:themeColor="accent1"/>
        </w:rPr>
        <w:t>14</w:t>
      </w:r>
      <w:r w:rsidRPr="00F64E03">
        <w:rPr>
          <w:color w:val="FFA600" w:themeColor="accent1"/>
        </w:rPr>
        <w:fldChar w:fldCharType="end"/>
      </w:r>
      <w:r w:rsidRPr="00F64E03">
        <w:rPr>
          <w:color w:val="FFA600" w:themeColor="accent1"/>
        </w:rPr>
        <w:t>:Calculation of an aggregated DQR</w:t>
      </w:r>
      <w:bookmarkEnd w:id="98"/>
    </w:p>
    <w:p w14:paraId="213CBAB9" w14:textId="77777777" w:rsidR="007175C2" w:rsidRDefault="007175C2" w:rsidP="007175C2">
      <w:pPr>
        <w:autoSpaceDE w:val="0"/>
        <w:autoSpaceDN w:val="0"/>
        <w:adjustRightInd w:val="0"/>
        <w:spacing w:after="0"/>
        <w:jc w:val="left"/>
      </w:pPr>
      <w:r>
        <w:t>A valid survey of field data requires a strictly defined structure of components and production processes for the respective subsystem on which data are submitted to enable a level playing field comparison.</w:t>
      </w:r>
    </w:p>
    <w:p w14:paraId="57E54E9B" w14:textId="77777777" w:rsidR="008327D7" w:rsidRPr="008327D7" w:rsidRDefault="008327D7" w:rsidP="008327D7"/>
    <w:p w14:paraId="07342584" w14:textId="5DFFC826" w:rsidR="00E85A78" w:rsidRDefault="00E85A78">
      <w:pPr>
        <w:pStyle w:val="Heading3"/>
      </w:pPr>
      <w:bookmarkStart w:id="99" w:name="_Ref174540295"/>
      <w:bookmarkStart w:id="100" w:name="_Toc178672693"/>
      <w:r>
        <w:t>Logistics</w:t>
      </w:r>
      <w:bookmarkEnd w:id="90"/>
      <w:bookmarkEnd w:id="99"/>
      <w:bookmarkEnd w:id="100"/>
    </w:p>
    <w:p w14:paraId="31DFEE2C" w14:textId="77777777" w:rsidR="00E85A78" w:rsidRPr="006F603C" w:rsidRDefault="00E85A78" w:rsidP="00E85A78">
      <w:pPr>
        <w:rPr>
          <w:rFonts w:asciiTheme="majorHAnsi" w:hAnsiTheme="majorHAnsi"/>
          <w:color w:val="7030A0"/>
        </w:rPr>
      </w:pPr>
      <w:r w:rsidRPr="006F603C">
        <w:rPr>
          <w:rFonts w:asciiTheme="majorHAnsi" w:hAnsiTheme="majorHAnsi"/>
          <w:color w:val="7030A0"/>
        </w:rPr>
        <w:t>This section deals with transportation from a supplier to its customer.</w:t>
      </w:r>
    </w:p>
    <w:p w14:paraId="76C0D7C9" w14:textId="220E188D" w:rsidR="00E85A78" w:rsidRPr="006F603C" w:rsidRDefault="002973E2" w:rsidP="00E85A78">
      <w:pPr>
        <w:rPr>
          <w:rFonts w:asciiTheme="majorHAnsi" w:hAnsiTheme="majorHAnsi"/>
          <w:color w:val="7030A0"/>
        </w:rPr>
      </w:pPr>
      <w:r w:rsidRPr="006F603C">
        <w:rPr>
          <w:rFonts w:asciiTheme="majorHAnsi" w:hAnsiTheme="majorHAnsi"/>
          <w:noProof/>
          <w:color w:val="7030A0"/>
        </w:rPr>
        <w:drawing>
          <wp:inline distT="0" distB="0" distL="0" distR="0" wp14:anchorId="7D978340" wp14:editId="7537819A">
            <wp:extent cx="5652654" cy="2390771"/>
            <wp:effectExtent l="0" t="0" r="5715" b="0"/>
            <wp:docPr id="198" name="Grafik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85811" cy="2404795"/>
                    </a:xfrm>
                    <a:prstGeom prst="rect">
                      <a:avLst/>
                    </a:prstGeom>
                    <a:noFill/>
                  </pic:spPr>
                </pic:pic>
              </a:graphicData>
            </a:graphic>
          </wp:inline>
        </w:drawing>
      </w:r>
    </w:p>
    <w:p w14:paraId="5F233700" w14:textId="1090E892" w:rsidR="00E85A78" w:rsidRPr="006F603C" w:rsidRDefault="00E85A78" w:rsidP="00E85A78">
      <w:pPr>
        <w:pStyle w:val="Caption"/>
        <w:rPr>
          <w:rFonts w:asciiTheme="majorHAnsi" w:hAnsiTheme="majorHAnsi"/>
          <w:color w:val="7030A0"/>
        </w:rPr>
      </w:pPr>
      <w:bookmarkStart w:id="101" w:name="_Toc178673573"/>
      <w:r w:rsidRPr="006F603C">
        <w:rPr>
          <w:rFonts w:asciiTheme="majorHAnsi" w:hAnsiTheme="majorHAnsi"/>
          <w:color w:val="7030A0"/>
        </w:rPr>
        <w:t xml:space="preserve">Figure </w:t>
      </w:r>
      <w:r w:rsidRPr="006F603C">
        <w:rPr>
          <w:rFonts w:asciiTheme="majorHAnsi" w:hAnsiTheme="majorHAnsi"/>
          <w:color w:val="7030A0"/>
        </w:rPr>
        <w:fldChar w:fldCharType="begin"/>
      </w:r>
      <w:r w:rsidRPr="006F603C">
        <w:rPr>
          <w:rFonts w:asciiTheme="majorHAnsi" w:hAnsiTheme="majorHAnsi"/>
          <w:color w:val="7030A0"/>
        </w:rPr>
        <w:instrText xml:space="preserve"> SEQ Figure \* ARABIC </w:instrText>
      </w:r>
      <w:r w:rsidRPr="006F603C">
        <w:rPr>
          <w:rFonts w:asciiTheme="majorHAnsi" w:hAnsiTheme="majorHAnsi"/>
          <w:color w:val="7030A0"/>
        </w:rPr>
        <w:fldChar w:fldCharType="separate"/>
      </w:r>
      <w:r w:rsidR="008272DB">
        <w:rPr>
          <w:rFonts w:asciiTheme="majorHAnsi" w:hAnsiTheme="majorHAnsi"/>
          <w:noProof/>
          <w:color w:val="7030A0"/>
        </w:rPr>
        <w:t>15</w:t>
      </w:r>
      <w:r w:rsidRPr="006F603C">
        <w:rPr>
          <w:rFonts w:asciiTheme="majorHAnsi" w:hAnsiTheme="majorHAnsi"/>
          <w:color w:val="7030A0"/>
        </w:rPr>
        <w:fldChar w:fldCharType="end"/>
      </w:r>
      <w:r w:rsidRPr="006F603C">
        <w:rPr>
          <w:rFonts w:asciiTheme="majorHAnsi" w:hAnsiTheme="majorHAnsi"/>
          <w:color w:val="7030A0"/>
        </w:rPr>
        <w:t>: Definition of Scopes.</w:t>
      </w:r>
      <w:bookmarkEnd w:id="101"/>
    </w:p>
    <w:p w14:paraId="6501D3F0" w14:textId="77777777" w:rsidR="00E85A78" w:rsidRPr="006F603C" w:rsidRDefault="00E85A78" w:rsidP="00E85A78">
      <w:pPr>
        <w:rPr>
          <w:rFonts w:asciiTheme="majorHAnsi" w:hAnsiTheme="majorHAnsi"/>
          <w:color w:val="7030A0"/>
        </w:rPr>
      </w:pPr>
      <w:r w:rsidRPr="006F603C">
        <w:rPr>
          <w:rFonts w:asciiTheme="majorHAnsi" w:hAnsiTheme="majorHAnsi"/>
          <w:color w:val="7030A0"/>
        </w:rPr>
        <w:t xml:space="preserve">As for the product carbon footprint, the cradle-to-gate boundaries end at the suppliers' outbound gates (cf. Section </w:t>
      </w:r>
      <w:r w:rsidRPr="006F603C">
        <w:rPr>
          <w:rFonts w:asciiTheme="majorHAnsi" w:hAnsiTheme="majorHAnsi"/>
          <w:color w:val="7030A0"/>
        </w:rPr>
        <w:fldChar w:fldCharType="begin"/>
      </w:r>
      <w:r w:rsidRPr="006F603C">
        <w:rPr>
          <w:rFonts w:asciiTheme="majorHAnsi" w:hAnsiTheme="majorHAnsi"/>
          <w:color w:val="7030A0"/>
        </w:rPr>
        <w:instrText xml:space="preserve"> REF _Ref130834936 \r \h  \* MERGEFORMAT </w:instrText>
      </w:r>
      <w:r w:rsidRPr="006F603C">
        <w:rPr>
          <w:rFonts w:asciiTheme="majorHAnsi" w:hAnsiTheme="majorHAnsi"/>
          <w:color w:val="7030A0"/>
        </w:rPr>
      </w:r>
      <w:r w:rsidRPr="006F603C">
        <w:rPr>
          <w:rFonts w:asciiTheme="majorHAnsi" w:hAnsiTheme="majorHAnsi"/>
          <w:color w:val="7030A0"/>
        </w:rPr>
        <w:fldChar w:fldCharType="separate"/>
      </w:r>
      <w:r w:rsidRPr="006F603C">
        <w:rPr>
          <w:rFonts w:asciiTheme="majorHAnsi" w:hAnsiTheme="majorHAnsi"/>
          <w:color w:val="7030A0"/>
        </w:rPr>
        <w:t>4.2</w:t>
      </w:r>
      <w:r w:rsidRPr="006F603C">
        <w:rPr>
          <w:rFonts w:asciiTheme="majorHAnsi" w:hAnsiTheme="majorHAnsi"/>
          <w:color w:val="7030A0"/>
        </w:rPr>
        <w:fldChar w:fldCharType="end"/>
      </w:r>
      <w:r w:rsidRPr="006F603C">
        <w:rPr>
          <w:rFonts w:asciiTheme="majorHAnsi" w:hAnsiTheme="majorHAnsi"/>
          <w:color w:val="7030A0"/>
        </w:rPr>
        <w:t xml:space="preserve"> System Boundaries). This boundary applies independently from the responsibilities in economic or operative terms for transportation processes.</w:t>
      </w:r>
    </w:p>
    <w:p w14:paraId="122C8F55" w14:textId="553263E2" w:rsidR="00E85A78" w:rsidRPr="006F603C" w:rsidRDefault="00E85A78" w:rsidP="00E85A78">
      <w:pPr>
        <w:rPr>
          <w:rFonts w:asciiTheme="majorHAnsi" w:hAnsiTheme="majorHAnsi"/>
          <w:color w:val="7030A0"/>
        </w:rPr>
      </w:pPr>
      <w:r w:rsidRPr="006F603C">
        <w:rPr>
          <w:rFonts w:asciiTheme="majorHAnsi" w:hAnsiTheme="majorHAnsi"/>
          <w:color w:val="7030A0"/>
        </w:rPr>
        <w:lastRenderedPageBreak/>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2973E2" w:rsidRPr="006F603C">
        <w:rPr>
          <w:rFonts w:asciiTheme="majorHAnsi" w:hAnsiTheme="majorHAnsi"/>
          <w:color w:val="7030A0"/>
        </w:rPr>
        <w:fldChar w:fldCharType="begin"/>
      </w:r>
      <w:r w:rsidR="002973E2" w:rsidRPr="006F603C">
        <w:rPr>
          <w:rFonts w:asciiTheme="majorHAnsi" w:hAnsiTheme="majorHAnsi"/>
          <w:color w:val="7030A0"/>
        </w:rPr>
        <w:instrText xml:space="preserve"> REF _Ref173754086 \h </w:instrText>
      </w:r>
      <w:r w:rsidR="002973E2" w:rsidRPr="006F603C">
        <w:rPr>
          <w:rFonts w:asciiTheme="majorHAnsi" w:hAnsiTheme="majorHAnsi"/>
          <w:color w:val="7030A0"/>
        </w:rPr>
      </w:r>
      <w:r w:rsidR="002973E2" w:rsidRPr="006F603C">
        <w:rPr>
          <w:rFonts w:asciiTheme="majorHAnsi" w:hAnsiTheme="majorHAnsi"/>
          <w:color w:val="7030A0"/>
        </w:rPr>
        <w:fldChar w:fldCharType="separate"/>
      </w:r>
      <w:r w:rsidR="002973E2" w:rsidRPr="006F603C">
        <w:rPr>
          <w:rFonts w:asciiTheme="majorHAnsi" w:hAnsiTheme="majorHAnsi"/>
          <w:color w:val="7030A0"/>
        </w:rPr>
        <w:t xml:space="preserve">Table </w:t>
      </w:r>
      <w:r w:rsidR="002973E2" w:rsidRPr="006F603C">
        <w:rPr>
          <w:rFonts w:asciiTheme="majorHAnsi" w:hAnsiTheme="majorHAnsi"/>
          <w:noProof/>
          <w:color w:val="7030A0"/>
        </w:rPr>
        <w:t>5</w:t>
      </w:r>
      <w:r w:rsidR="002973E2" w:rsidRPr="006F603C">
        <w:rPr>
          <w:rFonts w:asciiTheme="majorHAnsi" w:hAnsiTheme="majorHAnsi"/>
          <w:color w:val="7030A0"/>
        </w:rPr>
        <w:fldChar w:fldCharType="end"/>
      </w:r>
      <w:r w:rsidRPr="006F603C">
        <w:rPr>
          <w:rFonts w:asciiTheme="majorHAnsi" w:hAnsiTheme="majorHAnsi"/>
          <w:color w:val="7030A0"/>
        </w:rPr>
        <w:fldChar w:fldCharType="begin"/>
      </w:r>
      <w:r w:rsidRPr="006F603C">
        <w:rPr>
          <w:rFonts w:asciiTheme="majorHAnsi" w:hAnsiTheme="majorHAnsi"/>
          <w:color w:val="7030A0"/>
        </w:rPr>
        <w:instrText xml:space="preserve"> REF _Ref130836958 \h  \* MERGEFORMAT </w:instrText>
      </w:r>
      <w:r w:rsidRPr="006F603C">
        <w:rPr>
          <w:rFonts w:asciiTheme="majorHAnsi" w:hAnsiTheme="majorHAnsi"/>
          <w:color w:val="7030A0"/>
        </w:rPr>
      </w:r>
      <w:r w:rsidR="009F04F3">
        <w:rPr>
          <w:rFonts w:asciiTheme="majorHAnsi" w:hAnsiTheme="majorHAnsi"/>
          <w:color w:val="7030A0"/>
        </w:rPr>
        <w:fldChar w:fldCharType="separate"/>
      </w:r>
      <w:r w:rsidRPr="006F603C">
        <w:rPr>
          <w:rFonts w:asciiTheme="majorHAnsi" w:hAnsiTheme="majorHAnsi"/>
          <w:color w:val="7030A0"/>
        </w:rPr>
        <w:fldChar w:fldCharType="end"/>
      </w:r>
      <w:r w:rsidRPr="006F603C">
        <w:rPr>
          <w:rFonts w:asciiTheme="majorHAnsi" w:hAnsiTheme="majorHAnsi"/>
          <w:color w:val="7030A0"/>
        </w:rPr>
        <w:t xml:space="preserve">). Otherwise, the customer shall account for transportation between the supplier’s and its own shipping site (factory gate or distribution center, see </w:t>
      </w:r>
      <w:r w:rsidR="00C343D8">
        <w:rPr>
          <w:rFonts w:asciiTheme="majorHAnsi" w:hAnsiTheme="majorHAnsi"/>
          <w:color w:val="7030A0"/>
        </w:rPr>
        <w:fldChar w:fldCharType="begin"/>
      </w:r>
      <w:r w:rsidR="00C343D8">
        <w:rPr>
          <w:rFonts w:asciiTheme="majorHAnsi" w:hAnsiTheme="majorHAnsi"/>
          <w:color w:val="7030A0"/>
        </w:rPr>
        <w:instrText xml:space="preserve"> REF _Ref173757498 \h </w:instrText>
      </w:r>
      <w:r w:rsidR="00C343D8">
        <w:rPr>
          <w:rFonts w:asciiTheme="majorHAnsi" w:hAnsiTheme="majorHAnsi"/>
          <w:color w:val="7030A0"/>
        </w:rPr>
      </w:r>
      <w:r w:rsidR="00C343D8">
        <w:rPr>
          <w:rFonts w:asciiTheme="majorHAnsi" w:hAnsiTheme="majorHAnsi"/>
          <w:color w:val="7030A0"/>
        </w:rPr>
        <w:fldChar w:fldCharType="separate"/>
      </w:r>
      <w:r w:rsidR="00C343D8" w:rsidRPr="006F603C">
        <w:rPr>
          <w:rFonts w:asciiTheme="majorHAnsi" w:hAnsiTheme="majorHAnsi"/>
          <w:color w:val="7030A0"/>
        </w:rPr>
        <w:t xml:space="preserve">Figure </w:t>
      </w:r>
      <w:r w:rsidR="00C343D8" w:rsidRPr="006F603C">
        <w:rPr>
          <w:rFonts w:asciiTheme="majorHAnsi" w:hAnsiTheme="majorHAnsi"/>
          <w:noProof/>
          <w:color w:val="7030A0"/>
        </w:rPr>
        <w:t>12</w:t>
      </w:r>
      <w:r w:rsidR="00C343D8">
        <w:rPr>
          <w:rFonts w:asciiTheme="majorHAnsi" w:hAnsiTheme="majorHAnsi"/>
          <w:color w:val="7030A0"/>
        </w:rPr>
        <w:fldChar w:fldCharType="end"/>
      </w:r>
      <w:r w:rsidR="00C343D8">
        <w:rPr>
          <w:rFonts w:asciiTheme="majorHAnsi" w:hAnsiTheme="majorHAnsi"/>
          <w:color w:val="7030A0"/>
        </w:rPr>
        <w:t xml:space="preserve"> </w:t>
      </w:r>
      <w:r w:rsidRPr="006F603C">
        <w:rPr>
          <w:rFonts w:asciiTheme="majorHAnsi" w:hAnsiTheme="majorHAnsi"/>
          <w:color w:val="7030A0"/>
        </w:rPr>
        <w:t>and</w:t>
      </w:r>
      <w:r w:rsidR="00C343D8">
        <w:rPr>
          <w:rFonts w:asciiTheme="majorHAnsi" w:hAnsiTheme="majorHAnsi"/>
          <w:color w:val="7030A0"/>
        </w:rPr>
        <w:t xml:space="preserve"> </w:t>
      </w:r>
      <w:r w:rsidR="00C343D8">
        <w:rPr>
          <w:rFonts w:asciiTheme="majorHAnsi" w:hAnsiTheme="majorHAnsi"/>
          <w:color w:val="7030A0"/>
        </w:rPr>
        <w:fldChar w:fldCharType="begin"/>
      </w:r>
      <w:r w:rsidR="00C343D8">
        <w:rPr>
          <w:rFonts w:asciiTheme="majorHAnsi" w:hAnsiTheme="majorHAnsi"/>
          <w:color w:val="7030A0"/>
        </w:rPr>
        <w:instrText xml:space="preserve"> REF _Ref173757511 \h </w:instrText>
      </w:r>
      <w:r w:rsidR="00C343D8">
        <w:rPr>
          <w:rFonts w:asciiTheme="majorHAnsi" w:hAnsiTheme="majorHAnsi"/>
          <w:color w:val="7030A0"/>
        </w:rPr>
      </w:r>
      <w:r w:rsidR="00C343D8">
        <w:rPr>
          <w:rFonts w:asciiTheme="majorHAnsi" w:hAnsiTheme="majorHAnsi"/>
          <w:color w:val="7030A0"/>
        </w:rPr>
        <w:fldChar w:fldCharType="separate"/>
      </w:r>
      <w:r w:rsidR="00C343D8" w:rsidRPr="006F603C">
        <w:rPr>
          <w:rFonts w:asciiTheme="majorHAnsi" w:hAnsiTheme="majorHAnsi"/>
          <w:color w:val="7030A0"/>
        </w:rPr>
        <w:t xml:space="preserve">Figure </w:t>
      </w:r>
      <w:r w:rsidR="00C343D8" w:rsidRPr="006F603C">
        <w:rPr>
          <w:rFonts w:asciiTheme="majorHAnsi" w:hAnsiTheme="majorHAnsi"/>
          <w:noProof/>
          <w:color w:val="7030A0"/>
        </w:rPr>
        <w:t>13</w:t>
      </w:r>
      <w:r w:rsidR="00C343D8">
        <w:rPr>
          <w:rFonts w:asciiTheme="majorHAnsi" w:hAnsiTheme="majorHAnsi"/>
          <w:color w:val="7030A0"/>
        </w:rPr>
        <w:fldChar w:fldCharType="end"/>
      </w:r>
      <w:r w:rsidRPr="006F603C">
        <w:rPr>
          <w:rFonts w:asciiTheme="majorHAnsi" w:hAnsiTheme="majorHAnsi"/>
          <w:color w:val="7030A0"/>
        </w:rPr>
        <w:t>).</w:t>
      </w:r>
    </w:p>
    <w:p w14:paraId="52836DFE" w14:textId="77777777" w:rsidR="00E85A78" w:rsidRPr="006F603C" w:rsidRDefault="00E85A78" w:rsidP="00E85A78">
      <w:pPr>
        <w:rPr>
          <w:rFonts w:asciiTheme="majorHAnsi" w:hAnsiTheme="majorHAnsi"/>
          <w:color w:val="7030A0"/>
        </w:rPr>
      </w:pPr>
      <w:r w:rsidRPr="006F603C">
        <w:rPr>
          <w:rFonts w:asciiTheme="majorHAnsi" w:hAnsiTheme="majorHAnsi"/>
          <w:color w:val="7030A0"/>
        </w:rPr>
        <w:t>The table below describes different cases of responsibility and accountability for transportation from supplier to customer:</w:t>
      </w:r>
    </w:p>
    <w:p w14:paraId="171F995E" w14:textId="06571620" w:rsidR="00E85A78" w:rsidRPr="006F603C" w:rsidRDefault="00E85A78" w:rsidP="00E85A78">
      <w:pPr>
        <w:pStyle w:val="Caption"/>
        <w:spacing w:after="0"/>
        <w:rPr>
          <w:rFonts w:asciiTheme="majorHAnsi" w:hAnsiTheme="majorHAnsi"/>
          <w:color w:val="7030A0"/>
        </w:rPr>
      </w:pPr>
      <w:bookmarkStart w:id="102" w:name="_Ref173754086"/>
      <w:bookmarkStart w:id="103" w:name="_Toc178673581"/>
      <w:r w:rsidRPr="006F603C">
        <w:rPr>
          <w:rFonts w:asciiTheme="majorHAnsi" w:hAnsiTheme="majorHAnsi"/>
          <w:color w:val="7030A0"/>
        </w:rPr>
        <w:t xml:space="preserve">Table </w:t>
      </w:r>
      <w:r w:rsidRPr="006F603C">
        <w:rPr>
          <w:rFonts w:asciiTheme="majorHAnsi" w:hAnsiTheme="majorHAnsi"/>
          <w:color w:val="7030A0"/>
        </w:rPr>
        <w:fldChar w:fldCharType="begin"/>
      </w:r>
      <w:r w:rsidRPr="006F603C">
        <w:rPr>
          <w:rFonts w:asciiTheme="majorHAnsi" w:hAnsiTheme="majorHAnsi"/>
          <w:color w:val="7030A0"/>
        </w:rPr>
        <w:instrText xml:space="preserve"> SEQ Table \* ARABIC </w:instrText>
      </w:r>
      <w:r w:rsidRPr="006F603C">
        <w:rPr>
          <w:rFonts w:asciiTheme="majorHAnsi" w:hAnsiTheme="majorHAnsi"/>
          <w:color w:val="7030A0"/>
        </w:rPr>
        <w:fldChar w:fldCharType="separate"/>
      </w:r>
      <w:r w:rsidR="008272DB">
        <w:rPr>
          <w:rFonts w:asciiTheme="majorHAnsi" w:hAnsiTheme="majorHAnsi"/>
          <w:noProof/>
          <w:color w:val="7030A0"/>
        </w:rPr>
        <w:t>6</w:t>
      </w:r>
      <w:r w:rsidRPr="006F603C">
        <w:rPr>
          <w:rFonts w:asciiTheme="majorHAnsi" w:hAnsiTheme="majorHAnsi"/>
          <w:color w:val="7030A0"/>
        </w:rPr>
        <w:fldChar w:fldCharType="end"/>
      </w:r>
      <w:bookmarkEnd w:id="102"/>
      <w:r w:rsidRPr="006F603C">
        <w:rPr>
          <w:rFonts w:asciiTheme="majorHAnsi" w:hAnsiTheme="majorHAnsi"/>
          <w:color w:val="7030A0"/>
        </w:rPr>
        <w:t>: Transportation between supplier and customer.</w:t>
      </w:r>
      <w:bookmarkEnd w:id="103"/>
      <w:r w:rsidRPr="006F603C">
        <w:rPr>
          <w:rFonts w:asciiTheme="majorHAnsi" w:hAnsiTheme="majorHAnsi"/>
          <w:color w:val="7030A0"/>
        </w:rPr>
        <w:t xml:space="preserve"> </w:t>
      </w:r>
    </w:p>
    <w:p w14:paraId="324B7ACC" w14:textId="77777777" w:rsidR="00E85A78" w:rsidRPr="006F603C" w:rsidRDefault="00E85A78" w:rsidP="00E85A78">
      <w:pPr>
        <w:pStyle w:val="Caption"/>
        <w:rPr>
          <w:rFonts w:asciiTheme="majorHAnsi" w:hAnsiTheme="majorHAnsi"/>
          <w:color w:val="7030A0"/>
        </w:rPr>
      </w:pPr>
      <w:r w:rsidRPr="006F603C">
        <w:rPr>
          <w:rFonts w:asciiTheme="majorHAnsi" w:hAnsiTheme="majorHAnsi"/>
          <w:color w:val="7030A0"/>
        </w:rPr>
        <w:t>The responsibility to account for GHG emissions from transport depends on which party is responsible in economic or operative terms.</w:t>
      </w:r>
    </w:p>
    <w:tbl>
      <w:tblPr>
        <w:tblStyle w:val="Cantena-X"/>
        <w:tblW w:w="0" w:type="auto"/>
        <w:tblLook w:val="0420" w:firstRow="1" w:lastRow="0" w:firstColumn="0" w:lastColumn="0" w:noHBand="0" w:noVBand="1"/>
      </w:tblPr>
      <w:tblGrid>
        <w:gridCol w:w="610"/>
        <w:gridCol w:w="4213"/>
        <w:gridCol w:w="2148"/>
        <w:gridCol w:w="2024"/>
      </w:tblGrid>
      <w:tr w:rsidR="006F603C" w:rsidRPr="006F603C" w14:paraId="0D9253F4" w14:textId="77777777" w:rsidTr="002973E2">
        <w:trPr>
          <w:cnfStyle w:val="100000000000" w:firstRow="1" w:lastRow="0" w:firstColumn="0" w:lastColumn="0" w:oddVBand="0" w:evenVBand="0" w:oddHBand="0" w:evenHBand="0" w:firstRowFirstColumn="0" w:firstRowLastColumn="0" w:lastRowFirstColumn="0" w:lastRowLastColumn="0"/>
          <w:tblHeader/>
        </w:trPr>
        <w:tc>
          <w:tcPr>
            <w:tcW w:w="0" w:type="auto"/>
            <w:tcBorders>
              <w:bottom w:val="single" w:sz="4" w:space="0" w:color="FFFFFF" w:themeColor="background1"/>
            </w:tcBorders>
            <w:shd w:val="clear" w:color="auto" w:fill="046B99" w:themeFill="accent5"/>
            <w:hideMark/>
          </w:tcPr>
          <w:p w14:paraId="14B2C12C" w14:textId="77777777" w:rsidR="00E85A78" w:rsidRPr="006F603C" w:rsidRDefault="00E85A78" w:rsidP="00D9577E">
            <w:pPr>
              <w:pStyle w:val="TableText"/>
              <w:rPr>
                <w:rStyle w:val="Strong"/>
                <w:rFonts w:asciiTheme="majorHAnsi" w:hAnsiTheme="majorHAnsi"/>
                <w:bCs w:val="0"/>
                <w:color w:val="7030A0"/>
              </w:rPr>
            </w:pPr>
            <w:r w:rsidRPr="006F603C">
              <w:rPr>
                <w:rStyle w:val="Strong"/>
                <w:rFonts w:asciiTheme="majorHAnsi" w:hAnsiTheme="majorHAnsi"/>
                <w:bCs w:val="0"/>
                <w:color w:val="7030A0"/>
              </w:rPr>
              <w:t>Case</w:t>
            </w:r>
          </w:p>
        </w:tc>
        <w:tc>
          <w:tcPr>
            <w:tcW w:w="4213" w:type="dxa"/>
            <w:shd w:val="clear" w:color="auto" w:fill="046B99" w:themeFill="accent5"/>
            <w:hideMark/>
          </w:tcPr>
          <w:p w14:paraId="28A97F64" w14:textId="77777777" w:rsidR="00E85A78" w:rsidRPr="006F603C" w:rsidRDefault="00E85A78" w:rsidP="00D9577E">
            <w:pPr>
              <w:pStyle w:val="TableText"/>
              <w:rPr>
                <w:rStyle w:val="Strong"/>
                <w:rFonts w:asciiTheme="majorHAnsi" w:hAnsiTheme="majorHAnsi"/>
                <w:bCs w:val="0"/>
                <w:color w:val="7030A0"/>
              </w:rPr>
            </w:pPr>
            <w:r w:rsidRPr="006F603C">
              <w:rPr>
                <w:rStyle w:val="Strong"/>
                <w:rFonts w:asciiTheme="majorHAnsi" w:hAnsiTheme="majorHAnsi"/>
                <w:bCs w:val="0"/>
                <w:color w:val="7030A0"/>
              </w:rPr>
              <w:t>Description</w:t>
            </w:r>
          </w:p>
        </w:tc>
        <w:tc>
          <w:tcPr>
            <w:tcW w:w="2148" w:type="dxa"/>
            <w:shd w:val="clear" w:color="auto" w:fill="046B99" w:themeFill="accent5"/>
            <w:hideMark/>
          </w:tcPr>
          <w:p w14:paraId="0988E0F8" w14:textId="77777777" w:rsidR="00E85A78" w:rsidRPr="006F603C" w:rsidRDefault="00E85A78" w:rsidP="00D9577E">
            <w:pPr>
              <w:pStyle w:val="TableText"/>
              <w:rPr>
                <w:rStyle w:val="Strong"/>
                <w:rFonts w:asciiTheme="majorHAnsi" w:hAnsiTheme="majorHAnsi"/>
                <w:bCs w:val="0"/>
                <w:color w:val="7030A0"/>
              </w:rPr>
            </w:pPr>
            <w:r w:rsidRPr="006F603C">
              <w:rPr>
                <w:rStyle w:val="Strong"/>
                <w:rFonts w:asciiTheme="majorHAnsi" w:hAnsiTheme="majorHAnsi"/>
                <w:bCs w:val="0"/>
                <w:color w:val="7030A0"/>
              </w:rPr>
              <w:t>Economic/operative responsibility for transportation from supplier to customer</w:t>
            </w:r>
          </w:p>
        </w:tc>
        <w:tc>
          <w:tcPr>
            <w:tcW w:w="2024" w:type="dxa"/>
            <w:shd w:val="clear" w:color="auto" w:fill="046B99" w:themeFill="accent5"/>
            <w:hideMark/>
          </w:tcPr>
          <w:p w14:paraId="632B4210" w14:textId="77777777" w:rsidR="00E85A78" w:rsidRPr="006F603C" w:rsidRDefault="00E85A78" w:rsidP="00D9577E">
            <w:pPr>
              <w:pStyle w:val="TableText"/>
              <w:rPr>
                <w:rStyle w:val="Strong"/>
                <w:rFonts w:asciiTheme="majorHAnsi" w:hAnsiTheme="majorHAnsi"/>
                <w:bCs w:val="0"/>
                <w:color w:val="7030A0"/>
              </w:rPr>
            </w:pPr>
            <w:r w:rsidRPr="006F603C">
              <w:rPr>
                <w:rStyle w:val="Strong"/>
                <w:rFonts w:asciiTheme="majorHAnsi" w:hAnsiTheme="majorHAnsi"/>
                <w:bCs w:val="0"/>
                <w:color w:val="7030A0"/>
              </w:rPr>
              <w:t>Accounting for transportation emissions</w:t>
            </w:r>
          </w:p>
        </w:tc>
      </w:tr>
      <w:tr w:rsidR="006F603C" w:rsidRPr="006F603C" w14:paraId="09B4D8DD" w14:textId="77777777" w:rsidTr="00D9577E">
        <w:trPr>
          <w:cnfStyle w:val="000000100000" w:firstRow="0" w:lastRow="0" w:firstColumn="0" w:lastColumn="0" w:oddVBand="0" w:evenVBand="0" w:oddHBand="1" w:evenHBand="0" w:firstRowFirstColumn="0" w:firstRowLastColumn="0" w:lastRowFirstColumn="0" w:lastRowLastColumn="0"/>
        </w:trPr>
        <w:tc>
          <w:tcPr>
            <w:tcW w:w="0" w:type="auto"/>
            <w:tcBorders>
              <w:top w:val="single" w:sz="4" w:space="0" w:color="FFFFFF" w:themeColor="background1"/>
              <w:bottom w:val="single" w:sz="4" w:space="0" w:color="FFFFFF" w:themeColor="background1"/>
              <w:right w:val="single" w:sz="4" w:space="0" w:color="FFFFFF" w:themeColor="background1"/>
            </w:tcBorders>
            <w:shd w:val="clear" w:color="auto" w:fill="E1E3DD" w:themeFill="background2"/>
            <w:hideMark/>
          </w:tcPr>
          <w:p w14:paraId="41AB7FF2" w14:textId="77777777" w:rsidR="00E85A78" w:rsidRPr="006F603C" w:rsidRDefault="00E85A78" w:rsidP="00D9577E">
            <w:pPr>
              <w:pStyle w:val="TableText"/>
              <w:rPr>
                <w:rStyle w:val="Strong"/>
                <w:rFonts w:asciiTheme="majorHAnsi" w:hAnsiTheme="majorHAnsi"/>
                <w:color w:val="7030A0"/>
              </w:rPr>
            </w:pPr>
            <w:r w:rsidRPr="006F603C">
              <w:rPr>
                <w:rStyle w:val="Strong"/>
                <w:rFonts w:asciiTheme="majorHAnsi" w:hAnsiTheme="majorHAnsi"/>
                <w:color w:val="7030A0"/>
              </w:rPr>
              <w:t>1</w:t>
            </w:r>
          </w:p>
        </w:tc>
        <w:tc>
          <w:tcPr>
            <w:tcW w:w="4213" w:type="dxa"/>
            <w:tcBorders>
              <w:left w:val="single" w:sz="4" w:space="0" w:color="FFFFFF" w:themeColor="background1"/>
            </w:tcBorders>
            <w:hideMark/>
          </w:tcPr>
          <w:p w14:paraId="6B584B9E" w14:textId="77777777" w:rsidR="00E85A78" w:rsidRPr="006F603C" w:rsidRDefault="00E85A78" w:rsidP="00D9577E">
            <w:pPr>
              <w:pStyle w:val="TableText"/>
              <w:rPr>
                <w:color w:val="7030A0"/>
              </w:rPr>
            </w:pPr>
            <w:r w:rsidRPr="006F603C">
              <w:rPr>
                <w:color w:val="7030A0"/>
              </w:rPr>
              <w:t>Multiple shipping sites, and/or multiple unloading sites</w:t>
            </w:r>
          </w:p>
          <w:p w14:paraId="3559CB09" w14:textId="6B09671D" w:rsidR="00E85A78" w:rsidRPr="006F603C" w:rsidRDefault="00A457C3" w:rsidP="00D9577E">
            <w:pPr>
              <w:pStyle w:val="TableText"/>
              <w:rPr>
                <w:color w:val="7030A0"/>
              </w:rPr>
            </w:pPr>
            <w:r w:rsidRPr="006F603C">
              <w:rPr>
                <w:noProof/>
                <w:color w:val="7030A0"/>
              </w:rPr>
              <w:drawing>
                <wp:inline distT="0" distB="0" distL="0" distR="0" wp14:anchorId="76E73BFB" wp14:editId="767F450A">
                  <wp:extent cx="2491597" cy="2171857"/>
                  <wp:effectExtent l="0" t="0" r="4445" b="0"/>
                  <wp:docPr id="199" name="Grafik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15856" cy="2193003"/>
                          </a:xfrm>
                          <a:prstGeom prst="rect">
                            <a:avLst/>
                          </a:prstGeom>
                          <a:noFill/>
                        </pic:spPr>
                      </pic:pic>
                    </a:graphicData>
                  </a:graphic>
                </wp:inline>
              </w:drawing>
            </w:r>
          </w:p>
          <w:p w14:paraId="50CEDBA1" w14:textId="0B887EDB" w:rsidR="00E85A78" w:rsidRPr="006F603C" w:rsidRDefault="00E85A78" w:rsidP="00D9577E">
            <w:pPr>
              <w:pStyle w:val="TableText"/>
              <w:rPr>
                <w:color w:val="7030A0"/>
              </w:rPr>
            </w:pPr>
          </w:p>
        </w:tc>
        <w:tc>
          <w:tcPr>
            <w:tcW w:w="2148" w:type="dxa"/>
            <w:hideMark/>
          </w:tcPr>
          <w:p w14:paraId="2ACC94A5" w14:textId="77777777" w:rsidR="00E85A78" w:rsidRPr="006F603C" w:rsidRDefault="00E85A78" w:rsidP="00D9577E">
            <w:pPr>
              <w:pStyle w:val="TableText"/>
              <w:rPr>
                <w:color w:val="7030A0"/>
              </w:rPr>
            </w:pPr>
            <w:r w:rsidRPr="006F603C">
              <w:rPr>
                <w:color w:val="7030A0"/>
              </w:rPr>
              <w:t>Inbound transportation contracted or operated by customer</w:t>
            </w:r>
          </w:p>
        </w:tc>
        <w:tc>
          <w:tcPr>
            <w:tcW w:w="2024" w:type="dxa"/>
            <w:hideMark/>
          </w:tcPr>
          <w:p w14:paraId="056F39AA" w14:textId="77777777" w:rsidR="00E85A78" w:rsidRPr="006F603C" w:rsidRDefault="00E85A78" w:rsidP="00D9577E">
            <w:pPr>
              <w:pStyle w:val="TableText"/>
              <w:rPr>
                <w:color w:val="7030A0"/>
              </w:rPr>
            </w:pPr>
            <w:r w:rsidRPr="006F603C">
              <w:rPr>
                <w:color w:val="7030A0"/>
              </w:rPr>
              <w:t>Customer respon</w:t>
            </w:r>
            <w:r w:rsidRPr="006F603C">
              <w:rPr>
                <w:color w:val="7030A0"/>
              </w:rPr>
              <w:softHyphen/>
              <w:t>sible for quantifica</w:t>
            </w:r>
            <w:r w:rsidRPr="006F603C">
              <w:rPr>
                <w:color w:val="7030A0"/>
              </w:rPr>
              <w:softHyphen/>
              <w:t>tion of transporta</w:t>
            </w:r>
            <w:r w:rsidRPr="006F603C">
              <w:rPr>
                <w:color w:val="7030A0"/>
              </w:rPr>
              <w:softHyphen/>
              <w:t>tion emissions.</w:t>
            </w:r>
          </w:p>
          <w:p w14:paraId="1703D952" w14:textId="77777777" w:rsidR="00E85A78" w:rsidRPr="006F603C" w:rsidRDefault="00E85A78" w:rsidP="00D9577E">
            <w:pPr>
              <w:pStyle w:val="TableText"/>
              <w:rPr>
                <w:color w:val="7030A0"/>
              </w:rPr>
            </w:pPr>
            <w:r w:rsidRPr="006F603C">
              <w:rPr>
                <w:color w:val="7030A0"/>
              </w:rPr>
              <w:t xml:space="preserve">As for multiple transportation relations, emissions shall be attributed by mass between the respective products </w:t>
            </w:r>
          </w:p>
        </w:tc>
      </w:tr>
      <w:tr w:rsidR="006F603C" w:rsidRPr="006F603C" w14:paraId="1825A24F" w14:textId="77777777" w:rsidTr="00D9577E">
        <w:trPr>
          <w:cnfStyle w:val="000000010000" w:firstRow="0" w:lastRow="0" w:firstColumn="0" w:lastColumn="0" w:oddVBand="0" w:evenVBand="0" w:oddHBand="0" w:evenHBand="1" w:firstRowFirstColumn="0" w:firstRowLastColumn="0" w:lastRowFirstColumn="0" w:lastRowLastColumn="0"/>
        </w:trPr>
        <w:tc>
          <w:tcPr>
            <w:tcW w:w="0" w:type="auto"/>
            <w:tcBorders>
              <w:top w:val="single" w:sz="4" w:space="0" w:color="FFFFFF" w:themeColor="background1"/>
              <w:bottom w:val="nil"/>
            </w:tcBorders>
            <w:shd w:val="clear" w:color="auto" w:fill="E1E3DD" w:themeFill="background2"/>
            <w:hideMark/>
          </w:tcPr>
          <w:p w14:paraId="79F040FE" w14:textId="77777777" w:rsidR="00E85A78" w:rsidRPr="006F603C" w:rsidRDefault="00E85A78" w:rsidP="00D9577E">
            <w:pPr>
              <w:pStyle w:val="TableText"/>
              <w:rPr>
                <w:rStyle w:val="Strong"/>
                <w:rFonts w:asciiTheme="majorHAnsi" w:hAnsiTheme="majorHAnsi"/>
                <w:color w:val="7030A0"/>
              </w:rPr>
            </w:pPr>
            <w:r w:rsidRPr="006F603C">
              <w:rPr>
                <w:rStyle w:val="Strong"/>
                <w:rFonts w:asciiTheme="majorHAnsi" w:hAnsiTheme="majorHAnsi"/>
                <w:color w:val="7030A0"/>
              </w:rPr>
              <w:t>2</w:t>
            </w:r>
          </w:p>
        </w:tc>
        <w:tc>
          <w:tcPr>
            <w:tcW w:w="4213" w:type="dxa"/>
            <w:hideMark/>
          </w:tcPr>
          <w:p w14:paraId="10FA3EA5" w14:textId="77777777" w:rsidR="00E85A78" w:rsidRPr="006F603C" w:rsidRDefault="00E85A78" w:rsidP="00D9577E">
            <w:pPr>
              <w:pStyle w:val="TableText"/>
              <w:rPr>
                <w:color w:val="7030A0"/>
              </w:rPr>
            </w:pPr>
            <w:r w:rsidRPr="006F603C">
              <w:rPr>
                <w:color w:val="7030A0"/>
              </w:rPr>
              <w:t>Multiple shipping sites, and/or multiple unloading sites</w:t>
            </w:r>
          </w:p>
          <w:p w14:paraId="6B4208D8" w14:textId="2D567B11" w:rsidR="00E85A78" w:rsidRPr="006F603C" w:rsidRDefault="00A457C3" w:rsidP="00D9577E">
            <w:pPr>
              <w:pStyle w:val="TableText"/>
              <w:rPr>
                <w:color w:val="7030A0"/>
              </w:rPr>
            </w:pPr>
            <w:r w:rsidRPr="006F603C">
              <w:rPr>
                <w:noProof/>
                <w:color w:val="7030A0"/>
              </w:rPr>
              <w:drawing>
                <wp:inline distT="0" distB="0" distL="0" distR="0" wp14:anchorId="12A5DD03" wp14:editId="73B4A3E6">
                  <wp:extent cx="2505656" cy="2184111"/>
                  <wp:effectExtent l="0" t="0" r="9525" b="6985"/>
                  <wp:docPr id="200" name="Grafik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16506" cy="2193568"/>
                          </a:xfrm>
                          <a:prstGeom prst="rect">
                            <a:avLst/>
                          </a:prstGeom>
                          <a:noFill/>
                        </pic:spPr>
                      </pic:pic>
                    </a:graphicData>
                  </a:graphic>
                </wp:inline>
              </w:drawing>
            </w:r>
          </w:p>
          <w:p w14:paraId="5F5A3C8E" w14:textId="7400ADB5" w:rsidR="00E85A78" w:rsidRPr="006F603C" w:rsidRDefault="00E85A78" w:rsidP="00D9577E">
            <w:pPr>
              <w:pStyle w:val="TableText"/>
              <w:rPr>
                <w:color w:val="7030A0"/>
              </w:rPr>
            </w:pPr>
          </w:p>
        </w:tc>
        <w:tc>
          <w:tcPr>
            <w:tcW w:w="2148" w:type="dxa"/>
            <w:hideMark/>
          </w:tcPr>
          <w:p w14:paraId="23D1F79E" w14:textId="77777777" w:rsidR="00E85A78" w:rsidRPr="006F603C" w:rsidRDefault="00E85A78" w:rsidP="00D9577E">
            <w:pPr>
              <w:pStyle w:val="TableText"/>
              <w:rPr>
                <w:color w:val="7030A0"/>
              </w:rPr>
            </w:pPr>
            <w:r w:rsidRPr="006F603C">
              <w:rPr>
                <w:color w:val="7030A0"/>
              </w:rPr>
              <w:t>Outbound transportation contracted or operated by supplier</w:t>
            </w:r>
          </w:p>
        </w:tc>
        <w:tc>
          <w:tcPr>
            <w:tcW w:w="2024" w:type="dxa"/>
            <w:hideMark/>
          </w:tcPr>
          <w:p w14:paraId="49152EAE" w14:textId="77777777" w:rsidR="00E85A78" w:rsidRPr="006F603C" w:rsidRDefault="00E85A78" w:rsidP="00D9577E">
            <w:pPr>
              <w:pStyle w:val="TableText"/>
              <w:rPr>
                <w:color w:val="7030A0"/>
              </w:rPr>
            </w:pPr>
            <w:r w:rsidRPr="006F603C">
              <w:rPr>
                <w:color w:val="7030A0"/>
              </w:rPr>
              <w:t>Transportation emissions to be reported separately by supplier to the customer (additionally to supplier's PCF).</w:t>
            </w:r>
          </w:p>
          <w:p w14:paraId="4CACB196" w14:textId="77777777" w:rsidR="00E85A78" w:rsidRPr="006F603C" w:rsidRDefault="00E85A78" w:rsidP="00D9577E">
            <w:pPr>
              <w:pStyle w:val="TableText"/>
              <w:rPr>
                <w:color w:val="7030A0"/>
              </w:rPr>
            </w:pPr>
            <w:r w:rsidRPr="006F603C">
              <w:rPr>
                <w:color w:val="7030A0"/>
              </w:rPr>
              <w:t>As for multiple transportation relations, emissions shall be attributed by mass between the respective products</w:t>
            </w:r>
          </w:p>
        </w:tc>
      </w:tr>
    </w:tbl>
    <w:p w14:paraId="76D069DE" w14:textId="77777777" w:rsidR="00E85A78" w:rsidRPr="006F603C" w:rsidRDefault="00E85A78" w:rsidP="00E85A78">
      <w:pPr>
        <w:pStyle w:val="TableText"/>
        <w:rPr>
          <w:color w:val="7030A0"/>
        </w:rPr>
      </w:pPr>
    </w:p>
    <w:p w14:paraId="347A5A31" w14:textId="2540883C" w:rsidR="00E85A78" w:rsidRPr="006F603C" w:rsidRDefault="00E85A78" w:rsidP="00E85A78">
      <w:pPr>
        <w:rPr>
          <w:rFonts w:asciiTheme="majorHAnsi" w:hAnsiTheme="majorHAnsi"/>
          <w:color w:val="7030A0"/>
        </w:rPr>
      </w:pPr>
      <w:r w:rsidRPr="006F603C">
        <w:rPr>
          <w:rFonts w:asciiTheme="majorHAnsi" w:hAnsiTheme="majorHAnsi"/>
          <w:color w:val="7030A0"/>
        </w:rPr>
        <w:t xml:space="preserve">Transports from production sites to </w:t>
      </w:r>
      <w:r w:rsidRPr="006F603C">
        <w:rPr>
          <w:rStyle w:val="Strong"/>
          <w:rFonts w:asciiTheme="majorHAnsi" w:hAnsiTheme="majorHAnsi"/>
          <w:color w:val="7030A0"/>
        </w:rPr>
        <w:t>suppliers' distribution centers</w:t>
      </w:r>
      <w:r w:rsidRPr="006F603C">
        <w:rPr>
          <w:rFonts w:asciiTheme="majorHAnsi" w:hAnsiTheme="majorHAnsi"/>
          <w:color w:val="7030A0"/>
        </w:rPr>
        <w:t xml:space="preserve"> are deemed as suppliers' in-house logistics, i.e., the distribution center is regarded as the shipping point (see</w:t>
      </w:r>
      <w:r w:rsidR="00A457C3" w:rsidRPr="006F603C">
        <w:rPr>
          <w:rFonts w:asciiTheme="majorHAnsi" w:hAnsiTheme="majorHAnsi"/>
          <w:color w:val="7030A0"/>
        </w:rPr>
        <w:t xml:space="preserve"> </w:t>
      </w:r>
      <w:r w:rsidR="00A457C3" w:rsidRPr="006F603C">
        <w:rPr>
          <w:rFonts w:asciiTheme="majorHAnsi" w:hAnsiTheme="majorHAnsi"/>
          <w:color w:val="7030A0"/>
        </w:rPr>
        <w:fldChar w:fldCharType="begin"/>
      </w:r>
      <w:r w:rsidR="00A457C3" w:rsidRPr="006F603C">
        <w:rPr>
          <w:rFonts w:asciiTheme="majorHAnsi" w:hAnsiTheme="majorHAnsi"/>
          <w:color w:val="7030A0"/>
        </w:rPr>
        <w:instrText xml:space="preserve"> REF _Ref173757498 \h </w:instrText>
      </w:r>
      <w:r w:rsidR="00A457C3" w:rsidRPr="006F603C">
        <w:rPr>
          <w:rFonts w:asciiTheme="majorHAnsi" w:hAnsiTheme="majorHAnsi"/>
          <w:color w:val="7030A0"/>
        </w:rPr>
      </w:r>
      <w:r w:rsidR="00A457C3" w:rsidRPr="006F603C">
        <w:rPr>
          <w:rFonts w:asciiTheme="majorHAnsi" w:hAnsiTheme="majorHAnsi"/>
          <w:color w:val="7030A0"/>
        </w:rPr>
        <w:fldChar w:fldCharType="separate"/>
      </w:r>
      <w:r w:rsidR="00A457C3" w:rsidRPr="006F603C">
        <w:rPr>
          <w:rFonts w:asciiTheme="majorHAnsi" w:hAnsiTheme="majorHAnsi"/>
          <w:color w:val="7030A0"/>
        </w:rPr>
        <w:t xml:space="preserve">Figure </w:t>
      </w:r>
      <w:r w:rsidR="00A457C3" w:rsidRPr="006F603C">
        <w:rPr>
          <w:rFonts w:asciiTheme="majorHAnsi" w:hAnsiTheme="majorHAnsi"/>
          <w:noProof/>
          <w:color w:val="7030A0"/>
        </w:rPr>
        <w:t>12</w:t>
      </w:r>
      <w:r w:rsidR="00A457C3" w:rsidRPr="006F603C">
        <w:rPr>
          <w:rFonts w:asciiTheme="majorHAnsi" w:hAnsiTheme="majorHAnsi"/>
          <w:color w:val="7030A0"/>
        </w:rPr>
        <w:fldChar w:fldCharType="end"/>
      </w:r>
      <w:r w:rsidRPr="006F603C">
        <w:rPr>
          <w:rFonts w:asciiTheme="majorHAnsi" w:hAnsiTheme="majorHAnsi"/>
          <w:color w:val="7030A0"/>
        </w:rPr>
        <w:t>).</w:t>
      </w:r>
    </w:p>
    <w:p w14:paraId="7BB31970" w14:textId="77777777" w:rsidR="00A457C3" w:rsidRPr="006F603C" w:rsidRDefault="00A457C3" w:rsidP="00E85A78">
      <w:pPr>
        <w:rPr>
          <w:rFonts w:asciiTheme="majorHAnsi" w:hAnsiTheme="majorHAnsi"/>
          <w:color w:val="7030A0"/>
        </w:rPr>
      </w:pPr>
      <w:r w:rsidRPr="006F603C">
        <w:rPr>
          <w:rFonts w:asciiTheme="majorHAnsi" w:hAnsiTheme="majorHAnsi"/>
          <w:noProof/>
          <w:color w:val="7030A0"/>
        </w:rPr>
        <w:lastRenderedPageBreak/>
        <w:drawing>
          <wp:inline distT="0" distB="0" distL="0" distR="0" wp14:anchorId="104A12AC" wp14:editId="6E5CB277">
            <wp:extent cx="2505693" cy="1001593"/>
            <wp:effectExtent l="0" t="0" r="9525" b="8255"/>
            <wp:docPr id="201" name="Grafik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529348" cy="1011048"/>
                    </a:xfrm>
                    <a:prstGeom prst="rect">
                      <a:avLst/>
                    </a:prstGeom>
                    <a:noFill/>
                  </pic:spPr>
                </pic:pic>
              </a:graphicData>
            </a:graphic>
          </wp:inline>
        </w:drawing>
      </w:r>
    </w:p>
    <w:p w14:paraId="54E2DD0C" w14:textId="6536C4A1" w:rsidR="00E85A78" w:rsidRPr="006F603C" w:rsidRDefault="00E85A78" w:rsidP="00E85A78">
      <w:pPr>
        <w:rPr>
          <w:rFonts w:asciiTheme="majorHAnsi" w:hAnsiTheme="majorHAnsi"/>
          <w:color w:val="7030A0"/>
        </w:rPr>
      </w:pPr>
    </w:p>
    <w:p w14:paraId="1E46E7A2" w14:textId="77F24CFF" w:rsidR="00E85A78" w:rsidRPr="006F603C" w:rsidRDefault="00E85A78" w:rsidP="00E85A78">
      <w:pPr>
        <w:pStyle w:val="Caption"/>
        <w:rPr>
          <w:rFonts w:asciiTheme="majorHAnsi" w:hAnsiTheme="majorHAnsi"/>
          <w:color w:val="7030A0"/>
        </w:rPr>
      </w:pPr>
      <w:bookmarkStart w:id="104" w:name="_Ref173757498"/>
      <w:bookmarkStart w:id="105" w:name="_Toc178673574"/>
      <w:r w:rsidRPr="006F603C">
        <w:rPr>
          <w:rFonts w:asciiTheme="majorHAnsi" w:hAnsiTheme="majorHAnsi"/>
          <w:color w:val="7030A0"/>
        </w:rPr>
        <w:t xml:space="preserve">Figure </w:t>
      </w:r>
      <w:r w:rsidRPr="006F603C">
        <w:rPr>
          <w:rFonts w:asciiTheme="majorHAnsi" w:hAnsiTheme="majorHAnsi"/>
          <w:color w:val="7030A0"/>
        </w:rPr>
        <w:fldChar w:fldCharType="begin"/>
      </w:r>
      <w:r w:rsidRPr="006F603C">
        <w:rPr>
          <w:rFonts w:asciiTheme="majorHAnsi" w:hAnsiTheme="majorHAnsi"/>
          <w:color w:val="7030A0"/>
        </w:rPr>
        <w:instrText xml:space="preserve"> SEQ Figure \* ARABIC </w:instrText>
      </w:r>
      <w:r w:rsidRPr="006F603C">
        <w:rPr>
          <w:rFonts w:asciiTheme="majorHAnsi" w:hAnsiTheme="majorHAnsi"/>
          <w:color w:val="7030A0"/>
        </w:rPr>
        <w:fldChar w:fldCharType="separate"/>
      </w:r>
      <w:r w:rsidR="008272DB">
        <w:rPr>
          <w:rFonts w:asciiTheme="majorHAnsi" w:hAnsiTheme="majorHAnsi"/>
          <w:noProof/>
          <w:color w:val="7030A0"/>
        </w:rPr>
        <w:t>16</w:t>
      </w:r>
      <w:r w:rsidRPr="006F603C">
        <w:rPr>
          <w:rFonts w:asciiTheme="majorHAnsi" w:hAnsiTheme="majorHAnsi"/>
          <w:color w:val="7030A0"/>
        </w:rPr>
        <w:fldChar w:fldCharType="end"/>
      </w:r>
      <w:bookmarkEnd w:id="104"/>
      <w:r w:rsidRPr="006F603C">
        <w:rPr>
          <w:rFonts w:asciiTheme="majorHAnsi" w:hAnsiTheme="majorHAnsi"/>
          <w:color w:val="7030A0"/>
        </w:rPr>
        <w:t>: Distribution center on supplier side.</w:t>
      </w:r>
      <w:bookmarkEnd w:id="105"/>
    </w:p>
    <w:p w14:paraId="2130F643" w14:textId="530D9536" w:rsidR="00E85A78" w:rsidRPr="006F603C" w:rsidRDefault="00E85A78" w:rsidP="00E85A78">
      <w:pPr>
        <w:rPr>
          <w:rFonts w:asciiTheme="majorHAnsi" w:hAnsiTheme="majorHAnsi"/>
          <w:color w:val="7030A0"/>
        </w:rPr>
      </w:pPr>
      <w:r w:rsidRPr="006F603C">
        <w:rPr>
          <w:rFonts w:asciiTheme="majorHAnsi" w:hAnsiTheme="majorHAnsi"/>
          <w:color w:val="7030A0"/>
        </w:rPr>
        <w:t xml:space="preserve">Transports from </w:t>
      </w:r>
      <w:r w:rsidRPr="006F603C">
        <w:rPr>
          <w:rStyle w:val="Strong"/>
          <w:rFonts w:asciiTheme="majorHAnsi" w:hAnsiTheme="majorHAnsi"/>
          <w:color w:val="7030A0"/>
        </w:rPr>
        <w:t xml:space="preserve">customers' </w:t>
      </w:r>
      <w:r w:rsidRPr="006F603C">
        <w:rPr>
          <w:rFonts w:asciiTheme="majorHAnsi" w:hAnsiTheme="majorHAnsi"/>
          <w:color w:val="7030A0"/>
        </w:rPr>
        <w:t>distribution</w:t>
      </w:r>
      <w:r w:rsidRPr="006F603C">
        <w:rPr>
          <w:rStyle w:val="Strong"/>
          <w:rFonts w:asciiTheme="majorHAnsi" w:hAnsiTheme="majorHAnsi"/>
          <w:color w:val="7030A0"/>
        </w:rPr>
        <w:t xml:space="preserve"> centers</w:t>
      </w:r>
      <w:r w:rsidRPr="006F603C">
        <w:rPr>
          <w:rFonts w:asciiTheme="majorHAnsi" w:hAnsiTheme="majorHAnsi"/>
          <w:color w:val="7030A0"/>
        </w:rPr>
        <w:t xml:space="preserve"> to production sites are deemed as customers' in-house logistics, i.e., the distribution center is regarded as the unloading point (see</w:t>
      </w:r>
      <w:r w:rsidR="00A457C3" w:rsidRPr="006F603C">
        <w:rPr>
          <w:rFonts w:asciiTheme="majorHAnsi" w:hAnsiTheme="majorHAnsi"/>
          <w:color w:val="7030A0"/>
        </w:rPr>
        <w:t xml:space="preserve"> </w:t>
      </w:r>
      <w:r w:rsidR="00A457C3" w:rsidRPr="006F603C">
        <w:rPr>
          <w:rFonts w:asciiTheme="majorHAnsi" w:hAnsiTheme="majorHAnsi"/>
          <w:color w:val="7030A0"/>
        </w:rPr>
        <w:fldChar w:fldCharType="begin"/>
      </w:r>
      <w:r w:rsidR="00A457C3" w:rsidRPr="006F603C">
        <w:rPr>
          <w:rFonts w:asciiTheme="majorHAnsi" w:hAnsiTheme="majorHAnsi"/>
          <w:color w:val="7030A0"/>
        </w:rPr>
        <w:instrText xml:space="preserve"> REF _Ref173757511 \h </w:instrText>
      </w:r>
      <w:r w:rsidR="00A457C3" w:rsidRPr="006F603C">
        <w:rPr>
          <w:rFonts w:asciiTheme="majorHAnsi" w:hAnsiTheme="majorHAnsi"/>
          <w:color w:val="7030A0"/>
        </w:rPr>
      </w:r>
      <w:r w:rsidR="00A457C3" w:rsidRPr="006F603C">
        <w:rPr>
          <w:rFonts w:asciiTheme="majorHAnsi" w:hAnsiTheme="majorHAnsi"/>
          <w:color w:val="7030A0"/>
        </w:rPr>
        <w:fldChar w:fldCharType="separate"/>
      </w:r>
      <w:r w:rsidR="00A457C3" w:rsidRPr="006F603C">
        <w:rPr>
          <w:rFonts w:asciiTheme="majorHAnsi" w:hAnsiTheme="majorHAnsi"/>
          <w:color w:val="7030A0"/>
        </w:rPr>
        <w:t xml:space="preserve">Figure </w:t>
      </w:r>
      <w:r w:rsidR="00A457C3" w:rsidRPr="006F603C">
        <w:rPr>
          <w:rFonts w:asciiTheme="majorHAnsi" w:hAnsiTheme="majorHAnsi"/>
          <w:noProof/>
          <w:color w:val="7030A0"/>
        </w:rPr>
        <w:t>13</w:t>
      </w:r>
      <w:r w:rsidR="00A457C3" w:rsidRPr="006F603C">
        <w:rPr>
          <w:rFonts w:asciiTheme="majorHAnsi" w:hAnsiTheme="majorHAnsi"/>
          <w:color w:val="7030A0"/>
        </w:rPr>
        <w:fldChar w:fldCharType="end"/>
      </w:r>
      <w:r w:rsidRPr="006F603C">
        <w:rPr>
          <w:rFonts w:asciiTheme="majorHAnsi" w:hAnsiTheme="majorHAnsi"/>
          <w:color w:val="7030A0"/>
        </w:rPr>
        <w:t>).</w:t>
      </w:r>
    </w:p>
    <w:p w14:paraId="6E643BF5" w14:textId="1F34E973" w:rsidR="00E85A78" w:rsidRPr="006F603C" w:rsidRDefault="00A457C3" w:rsidP="00E85A78">
      <w:pPr>
        <w:rPr>
          <w:rFonts w:asciiTheme="majorHAnsi" w:hAnsiTheme="majorHAnsi"/>
          <w:color w:val="7030A0"/>
        </w:rPr>
      </w:pPr>
      <w:r w:rsidRPr="006F603C">
        <w:rPr>
          <w:rFonts w:asciiTheme="majorHAnsi" w:hAnsiTheme="majorHAnsi"/>
          <w:noProof/>
          <w:color w:val="7030A0"/>
        </w:rPr>
        <w:drawing>
          <wp:inline distT="0" distB="0" distL="0" distR="0" wp14:anchorId="1BF868E8" wp14:editId="368A2FE8">
            <wp:extent cx="2511717" cy="1004001"/>
            <wp:effectExtent l="0" t="0" r="3175" b="5715"/>
            <wp:docPr id="202" name="Grafik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77301" cy="1030217"/>
                    </a:xfrm>
                    <a:prstGeom prst="rect">
                      <a:avLst/>
                    </a:prstGeom>
                    <a:noFill/>
                  </pic:spPr>
                </pic:pic>
              </a:graphicData>
            </a:graphic>
          </wp:inline>
        </w:drawing>
      </w:r>
    </w:p>
    <w:p w14:paraId="165D1B1F" w14:textId="4A0EEC03" w:rsidR="00E85A78" w:rsidRPr="006F603C" w:rsidRDefault="00E85A78" w:rsidP="00E85A78">
      <w:pPr>
        <w:pStyle w:val="Caption"/>
        <w:rPr>
          <w:rFonts w:asciiTheme="majorHAnsi" w:hAnsiTheme="majorHAnsi"/>
          <w:color w:val="7030A0"/>
        </w:rPr>
      </w:pPr>
      <w:bookmarkStart w:id="106" w:name="_Ref173757511"/>
      <w:bookmarkStart w:id="107" w:name="_Toc178673575"/>
      <w:r w:rsidRPr="006F603C">
        <w:rPr>
          <w:rFonts w:asciiTheme="majorHAnsi" w:hAnsiTheme="majorHAnsi"/>
          <w:color w:val="7030A0"/>
        </w:rPr>
        <w:t xml:space="preserve">Figure </w:t>
      </w:r>
      <w:r w:rsidRPr="006F603C">
        <w:rPr>
          <w:rFonts w:asciiTheme="majorHAnsi" w:hAnsiTheme="majorHAnsi"/>
          <w:color w:val="7030A0"/>
        </w:rPr>
        <w:fldChar w:fldCharType="begin"/>
      </w:r>
      <w:r w:rsidRPr="006F603C">
        <w:rPr>
          <w:rFonts w:asciiTheme="majorHAnsi" w:hAnsiTheme="majorHAnsi"/>
          <w:color w:val="7030A0"/>
        </w:rPr>
        <w:instrText xml:space="preserve"> SEQ Figure \* ARABIC </w:instrText>
      </w:r>
      <w:r w:rsidRPr="006F603C">
        <w:rPr>
          <w:rFonts w:asciiTheme="majorHAnsi" w:hAnsiTheme="majorHAnsi"/>
          <w:color w:val="7030A0"/>
        </w:rPr>
        <w:fldChar w:fldCharType="separate"/>
      </w:r>
      <w:r w:rsidR="008272DB">
        <w:rPr>
          <w:rFonts w:asciiTheme="majorHAnsi" w:hAnsiTheme="majorHAnsi"/>
          <w:noProof/>
          <w:color w:val="7030A0"/>
        </w:rPr>
        <w:t>17</w:t>
      </w:r>
      <w:r w:rsidRPr="006F603C">
        <w:rPr>
          <w:rFonts w:asciiTheme="majorHAnsi" w:hAnsiTheme="majorHAnsi"/>
          <w:color w:val="7030A0"/>
        </w:rPr>
        <w:fldChar w:fldCharType="end"/>
      </w:r>
      <w:bookmarkEnd w:id="106"/>
      <w:r w:rsidRPr="006F603C">
        <w:rPr>
          <w:rFonts w:asciiTheme="majorHAnsi" w:hAnsiTheme="majorHAnsi"/>
          <w:color w:val="7030A0"/>
        </w:rPr>
        <w:t>: Distribution center on customer side.</w:t>
      </w:r>
      <w:bookmarkEnd w:id="107"/>
    </w:p>
    <w:p w14:paraId="3BF26807" w14:textId="6567409B" w:rsidR="00E85A78" w:rsidRPr="006F603C" w:rsidRDefault="00E85A78" w:rsidP="00E85A78">
      <w:pPr>
        <w:rPr>
          <w:rFonts w:asciiTheme="majorHAnsi" w:hAnsiTheme="majorHAnsi"/>
          <w:color w:val="7030A0"/>
        </w:rPr>
      </w:pPr>
      <w:r w:rsidRPr="006F603C">
        <w:rPr>
          <w:rFonts w:asciiTheme="majorHAnsi" w:hAnsiTheme="majorHAnsi"/>
          <w:color w:val="7030A0"/>
        </w:rPr>
        <w:t>Regardless of whether transportation emissions are quantified by a supplier or a customer, they shall be consolidated within the customers' PCFs.</w:t>
      </w:r>
    </w:p>
    <w:p w14:paraId="16E8DF10" w14:textId="0318A107" w:rsidR="00E85A78" w:rsidRDefault="00E85A78" w:rsidP="00E85A78">
      <w:pPr>
        <w:pStyle w:val="Heading3"/>
      </w:pPr>
      <w:bookmarkStart w:id="108" w:name="_Toc178672694"/>
      <w:r>
        <w:t>Energy Modelling</w:t>
      </w:r>
      <w:bookmarkEnd w:id="108"/>
    </w:p>
    <w:p w14:paraId="6A325C44" w14:textId="509A7586" w:rsidR="00E85A78" w:rsidRDefault="00E85A78">
      <w:pPr>
        <w:pStyle w:val="Heading2"/>
      </w:pPr>
      <w:bookmarkStart w:id="109" w:name="_Toc178672695"/>
      <w:r>
        <w:t>Use Stage</w:t>
      </w:r>
      <w:bookmarkEnd w:id="109"/>
    </w:p>
    <w:p w14:paraId="50DEAF46" w14:textId="29FBAEEC" w:rsidR="00E85A78" w:rsidRDefault="00E85A78">
      <w:pPr>
        <w:pStyle w:val="Heading2"/>
      </w:pPr>
      <w:bookmarkStart w:id="110" w:name="_Toc178672696"/>
      <w:r>
        <w:t>End of Life</w:t>
      </w:r>
      <w:bookmarkEnd w:id="110"/>
    </w:p>
    <w:p w14:paraId="4A0D9C51" w14:textId="6C63442F" w:rsidR="00E85A78" w:rsidRDefault="00E85A78" w:rsidP="00E85A78">
      <w:pPr>
        <w:pStyle w:val="Heading1"/>
      </w:pPr>
      <w:bookmarkStart w:id="111" w:name="_Toc178672697"/>
      <w:r>
        <w:lastRenderedPageBreak/>
        <w:t>Reporting</w:t>
      </w:r>
      <w:bookmarkEnd w:id="111"/>
    </w:p>
    <w:p w14:paraId="0D3E2EC4" w14:textId="7BAC2798" w:rsidR="00E85A78" w:rsidRDefault="00E85A78" w:rsidP="00E85A78">
      <w:pPr>
        <w:pStyle w:val="Heading1"/>
      </w:pPr>
      <w:bookmarkStart w:id="112" w:name="_Toc178672698"/>
      <w:r>
        <w:lastRenderedPageBreak/>
        <w:t>Verification</w:t>
      </w:r>
      <w:bookmarkEnd w:id="112"/>
    </w:p>
    <w:bookmarkEnd w:id="15"/>
    <w:bookmarkEnd w:id="16"/>
    <w:bookmarkEnd w:id="17"/>
    <w:bookmarkEnd w:id="18"/>
    <w:bookmarkEnd w:id="19"/>
    <w:bookmarkEnd w:id="20"/>
    <w:bookmarkEnd w:id="21"/>
    <w:p w14:paraId="555793F9" w14:textId="77777777" w:rsidR="007640EA" w:rsidRPr="006D7C62" w:rsidRDefault="007640EA" w:rsidP="000B4EFA">
      <w:pPr>
        <w:rPr>
          <w:rFonts w:asciiTheme="majorHAnsi" w:hAnsiTheme="majorHAnsi"/>
        </w:rPr>
      </w:pPr>
    </w:p>
    <w:p w14:paraId="4E82092B" w14:textId="61FCDDD9" w:rsidR="00974205" w:rsidRPr="006D7C62" w:rsidRDefault="00974205" w:rsidP="00603D04">
      <w:pPr>
        <w:pStyle w:val="Annex"/>
        <w:rPr>
          <w:rFonts w:asciiTheme="majorHAnsi" w:hAnsiTheme="majorHAnsi" w:hint="eastAsia"/>
          <w:highlight w:val="yellow"/>
        </w:rPr>
      </w:pPr>
      <w:bookmarkStart w:id="113" w:name="_Toc116295238"/>
      <w:bookmarkStart w:id="114" w:name="_Toc115427973"/>
      <w:bookmarkStart w:id="115" w:name="_Toc114183034"/>
      <w:bookmarkStart w:id="116" w:name="_Toc131590936"/>
      <w:bookmarkStart w:id="117" w:name="_Toc1810807142"/>
      <w:bookmarkStart w:id="118" w:name="_Toc1692700761"/>
      <w:bookmarkStart w:id="119" w:name="_Toc167899973"/>
      <w:bookmarkStart w:id="120" w:name="_Toc178672699"/>
      <w:r w:rsidRPr="006D7C62">
        <w:rPr>
          <w:rFonts w:asciiTheme="majorHAnsi" w:hAnsiTheme="majorHAnsi"/>
        </w:rPr>
        <w:lastRenderedPageBreak/>
        <w:t>Annex</w:t>
      </w:r>
      <w:bookmarkEnd w:id="113"/>
      <w:bookmarkEnd w:id="114"/>
      <w:bookmarkEnd w:id="115"/>
      <w:bookmarkEnd w:id="116"/>
      <w:bookmarkEnd w:id="117"/>
      <w:bookmarkEnd w:id="118"/>
      <w:bookmarkEnd w:id="119"/>
      <w:bookmarkEnd w:id="120"/>
    </w:p>
    <w:p w14:paraId="3ABB934A" w14:textId="47288651" w:rsidR="00545C32" w:rsidRPr="006D7C62" w:rsidRDefault="00F555F3" w:rsidP="00F555F3">
      <w:pPr>
        <w:pStyle w:val="AnnexSubchapter"/>
        <w:rPr>
          <w:rFonts w:asciiTheme="majorHAnsi" w:hAnsiTheme="majorHAnsi" w:hint="eastAsia"/>
          <w:lang w:val="en-GB"/>
        </w:rPr>
      </w:pPr>
      <w:bookmarkStart w:id="121" w:name="_Toc245868217"/>
      <w:bookmarkStart w:id="122" w:name="_Toc322690865"/>
      <w:bookmarkStart w:id="123" w:name="_Toc167899974"/>
      <w:bookmarkStart w:id="124" w:name="_Toc178672700"/>
      <w:bookmarkStart w:id="125" w:name="_Toc131590938"/>
      <w:bookmarkStart w:id="126" w:name="_Hlk115430371"/>
      <w:r w:rsidRPr="006D7C62">
        <w:rPr>
          <w:rFonts w:asciiTheme="majorHAnsi" w:hAnsiTheme="majorHAnsi"/>
          <w:lang w:val="en-GB"/>
        </w:rPr>
        <w:t xml:space="preserve">Additional Guidance on </w:t>
      </w:r>
      <w:r w:rsidR="00F856B8" w:rsidRPr="006D7C62">
        <w:rPr>
          <w:rFonts w:asciiTheme="majorHAnsi" w:hAnsiTheme="majorHAnsi"/>
          <w:lang w:val="en-GB"/>
        </w:rPr>
        <w:t xml:space="preserve">Classifying </w:t>
      </w:r>
      <w:r w:rsidRPr="006D7C62">
        <w:rPr>
          <w:rFonts w:asciiTheme="majorHAnsi" w:hAnsiTheme="majorHAnsi"/>
          <w:lang w:val="en-GB"/>
        </w:rPr>
        <w:t>Waste</w:t>
      </w:r>
      <w:r w:rsidR="00F856B8" w:rsidRPr="006D7C62">
        <w:rPr>
          <w:rFonts w:asciiTheme="majorHAnsi" w:hAnsiTheme="majorHAnsi"/>
          <w:lang w:val="en-GB"/>
        </w:rPr>
        <w:t xml:space="preserve"> </w:t>
      </w:r>
      <w:r w:rsidRPr="006D7C62">
        <w:rPr>
          <w:rFonts w:asciiTheme="majorHAnsi" w:hAnsiTheme="majorHAnsi"/>
        </w:rPr>
        <w:t>vs</w:t>
      </w:r>
      <w:r w:rsidRPr="006D7C62">
        <w:rPr>
          <w:rFonts w:asciiTheme="majorHAnsi" w:hAnsiTheme="majorHAnsi"/>
          <w:lang w:val="en-GB"/>
        </w:rPr>
        <w:t xml:space="preserve"> Co-product</w:t>
      </w:r>
      <w:bookmarkEnd w:id="121"/>
      <w:bookmarkEnd w:id="122"/>
      <w:bookmarkEnd w:id="123"/>
      <w:bookmarkEnd w:id="124"/>
      <w:r w:rsidRPr="006D7C62">
        <w:rPr>
          <w:rFonts w:asciiTheme="majorHAnsi" w:hAnsiTheme="majorHAnsi"/>
          <w:lang w:val="en-GB"/>
        </w:rPr>
        <w:t xml:space="preserve"> </w:t>
      </w:r>
    </w:p>
    <w:p w14:paraId="142BC90E" w14:textId="77777777" w:rsidR="00545C32" w:rsidRPr="006D7C62" w:rsidRDefault="00545C32" w:rsidP="00545C32">
      <w:pPr>
        <w:rPr>
          <w:rFonts w:asciiTheme="majorHAnsi" w:hAnsiTheme="majorHAnsi"/>
          <w:lang w:val="en-GB"/>
        </w:rPr>
      </w:pPr>
      <w:r w:rsidRPr="006D7C62">
        <w:rPr>
          <w:rFonts w:asciiTheme="majorHAnsi" w:hAnsiTheme="majorHAnsi"/>
          <w:lang w:val="en-GB"/>
        </w:rPr>
        <w:t>‘Deliberately produced’ means that the manufacturing process directly seeks to produce the material/component, i.e. is the result of a technical choice.</w:t>
      </w:r>
    </w:p>
    <w:p w14:paraId="6ECCD2AF" w14:textId="77777777" w:rsidR="00545C32" w:rsidRPr="006D7C62" w:rsidRDefault="00545C32" w:rsidP="00545C32">
      <w:pPr>
        <w:rPr>
          <w:rFonts w:asciiTheme="majorHAnsi" w:hAnsiTheme="majorHAnsi"/>
          <w:lang w:val="en-GB"/>
        </w:rPr>
      </w:pPr>
      <w:r w:rsidRPr="006D7C62">
        <w:rPr>
          <w:rFonts w:asciiTheme="majorHAnsi" w:hAnsiTheme="majorHAnsi"/>
          <w:lang w:val="en-GB"/>
        </w:rPr>
        <w:t>‘Further use is certain’ means that it is not a mere possibility but a certainty; in other words, it is guaranteed that the material will be used. This criterion may be indicated through, for example:</w:t>
      </w:r>
    </w:p>
    <w:p w14:paraId="42BB710B" w14:textId="790DB0E7" w:rsidR="00545C32" w:rsidRPr="006D7C62" w:rsidRDefault="00545C32" w:rsidP="006C1918">
      <w:pPr>
        <w:pStyle w:val="ListParagraph"/>
        <w:numPr>
          <w:ilvl w:val="0"/>
          <w:numId w:val="19"/>
        </w:numPr>
        <w:spacing w:after="160" w:line="259" w:lineRule="auto"/>
        <w:rPr>
          <w:rFonts w:asciiTheme="majorHAnsi" w:hAnsiTheme="majorHAnsi"/>
          <w:lang w:val="en-GB"/>
        </w:rPr>
      </w:pPr>
      <w:r w:rsidRPr="006D7C62">
        <w:rPr>
          <w:rFonts w:asciiTheme="majorHAnsi" w:hAnsiTheme="majorHAnsi"/>
          <w:lang w:val="en-GB"/>
        </w:rPr>
        <w:t>Existence of contracts between the material producer and subsequent user</w:t>
      </w:r>
    </w:p>
    <w:p w14:paraId="2BEC9B5F" w14:textId="036E7EAF" w:rsidR="00545C32" w:rsidRPr="006D7C62" w:rsidRDefault="00545C32" w:rsidP="006C1918">
      <w:pPr>
        <w:pStyle w:val="ListParagraph"/>
        <w:numPr>
          <w:ilvl w:val="0"/>
          <w:numId w:val="19"/>
        </w:numPr>
        <w:spacing w:after="160" w:line="259" w:lineRule="auto"/>
        <w:rPr>
          <w:rFonts w:asciiTheme="majorHAnsi" w:hAnsiTheme="majorHAnsi"/>
          <w:lang w:val="en-GB"/>
        </w:rPr>
      </w:pPr>
      <w:r w:rsidRPr="006D7C62">
        <w:rPr>
          <w:rFonts w:asciiTheme="majorHAnsi" w:hAnsiTheme="majorHAnsi"/>
          <w:lang w:val="en-GB"/>
        </w:rPr>
        <w:t>A financial gain for the material producer</w:t>
      </w:r>
    </w:p>
    <w:p w14:paraId="2F116653" w14:textId="1DD056D3" w:rsidR="00545C32" w:rsidRPr="006D7C62" w:rsidRDefault="00545C32" w:rsidP="006C1918">
      <w:pPr>
        <w:pStyle w:val="ListParagraph"/>
        <w:numPr>
          <w:ilvl w:val="0"/>
          <w:numId w:val="19"/>
        </w:numPr>
        <w:spacing w:after="160" w:line="259" w:lineRule="auto"/>
        <w:rPr>
          <w:rFonts w:asciiTheme="majorHAnsi" w:hAnsiTheme="majorHAnsi"/>
          <w:lang w:val="en-GB"/>
        </w:rPr>
      </w:pPr>
      <w:r w:rsidRPr="006D7C62">
        <w:rPr>
          <w:rFonts w:asciiTheme="majorHAnsi" w:hAnsiTheme="majorHAnsi"/>
          <w:lang w:val="en-GB"/>
        </w:rPr>
        <w:t>A solid market (sound supply and demand) existing for this further use</w:t>
      </w:r>
    </w:p>
    <w:p w14:paraId="498F5DB0" w14:textId="2550CBFE" w:rsidR="00545C32" w:rsidRPr="006D7C62" w:rsidRDefault="00545C32" w:rsidP="006C1918">
      <w:pPr>
        <w:pStyle w:val="ListParagraph"/>
        <w:numPr>
          <w:ilvl w:val="0"/>
          <w:numId w:val="19"/>
        </w:numPr>
        <w:spacing w:after="160" w:line="259" w:lineRule="auto"/>
        <w:rPr>
          <w:rFonts w:asciiTheme="majorHAnsi" w:hAnsiTheme="majorHAnsi"/>
          <w:lang w:val="en-GB"/>
        </w:rPr>
      </w:pPr>
      <w:r w:rsidRPr="006D7C62">
        <w:rPr>
          <w:rFonts w:asciiTheme="majorHAnsi" w:hAnsiTheme="majorHAnsi"/>
          <w:lang w:val="en-GB"/>
        </w:rPr>
        <w:t>Evidence that the material fulfils the same specifications as other products on the market</w:t>
      </w:r>
    </w:p>
    <w:p w14:paraId="1C09F31E" w14:textId="77777777" w:rsidR="00545C32" w:rsidRPr="006D7C62" w:rsidRDefault="00545C32" w:rsidP="00545C32">
      <w:pPr>
        <w:rPr>
          <w:rFonts w:asciiTheme="majorHAnsi" w:hAnsiTheme="majorHAnsi"/>
          <w:lang w:val="en-GB"/>
        </w:rPr>
      </w:pPr>
      <w:r w:rsidRPr="006D7C62">
        <w:rPr>
          <w:rFonts w:asciiTheme="majorHAnsi" w:hAnsiTheme="majorHAnsi"/>
          <w:lang w:val="en-GB"/>
        </w:rPr>
        <w:t>‘Used directly without any further processing other than normal industrial practice’ means that if a production residue has to be treated before it can be used, this may indicate a waste treatment operation. Those treatment techniques that address typical waste-related characteristics of the production residue, such as its contamination with components which are hazardous or not useful, would prevent classification as non-waste.</w:t>
      </w:r>
      <w:r w:rsidRPr="006D7C62">
        <w:rPr>
          <w:rFonts w:asciiTheme="majorHAnsi" w:hAnsiTheme="majorHAnsi"/>
        </w:rPr>
        <w:t xml:space="preserve"> </w:t>
      </w:r>
      <w:r w:rsidRPr="006D7C62">
        <w:rPr>
          <w:rFonts w:asciiTheme="majorHAnsi" w:hAnsiTheme="majorHAnsi"/>
          <w:lang w:val="en-GB"/>
        </w:rPr>
        <w:t>On the other hand, a treatment which is normal industrial practice, e.g. modification of size or shape by mechanical treatment, does not prevent the production residue from being regarded as a by-product.</w:t>
      </w:r>
    </w:p>
    <w:p w14:paraId="44C098FE" w14:textId="77777777" w:rsidR="00545C32" w:rsidRPr="006D7C62" w:rsidRDefault="00545C32" w:rsidP="00545C32">
      <w:pPr>
        <w:rPr>
          <w:rFonts w:asciiTheme="majorHAnsi" w:hAnsiTheme="majorHAnsi"/>
          <w:lang w:val="en-GB"/>
        </w:rPr>
      </w:pPr>
      <w:r w:rsidRPr="006D7C62">
        <w:rPr>
          <w:rFonts w:asciiTheme="majorHAnsi" w:hAnsiTheme="majorHAnsi"/>
          <w:lang w:val="en-GB"/>
        </w:rPr>
        <w:t>‘Normal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Recovery operations are divided into three sub-categories: preparing for re-use, recycling, and other recovery.</w:t>
      </w:r>
    </w:p>
    <w:p w14:paraId="2BBA32F9" w14:textId="382E9C4C" w:rsidR="00545C32" w:rsidRPr="006D7C62" w:rsidRDefault="00545C32" w:rsidP="00545C32">
      <w:pPr>
        <w:rPr>
          <w:rFonts w:asciiTheme="majorHAnsi" w:hAnsiTheme="majorHAnsi"/>
        </w:rPr>
      </w:pPr>
      <w:r w:rsidRPr="006D7C62">
        <w:rPr>
          <w:rFonts w:asciiTheme="majorHAnsi" w:hAnsiTheme="majorHAnsi"/>
        </w:rPr>
        <w:t>‘Produced as an integral part of a production process’ means that the process where the co-product is generated has to be an integral part of a production process. Therefore</w:t>
      </w:r>
      <w:r w:rsidR="00E7546D">
        <w:rPr>
          <w:rFonts w:asciiTheme="majorHAnsi" w:hAnsiTheme="majorHAnsi"/>
        </w:rPr>
        <w:t>,</w:t>
      </w:r>
      <w:r w:rsidRPr="006D7C62">
        <w:rPr>
          <w:rFonts w:asciiTheme="majorHAnsi" w:hAnsiTheme="majorHAnsi"/>
        </w:rPr>
        <w:t xml:space="preserve"> a material, which is made ready for further use through an integral part of a production process, can be regarded as a co-product. If a material leaves the site or factory where it is produced in order to undergo further processing, this may be evidence that such tasks are no longer part of the same production process, thus disqualifying it as a co-product.</w:t>
      </w:r>
    </w:p>
    <w:p w14:paraId="2142471C" w14:textId="77777777" w:rsidR="00545C32" w:rsidRPr="006D7C62" w:rsidRDefault="00545C32" w:rsidP="00545C32">
      <w:pPr>
        <w:rPr>
          <w:rFonts w:asciiTheme="majorHAnsi" w:hAnsiTheme="majorHAnsi"/>
        </w:rPr>
      </w:pPr>
      <w:r w:rsidRPr="006D7C62">
        <w:rPr>
          <w:rFonts w:asciiTheme="majorHAnsi" w:hAnsiTheme="majorHAnsi"/>
        </w:rPr>
        <w:t>‘Further use is lawful‘ means that the further use of the material must be lawful, i.e. the substance or object fulfils all relevant product, environmental and health protection requirements at the national level for the specific use and will not lead to overall adverse environmental or human health impacts.</w:t>
      </w:r>
    </w:p>
    <w:p w14:paraId="06AED00C" w14:textId="77777777" w:rsidR="00545C32" w:rsidRPr="006D7C62" w:rsidRDefault="00545C32" w:rsidP="00545C32">
      <w:pPr>
        <w:rPr>
          <w:rFonts w:asciiTheme="majorHAnsi" w:hAnsiTheme="majorHAnsi"/>
          <w:color w:val="A21512" w:themeColor="accent6" w:themeShade="BF"/>
          <w:lang w:val="en-GB"/>
        </w:rPr>
      </w:pPr>
    </w:p>
    <w:p w14:paraId="77E1F5F1" w14:textId="72C42AA4" w:rsidR="005608B8" w:rsidRPr="006D7C62" w:rsidRDefault="00545C32" w:rsidP="00545C32">
      <w:pPr>
        <w:rPr>
          <w:rFonts w:asciiTheme="majorHAnsi" w:hAnsiTheme="majorHAnsi"/>
          <w:lang w:val="en-GB"/>
        </w:rPr>
      </w:pPr>
      <w:r w:rsidRPr="006D7C62">
        <w:rPr>
          <w:rFonts w:asciiTheme="majorHAnsi" w:hAnsiTheme="majorHAnsi"/>
          <w:lang w:val="en-GB"/>
        </w:rPr>
        <w:t>Source for Annex: European Commission (2012): Guidance on the interpretation of key provisions of Directive 2008/98/EC on waste.</w:t>
      </w:r>
      <w:r w:rsidR="00D21B93">
        <w:rPr>
          <w:rStyle w:val="FootnoteReference"/>
          <w:lang w:val="en-GB"/>
        </w:rPr>
        <w:footnoteReference w:id="6"/>
      </w:r>
      <w:bookmarkEnd w:id="125"/>
      <w:bookmarkEnd w:id="126"/>
    </w:p>
    <w:sectPr w:rsidR="005608B8" w:rsidRPr="006D7C62" w:rsidSect="005629B0">
      <w:headerReference w:type="first" r:id="rId43"/>
      <w:pgSz w:w="11906" w:h="16838"/>
      <w:pgMar w:top="1417" w:right="1417" w:bottom="1134" w:left="1417" w:header="708" w:footer="34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91" w:author="Autor" w:initials="A">
    <w:p w14:paraId="4C5256F8" w14:textId="77777777" w:rsidR="00267C18" w:rsidRDefault="00267C18" w:rsidP="00267C18">
      <w:pPr>
        <w:pStyle w:val="CommentText"/>
        <w:jc w:val="left"/>
      </w:pPr>
      <w:r>
        <w:rPr>
          <w:rStyle w:val="CommentReference"/>
        </w:rPr>
        <w:annotationRef/>
      </w:r>
      <w:r>
        <w:rPr>
          <w:lang w:val="de-DE"/>
        </w:rPr>
        <w:t>Need to define thresholds?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C5256F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C5256F8" w16cid:durableId="2A9E710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E8FEF9" w14:textId="77777777" w:rsidR="006B64FA" w:rsidRDefault="006B64FA" w:rsidP="003E61CB">
      <w:r>
        <w:separator/>
      </w:r>
    </w:p>
    <w:p w14:paraId="7D8A862C" w14:textId="77777777" w:rsidR="006B64FA" w:rsidRDefault="006B64FA"/>
    <w:p w14:paraId="464A3F85" w14:textId="77777777" w:rsidR="006B64FA" w:rsidRDefault="006B64FA"/>
    <w:p w14:paraId="29739CC5" w14:textId="77777777" w:rsidR="006B64FA" w:rsidRDefault="006B64FA"/>
  </w:endnote>
  <w:endnote w:type="continuationSeparator" w:id="0">
    <w:p w14:paraId="0D0B0C47" w14:textId="77777777" w:rsidR="006B64FA" w:rsidRDefault="006B64FA" w:rsidP="003E61CB">
      <w:r>
        <w:continuationSeparator/>
      </w:r>
    </w:p>
    <w:p w14:paraId="7BE2AC72" w14:textId="77777777" w:rsidR="006B64FA" w:rsidRDefault="006B64FA"/>
    <w:p w14:paraId="41FE9B82" w14:textId="77777777" w:rsidR="006B64FA" w:rsidRDefault="006B64FA"/>
    <w:p w14:paraId="5FA09B13" w14:textId="77777777" w:rsidR="006B64FA" w:rsidRDefault="006B64FA"/>
  </w:endnote>
  <w:endnote w:type="continuationNotice" w:id="1">
    <w:p w14:paraId="10C34858" w14:textId="77777777" w:rsidR="006B64FA" w:rsidRDefault="006B64FA">
      <w:pPr>
        <w:spacing w:after="0"/>
      </w:pPr>
    </w:p>
    <w:p w14:paraId="2EBB1F9A" w14:textId="77777777" w:rsidR="006B64FA" w:rsidRDefault="006B64FA"/>
    <w:p w14:paraId="5BB8234C" w14:textId="77777777" w:rsidR="006B64FA" w:rsidRDefault="006B64FA"/>
    <w:p w14:paraId="422EF7F8" w14:textId="77777777" w:rsidR="006B64FA" w:rsidRDefault="006B64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rope Light">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anrope SemiBold">
    <w:altName w:val="Calibri"/>
    <w:charset w:val="00"/>
    <w:family w:val="auto"/>
    <w:pitch w:val="variable"/>
    <w:sig w:usb0="A00002BF" w:usb1="5000206B"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ibre Franklin">
    <w:charset w:val="00"/>
    <w:family w:val="auto"/>
    <w:pitch w:val="variable"/>
    <w:sig w:usb0="A00000FF" w:usb1="4000205B" w:usb2="00000000" w:usb3="00000000" w:csb0="00000193"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F8E100" w14:textId="77777777" w:rsidR="006B64FA" w:rsidRDefault="006B64FA" w:rsidP="003E61CB">
      <w:bookmarkStart w:id="0" w:name="_Hlk90904733"/>
      <w:bookmarkEnd w:id="0"/>
      <w:r>
        <w:separator/>
      </w:r>
    </w:p>
  </w:footnote>
  <w:footnote w:type="continuationSeparator" w:id="0">
    <w:p w14:paraId="2D8BED3A" w14:textId="77777777" w:rsidR="006B64FA" w:rsidRDefault="006B64FA" w:rsidP="003E61CB">
      <w:r>
        <w:continuationSeparator/>
      </w:r>
    </w:p>
    <w:p w14:paraId="6C189765" w14:textId="77777777" w:rsidR="006B64FA" w:rsidRDefault="006B64FA"/>
    <w:p w14:paraId="0674E8EB" w14:textId="77777777" w:rsidR="006B64FA" w:rsidRDefault="006B64FA"/>
    <w:p w14:paraId="4E183026" w14:textId="77777777" w:rsidR="006B64FA" w:rsidRDefault="006B64FA"/>
  </w:footnote>
  <w:footnote w:type="continuationNotice" w:id="1">
    <w:p w14:paraId="2F5ECA31" w14:textId="77777777" w:rsidR="006B64FA" w:rsidRDefault="006B64FA">
      <w:pPr>
        <w:spacing w:after="0"/>
      </w:pPr>
    </w:p>
    <w:p w14:paraId="627F7A89" w14:textId="77777777" w:rsidR="006B64FA" w:rsidRDefault="006B64FA"/>
    <w:p w14:paraId="4F8CD793" w14:textId="77777777" w:rsidR="006B64FA" w:rsidRDefault="006B64FA"/>
    <w:p w14:paraId="6936FB44" w14:textId="77777777" w:rsidR="006B64FA" w:rsidRDefault="006B64FA"/>
  </w:footnote>
  <w:footnote w:id="2">
    <w:p w14:paraId="5446A254" w14:textId="77777777" w:rsidR="005600AE" w:rsidRPr="00893EDB" w:rsidRDefault="005600AE" w:rsidP="005600AE">
      <w:pPr>
        <w:pStyle w:val="FootnoteText"/>
        <w:rPr>
          <w:lang w:val="de-DE"/>
        </w:rPr>
      </w:pPr>
      <w:r>
        <w:rPr>
          <w:rStyle w:val="FootnoteReference"/>
        </w:rPr>
        <w:footnoteRef/>
      </w:r>
      <w:r w:rsidRPr="00D56035">
        <w:rPr>
          <w:lang w:val="de-DE"/>
        </w:rPr>
        <w:t xml:space="preserve"> </w:t>
      </w:r>
      <w:r w:rsidRPr="00893EDB">
        <w:rPr>
          <w:lang w:val="de-DE"/>
        </w:rPr>
        <w:t>https://www.ipcc.ch/report/ar6/wg1/downloads/report/IPCC_AR6_WGI_Chapter07.pdf</w:t>
      </w:r>
    </w:p>
  </w:footnote>
  <w:footnote w:id="3">
    <w:p w14:paraId="34CE5692" w14:textId="77777777" w:rsidR="005600AE" w:rsidRPr="00893EDB" w:rsidRDefault="005600AE" w:rsidP="005600AE">
      <w:pPr>
        <w:pStyle w:val="FootnoteText"/>
        <w:rPr>
          <w:lang w:val="de-DE"/>
        </w:rPr>
      </w:pPr>
      <w:r w:rsidRPr="00F42F93">
        <w:rPr>
          <w:rStyle w:val="FootnoteReference"/>
        </w:rPr>
        <w:footnoteRef/>
      </w:r>
      <w:r w:rsidRPr="00893EDB">
        <w:rPr>
          <w:lang w:val="de-DE"/>
        </w:rPr>
        <w:t xml:space="preserve"> https://www.ipcc.ch/report/ar6/wg1/downloads/report/IPCC_AR6_WGI_</w:t>
      </w:r>
      <w:r w:rsidRPr="00B72122">
        <w:rPr>
          <w:lang w:val="de-DE"/>
        </w:rPr>
        <w:t>Chapter07_SM</w:t>
      </w:r>
      <w:r w:rsidRPr="00893EDB">
        <w:rPr>
          <w:lang w:val="de-DE"/>
        </w:rPr>
        <w:t>.pdf</w:t>
      </w:r>
    </w:p>
  </w:footnote>
  <w:footnote w:id="4">
    <w:p w14:paraId="509AB44C" w14:textId="77777777" w:rsidR="008327D7" w:rsidRPr="00E55050" w:rsidRDefault="008327D7" w:rsidP="008327D7">
      <w:pPr>
        <w:pStyle w:val="FootnoteText"/>
        <w:rPr>
          <w:rStyle w:val="LinkZchn"/>
        </w:rPr>
      </w:pPr>
      <w:r w:rsidRPr="006923DD">
        <w:rPr>
          <w:rStyle w:val="FootnoteReference"/>
        </w:rPr>
        <w:footnoteRef/>
      </w:r>
      <w:r w:rsidRPr="006C07B3">
        <w:t xml:space="preserve"> </w:t>
      </w:r>
      <w:r w:rsidRPr="00E55050">
        <w:t>Available</w:t>
      </w:r>
      <w:r w:rsidRPr="006C07B3">
        <w:t xml:space="preserve"> at</w:t>
      </w:r>
      <w:r>
        <w:t xml:space="preserve"> </w:t>
      </w:r>
      <w:r w:rsidRPr="009D42D8">
        <w:rPr>
          <w:color w:val="auto"/>
        </w:rPr>
        <w:t>https://www.aib-net.org/facts/european-residual-mix</w:t>
      </w:r>
      <w:r w:rsidRPr="006C07B3">
        <w:t xml:space="preserve"> </w:t>
      </w:r>
    </w:p>
  </w:footnote>
  <w:footnote w:id="5">
    <w:p w14:paraId="3E93CC37" w14:textId="77777777" w:rsidR="008327D7" w:rsidRPr="00893EDB" w:rsidRDefault="008327D7" w:rsidP="008327D7">
      <w:pPr>
        <w:pStyle w:val="FootnoteText"/>
        <w:rPr>
          <w:lang w:val="fr-FR"/>
        </w:rPr>
      </w:pPr>
      <w:r>
        <w:rPr>
          <w:rStyle w:val="FootnoteReference"/>
        </w:rPr>
        <w:footnoteRef/>
      </w:r>
      <w:r w:rsidRPr="00D56035">
        <w:rPr>
          <w:lang w:val="fr-FR"/>
        </w:rPr>
        <w:t xml:space="preserve"> </w:t>
      </w:r>
      <w:r w:rsidRPr="00893EDB">
        <w:rPr>
          <w:lang w:val="fr-FR"/>
        </w:rPr>
        <w:t>Source: https//ellenmacarthurfoundation.org/white-papers-and-articles</w:t>
      </w:r>
    </w:p>
  </w:footnote>
  <w:footnote w:id="6">
    <w:p w14:paraId="6AA4B9C1" w14:textId="5197C424" w:rsidR="00D21B93" w:rsidRPr="00A7554F" w:rsidRDefault="00D21B93">
      <w:pPr>
        <w:pStyle w:val="FootnoteText"/>
        <w:rPr>
          <w:lang w:val="fr-FR"/>
        </w:rPr>
      </w:pPr>
      <w:r>
        <w:rPr>
          <w:rStyle w:val="FootnoteReference"/>
        </w:rPr>
        <w:footnoteRef/>
      </w:r>
      <w:r w:rsidRPr="00A7554F">
        <w:rPr>
          <w:lang w:val="fr-FR"/>
        </w:rPr>
        <w:t xml:space="preserve"> </w:t>
      </w:r>
      <w:hyperlink r:id="rId1" w:history="1">
        <w:r w:rsidR="00EE045A" w:rsidRPr="00A7554F">
          <w:rPr>
            <w:rStyle w:val="Hyperlink"/>
            <w:rFonts w:asciiTheme="majorHAnsi" w:hAnsiTheme="majorHAnsi"/>
            <w:lang w:val="fr-FR"/>
          </w:rPr>
          <w:t>https://ens.dk/sites/ens.dk/files/Affald/guidance_on_the_interpretation_of_key_provisions_on_waste.pdf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FDD0D7" w14:textId="77777777" w:rsidR="000C01F5" w:rsidRDefault="000C01F5"/>
  <w:p w14:paraId="6B41C9BB" w14:textId="77777777" w:rsidR="000C01F5" w:rsidRDefault="000C01F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8834BB6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48EE2CBA"/>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16C08E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8E8ACE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C7448D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F309E7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B789BA8"/>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6881C6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7F0023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17A0AB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00486F"/>
    <w:multiLevelType w:val="hybridMultilevel"/>
    <w:tmpl w:val="D7100D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59C5BAA"/>
    <w:multiLevelType w:val="hybridMultilevel"/>
    <w:tmpl w:val="BCA45C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737702C"/>
    <w:multiLevelType w:val="multilevel"/>
    <w:tmpl w:val="D4B8452C"/>
    <w:lvl w:ilvl="0">
      <w:start w:val="1"/>
      <w:numFmt w:val="decimal"/>
      <w:suff w:val="space"/>
      <w:lvlText w:val="%1."/>
      <w:lvlJc w:val="left"/>
      <w:pPr>
        <w:ind w:left="0" w:firstLine="0"/>
      </w:pPr>
      <w:rPr>
        <w:rFonts w:hint="default"/>
      </w:rPr>
    </w:lvl>
    <w:lvl w:ilvl="1">
      <w:start w:val="1"/>
      <w:numFmt w:val="decimal"/>
      <w:pStyle w:val="AnnexSubchapter"/>
      <w:suff w:val="space"/>
      <w:lvlText w:val="A %2."/>
      <w:lvlJc w:val="left"/>
      <w:pPr>
        <w:ind w:left="0" w:firstLine="0"/>
      </w:pPr>
      <w:rPr>
        <w:rFonts w:ascii="Calibri" w:hAnsi="Calibri" w:cs="Calibri" w:hint="default"/>
        <w:color w:val="046B99" w:themeColor="accent5"/>
        <w:sz w:val="24"/>
        <w:szCs w:val="24"/>
      </w:rPr>
    </w:lvl>
    <w:lvl w:ilvl="2">
      <w:start w:val="1"/>
      <w:numFmt w:val="decimal"/>
      <w:suff w:val="space"/>
      <w:lvlText w:val="%1.%2.%3"/>
      <w:lvlJc w:val="left"/>
      <w:pPr>
        <w:ind w:left="0" w:firstLine="0"/>
      </w:pPr>
      <w:rPr>
        <w:rFonts w:hint="default"/>
        <w:color w:val="FFA600" w:themeColor="accent1"/>
      </w:rPr>
    </w:lvl>
    <w:lvl w:ilvl="3">
      <w:start w:val="1"/>
      <w:numFmt w:val="decimal"/>
      <w:suff w:val="space"/>
      <w:lvlText w:val="%1.%2.%3.%4"/>
      <w:lvlJc w:val="left"/>
      <w:pPr>
        <w:ind w:left="567" w:firstLine="0"/>
      </w:pPr>
      <w:rPr>
        <w:rFonts w:hint="default"/>
        <w:color w:val="FFA600" w:themeColor="accent1"/>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 w15:restartNumberingAfterBreak="0">
    <w:nsid w:val="0FE91C97"/>
    <w:multiLevelType w:val="hybridMultilevel"/>
    <w:tmpl w:val="087E30FC"/>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35E2184"/>
    <w:multiLevelType w:val="hybridMultilevel"/>
    <w:tmpl w:val="032CECFE"/>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15" w15:restartNumberingAfterBreak="0">
    <w:nsid w:val="20674773"/>
    <w:multiLevelType w:val="hybridMultilevel"/>
    <w:tmpl w:val="9796D3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2854DA4"/>
    <w:multiLevelType w:val="hybridMultilevel"/>
    <w:tmpl w:val="9618AA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42C4BBD"/>
    <w:multiLevelType w:val="hybridMultilevel"/>
    <w:tmpl w:val="889E757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5B6450D"/>
    <w:multiLevelType w:val="hybridMultilevel"/>
    <w:tmpl w:val="9EE68962"/>
    <w:lvl w:ilvl="0" w:tplc="0407000F">
      <w:start w:val="1"/>
      <w:numFmt w:val="decimal"/>
      <w:lvlText w:val="%1."/>
      <w:lvlJc w:val="left"/>
      <w:pPr>
        <w:ind w:left="15312" w:hanging="360"/>
      </w:pPr>
    </w:lvl>
    <w:lvl w:ilvl="1" w:tplc="04070019" w:tentative="1">
      <w:start w:val="1"/>
      <w:numFmt w:val="lowerLetter"/>
      <w:lvlText w:val="%2."/>
      <w:lvlJc w:val="left"/>
      <w:pPr>
        <w:ind w:left="16032" w:hanging="360"/>
      </w:pPr>
    </w:lvl>
    <w:lvl w:ilvl="2" w:tplc="0407001B" w:tentative="1">
      <w:start w:val="1"/>
      <w:numFmt w:val="lowerRoman"/>
      <w:lvlText w:val="%3."/>
      <w:lvlJc w:val="right"/>
      <w:pPr>
        <w:ind w:left="16752" w:hanging="180"/>
      </w:pPr>
    </w:lvl>
    <w:lvl w:ilvl="3" w:tplc="0407000F" w:tentative="1">
      <w:start w:val="1"/>
      <w:numFmt w:val="decimal"/>
      <w:lvlText w:val="%4."/>
      <w:lvlJc w:val="left"/>
      <w:pPr>
        <w:ind w:left="17472" w:hanging="360"/>
      </w:pPr>
    </w:lvl>
    <w:lvl w:ilvl="4" w:tplc="04070019" w:tentative="1">
      <w:start w:val="1"/>
      <w:numFmt w:val="lowerLetter"/>
      <w:lvlText w:val="%5."/>
      <w:lvlJc w:val="left"/>
      <w:pPr>
        <w:ind w:left="18192" w:hanging="360"/>
      </w:pPr>
    </w:lvl>
    <w:lvl w:ilvl="5" w:tplc="0407001B" w:tentative="1">
      <w:start w:val="1"/>
      <w:numFmt w:val="lowerRoman"/>
      <w:lvlText w:val="%6."/>
      <w:lvlJc w:val="right"/>
      <w:pPr>
        <w:ind w:left="18912" w:hanging="180"/>
      </w:pPr>
    </w:lvl>
    <w:lvl w:ilvl="6" w:tplc="0407000F" w:tentative="1">
      <w:start w:val="1"/>
      <w:numFmt w:val="decimal"/>
      <w:lvlText w:val="%7."/>
      <w:lvlJc w:val="left"/>
      <w:pPr>
        <w:ind w:left="19632" w:hanging="360"/>
      </w:pPr>
    </w:lvl>
    <w:lvl w:ilvl="7" w:tplc="04070019" w:tentative="1">
      <w:start w:val="1"/>
      <w:numFmt w:val="lowerLetter"/>
      <w:lvlText w:val="%8."/>
      <w:lvlJc w:val="left"/>
      <w:pPr>
        <w:ind w:left="20352" w:hanging="360"/>
      </w:pPr>
    </w:lvl>
    <w:lvl w:ilvl="8" w:tplc="0407001B" w:tentative="1">
      <w:start w:val="1"/>
      <w:numFmt w:val="lowerRoman"/>
      <w:lvlText w:val="%9."/>
      <w:lvlJc w:val="right"/>
      <w:pPr>
        <w:ind w:left="21072" w:hanging="180"/>
      </w:pPr>
    </w:lvl>
  </w:abstractNum>
  <w:abstractNum w:abstractNumId="19" w15:restartNumberingAfterBreak="0">
    <w:nsid w:val="387E70D6"/>
    <w:multiLevelType w:val="hybridMultilevel"/>
    <w:tmpl w:val="D69A72BA"/>
    <w:lvl w:ilvl="0" w:tplc="264EE92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83878E"/>
    <w:multiLevelType w:val="hybridMultilevel"/>
    <w:tmpl w:val="5E72B1D2"/>
    <w:lvl w:ilvl="0" w:tplc="43D0F746">
      <w:start w:val="1"/>
      <w:numFmt w:val="bullet"/>
      <w:lvlText w:val="·"/>
      <w:lvlJc w:val="left"/>
      <w:pPr>
        <w:ind w:left="720" w:hanging="360"/>
      </w:pPr>
      <w:rPr>
        <w:rFonts w:ascii="Symbol" w:hAnsi="Symbol" w:hint="default"/>
      </w:rPr>
    </w:lvl>
    <w:lvl w:ilvl="1" w:tplc="D64E0FFC">
      <w:start w:val="1"/>
      <w:numFmt w:val="bullet"/>
      <w:lvlText w:val="o"/>
      <w:lvlJc w:val="left"/>
      <w:pPr>
        <w:ind w:left="1440" w:hanging="360"/>
      </w:pPr>
      <w:rPr>
        <w:rFonts w:ascii="Courier New" w:hAnsi="Courier New" w:hint="default"/>
      </w:rPr>
    </w:lvl>
    <w:lvl w:ilvl="2" w:tplc="A04058D0">
      <w:start w:val="1"/>
      <w:numFmt w:val="bullet"/>
      <w:lvlText w:val=""/>
      <w:lvlJc w:val="left"/>
      <w:pPr>
        <w:ind w:left="2160" w:hanging="360"/>
      </w:pPr>
      <w:rPr>
        <w:rFonts w:ascii="Wingdings" w:hAnsi="Wingdings" w:hint="default"/>
      </w:rPr>
    </w:lvl>
    <w:lvl w:ilvl="3" w:tplc="7FBE10B2">
      <w:start w:val="1"/>
      <w:numFmt w:val="bullet"/>
      <w:lvlText w:val=""/>
      <w:lvlJc w:val="left"/>
      <w:pPr>
        <w:ind w:left="2880" w:hanging="360"/>
      </w:pPr>
      <w:rPr>
        <w:rFonts w:ascii="Symbol" w:hAnsi="Symbol" w:hint="default"/>
      </w:rPr>
    </w:lvl>
    <w:lvl w:ilvl="4" w:tplc="FBF45CEA">
      <w:start w:val="1"/>
      <w:numFmt w:val="bullet"/>
      <w:lvlText w:val="o"/>
      <w:lvlJc w:val="left"/>
      <w:pPr>
        <w:ind w:left="3600" w:hanging="360"/>
      </w:pPr>
      <w:rPr>
        <w:rFonts w:ascii="Courier New" w:hAnsi="Courier New" w:hint="default"/>
      </w:rPr>
    </w:lvl>
    <w:lvl w:ilvl="5" w:tplc="0CB276B0">
      <w:start w:val="1"/>
      <w:numFmt w:val="bullet"/>
      <w:lvlText w:val=""/>
      <w:lvlJc w:val="left"/>
      <w:pPr>
        <w:ind w:left="4320" w:hanging="360"/>
      </w:pPr>
      <w:rPr>
        <w:rFonts w:ascii="Wingdings" w:hAnsi="Wingdings" w:hint="default"/>
      </w:rPr>
    </w:lvl>
    <w:lvl w:ilvl="6" w:tplc="B68247A0">
      <w:start w:val="1"/>
      <w:numFmt w:val="bullet"/>
      <w:lvlText w:val=""/>
      <w:lvlJc w:val="left"/>
      <w:pPr>
        <w:ind w:left="5040" w:hanging="360"/>
      </w:pPr>
      <w:rPr>
        <w:rFonts w:ascii="Symbol" w:hAnsi="Symbol" w:hint="default"/>
      </w:rPr>
    </w:lvl>
    <w:lvl w:ilvl="7" w:tplc="1908C63A">
      <w:start w:val="1"/>
      <w:numFmt w:val="bullet"/>
      <w:lvlText w:val="o"/>
      <w:lvlJc w:val="left"/>
      <w:pPr>
        <w:ind w:left="5760" w:hanging="360"/>
      </w:pPr>
      <w:rPr>
        <w:rFonts w:ascii="Courier New" w:hAnsi="Courier New" w:hint="default"/>
      </w:rPr>
    </w:lvl>
    <w:lvl w:ilvl="8" w:tplc="3A22A2E2">
      <w:start w:val="1"/>
      <w:numFmt w:val="bullet"/>
      <w:lvlText w:val=""/>
      <w:lvlJc w:val="left"/>
      <w:pPr>
        <w:ind w:left="6480" w:hanging="360"/>
      </w:pPr>
      <w:rPr>
        <w:rFonts w:ascii="Wingdings" w:hAnsi="Wingdings" w:hint="default"/>
      </w:rPr>
    </w:lvl>
  </w:abstractNum>
  <w:abstractNum w:abstractNumId="21" w15:restartNumberingAfterBreak="0">
    <w:nsid w:val="3B7C45EC"/>
    <w:multiLevelType w:val="hybridMultilevel"/>
    <w:tmpl w:val="91469EF0"/>
    <w:lvl w:ilvl="0" w:tplc="274CE6DC">
      <w:start w:val="1"/>
      <w:numFmt w:val="decimal"/>
      <w:pStyle w:val="Nummerierung"/>
      <w:lvlText w:val="%1."/>
      <w:lvlJc w:val="left"/>
      <w:pPr>
        <w:ind w:left="644"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2" w15:restartNumberingAfterBreak="0">
    <w:nsid w:val="3DEE2126"/>
    <w:multiLevelType w:val="hybridMultilevel"/>
    <w:tmpl w:val="ECE24F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3F3D3C6B"/>
    <w:multiLevelType w:val="hybridMultilevel"/>
    <w:tmpl w:val="113804C8"/>
    <w:lvl w:ilvl="0" w:tplc="13A0420C">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41B20B5B"/>
    <w:multiLevelType w:val="hybridMultilevel"/>
    <w:tmpl w:val="37C85ED8"/>
    <w:lvl w:ilvl="0" w:tplc="04090009">
      <w:start w:val="1"/>
      <w:numFmt w:val="bullet"/>
      <w:lvlText w:val=""/>
      <w:lvlJc w:val="left"/>
      <w:pPr>
        <w:ind w:left="880" w:hanging="440"/>
      </w:pPr>
      <w:rPr>
        <w:rFonts w:ascii="Wingdings" w:hAnsi="Wingdings" w:hint="default"/>
      </w:rPr>
    </w:lvl>
    <w:lvl w:ilvl="1" w:tplc="04090003">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5" w15:restartNumberingAfterBreak="0">
    <w:nsid w:val="44B060C3"/>
    <w:multiLevelType w:val="hybridMultilevel"/>
    <w:tmpl w:val="AE30061C"/>
    <w:lvl w:ilvl="0" w:tplc="0409000B">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26" w15:restartNumberingAfterBreak="0">
    <w:nsid w:val="488278FB"/>
    <w:multiLevelType w:val="hybridMultilevel"/>
    <w:tmpl w:val="074411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91A2E14"/>
    <w:multiLevelType w:val="hybridMultilevel"/>
    <w:tmpl w:val="DA6026E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4CC73414"/>
    <w:multiLevelType w:val="hybridMultilevel"/>
    <w:tmpl w:val="3F36554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5A1636BF"/>
    <w:multiLevelType w:val="multilevel"/>
    <w:tmpl w:val="C996138A"/>
    <w:lvl w:ilvl="0">
      <w:start w:val="1"/>
      <w:numFmt w:val="decimal"/>
      <w:pStyle w:val="Heading1"/>
      <w:suff w:val="space"/>
      <w:lvlText w:val="%1."/>
      <w:lvlJc w:val="left"/>
      <w:pPr>
        <w:ind w:left="0" w:firstLine="0"/>
      </w:pPr>
      <w:rPr>
        <w:rFonts w:hint="default"/>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1844"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pStyle w:val="Heading9"/>
      <w:suff w:val="space"/>
      <w:lvlText w:val="%1.%2.%3.%4.%5.%6.%7.%8.%9"/>
      <w:lvlJc w:val="left"/>
      <w:pPr>
        <w:ind w:left="0" w:firstLine="0"/>
      </w:pPr>
      <w:rPr>
        <w:rFonts w:hint="default"/>
      </w:rPr>
    </w:lvl>
  </w:abstractNum>
  <w:abstractNum w:abstractNumId="30" w15:restartNumberingAfterBreak="0">
    <w:nsid w:val="5FAA4AD3"/>
    <w:multiLevelType w:val="hybridMultilevel"/>
    <w:tmpl w:val="52644E38"/>
    <w:lvl w:ilvl="0" w:tplc="1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FBE493E"/>
    <w:multiLevelType w:val="hybridMultilevel"/>
    <w:tmpl w:val="E5661C3C"/>
    <w:lvl w:ilvl="0" w:tplc="BCD0250E">
      <w:start w:val="1"/>
      <w:numFmt w:val="bullet"/>
      <w:pStyle w:val="ListParagraph"/>
      <w:lvlText w:val=""/>
      <w:lvlJc w:val="left"/>
      <w:pPr>
        <w:ind w:left="284" w:hanging="284"/>
      </w:pPr>
      <w:rPr>
        <w:rFonts w:ascii="Wingdings" w:hAnsi="Wingdings" w:hint="default"/>
      </w:rPr>
    </w:lvl>
    <w:lvl w:ilvl="1" w:tplc="D6CCD832">
      <w:start w:val="1"/>
      <w:numFmt w:val="bullet"/>
      <w:lvlText w:val=""/>
      <w:lvlJc w:val="left"/>
      <w:pPr>
        <w:ind w:left="568" w:hanging="284"/>
      </w:pPr>
      <w:rPr>
        <w:rFonts w:ascii="Wingdings" w:hAnsi="Wingdings" w:hint="default"/>
      </w:rPr>
    </w:lvl>
    <w:lvl w:ilvl="2" w:tplc="9E6C0AA0">
      <w:start w:val="1"/>
      <w:numFmt w:val="bullet"/>
      <w:lvlText w:val=""/>
      <w:lvlJc w:val="left"/>
      <w:pPr>
        <w:ind w:left="852" w:hanging="284"/>
      </w:pPr>
      <w:rPr>
        <w:rFonts w:ascii="Wingdings" w:hAnsi="Wingdings" w:hint="default"/>
      </w:rPr>
    </w:lvl>
    <w:lvl w:ilvl="3" w:tplc="F46C80AA">
      <w:start w:val="1"/>
      <w:numFmt w:val="bullet"/>
      <w:lvlText w:val=""/>
      <w:lvlJc w:val="left"/>
      <w:pPr>
        <w:ind w:left="1136" w:hanging="284"/>
      </w:pPr>
      <w:rPr>
        <w:rFonts w:ascii="Wingdings" w:hAnsi="Wingdings" w:hint="default"/>
      </w:rPr>
    </w:lvl>
    <w:lvl w:ilvl="4" w:tplc="72C0B304">
      <w:start w:val="1"/>
      <w:numFmt w:val="bullet"/>
      <w:lvlText w:val=""/>
      <w:lvlJc w:val="left"/>
      <w:pPr>
        <w:ind w:left="1420" w:hanging="284"/>
      </w:pPr>
      <w:rPr>
        <w:rFonts w:ascii="Wingdings" w:hAnsi="Wingdings" w:hint="default"/>
      </w:rPr>
    </w:lvl>
    <w:lvl w:ilvl="5" w:tplc="2F2AD4B4">
      <w:start w:val="1"/>
      <w:numFmt w:val="bullet"/>
      <w:lvlText w:val=""/>
      <w:lvlJc w:val="left"/>
      <w:pPr>
        <w:ind w:left="1701" w:hanging="281"/>
      </w:pPr>
      <w:rPr>
        <w:rFonts w:ascii="Wingdings" w:hAnsi="Wingdings" w:hint="default"/>
      </w:rPr>
    </w:lvl>
    <w:lvl w:ilvl="6" w:tplc="7A908356">
      <w:start w:val="1"/>
      <w:numFmt w:val="bullet"/>
      <w:lvlText w:val=""/>
      <w:lvlJc w:val="left"/>
      <w:pPr>
        <w:ind w:left="1985" w:hanging="284"/>
      </w:pPr>
      <w:rPr>
        <w:rFonts w:ascii="Wingdings" w:hAnsi="Wingdings" w:hint="default"/>
      </w:rPr>
    </w:lvl>
    <w:lvl w:ilvl="7" w:tplc="E398ECF4">
      <w:start w:val="1"/>
      <w:numFmt w:val="bullet"/>
      <w:lvlText w:val=""/>
      <w:lvlJc w:val="left"/>
      <w:pPr>
        <w:ind w:left="2268" w:hanging="283"/>
      </w:pPr>
      <w:rPr>
        <w:rFonts w:ascii="Wingdings" w:hAnsi="Wingdings" w:hint="default"/>
      </w:rPr>
    </w:lvl>
    <w:lvl w:ilvl="8" w:tplc="12301198">
      <w:start w:val="1"/>
      <w:numFmt w:val="bullet"/>
      <w:lvlText w:val=""/>
      <w:lvlJc w:val="left"/>
      <w:pPr>
        <w:ind w:left="2552" w:hanging="284"/>
      </w:pPr>
      <w:rPr>
        <w:rFonts w:ascii="Wingdings" w:hAnsi="Wingdings" w:hint="default"/>
      </w:rPr>
    </w:lvl>
  </w:abstractNum>
  <w:abstractNum w:abstractNumId="32" w15:restartNumberingAfterBreak="0">
    <w:nsid w:val="6C1E00D5"/>
    <w:multiLevelType w:val="hybridMultilevel"/>
    <w:tmpl w:val="3B6E61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6E20224D"/>
    <w:multiLevelType w:val="hybridMultilevel"/>
    <w:tmpl w:val="53566A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E533F3F"/>
    <w:multiLevelType w:val="hybridMultilevel"/>
    <w:tmpl w:val="FB824212"/>
    <w:lvl w:ilvl="0" w:tplc="FFFFFFFF">
      <w:start w:val="1"/>
      <w:numFmt w:val="decimal"/>
      <w:lvlText w:val="%1."/>
      <w:lvlJc w:val="left"/>
      <w:pPr>
        <w:ind w:left="720" w:hanging="360"/>
      </w:pPr>
      <w:rPr>
        <w:rFonts w:hint="default"/>
      </w:rPr>
    </w:lvl>
    <w:lvl w:ilvl="1" w:tplc="04070001">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39514780">
    <w:abstractNumId w:val="18"/>
  </w:num>
  <w:num w:numId="2" w16cid:durableId="685137453">
    <w:abstractNumId w:val="12"/>
  </w:num>
  <w:num w:numId="3" w16cid:durableId="301275171">
    <w:abstractNumId w:val="10"/>
  </w:num>
  <w:num w:numId="4" w16cid:durableId="1531534037">
    <w:abstractNumId w:val="9"/>
  </w:num>
  <w:num w:numId="5" w16cid:durableId="591857052">
    <w:abstractNumId w:val="7"/>
  </w:num>
  <w:num w:numId="6" w16cid:durableId="924535985">
    <w:abstractNumId w:val="6"/>
  </w:num>
  <w:num w:numId="7" w16cid:durableId="2066180929">
    <w:abstractNumId w:val="5"/>
  </w:num>
  <w:num w:numId="8" w16cid:durableId="452528110">
    <w:abstractNumId w:val="4"/>
  </w:num>
  <w:num w:numId="9" w16cid:durableId="1937052628">
    <w:abstractNumId w:val="31"/>
  </w:num>
  <w:num w:numId="10" w16cid:durableId="1006440905">
    <w:abstractNumId w:val="8"/>
  </w:num>
  <w:num w:numId="11" w16cid:durableId="1431386846">
    <w:abstractNumId w:val="3"/>
  </w:num>
  <w:num w:numId="12" w16cid:durableId="788864982">
    <w:abstractNumId w:val="2"/>
  </w:num>
  <w:num w:numId="13" w16cid:durableId="203106567">
    <w:abstractNumId w:val="1"/>
  </w:num>
  <w:num w:numId="14" w16cid:durableId="726298579">
    <w:abstractNumId w:val="0"/>
  </w:num>
  <w:num w:numId="15" w16cid:durableId="670984420">
    <w:abstractNumId w:val="21"/>
  </w:num>
  <w:num w:numId="16" w16cid:durableId="1394232684">
    <w:abstractNumId w:val="29"/>
  </w:num>
  <w:num w:numId="17" w16cid:durableId="518852360">
    <w:abstractNumId w:val="21"/>
    <w:lvlOverride w:ilvl="0">
      <w:startOverride w:val="1"/>
    </w:lvlOverride>
  </w:num>
  <w:num w:numId="18" w16cid:durableId="955867647">
    <w:abstractNumId w:val="19"/>
  </w:num>
  <w:num w:numId="19" w16cid:durableId="1480146928">
    <w:abstractNumId w:val="30"/>
  </w:num>
  <w:num w:numId="20" w16cid:durableId="1791821718">
    <w:abstractNumId w:val="17"/>
  </w:num>
  <w:num w:numId="21" w16cid:durableId="1896970823">
    <w:abstractNumId w:val="27"/>
  </w:num>
  <w:num w:numId="22" w16cid:durableId="1990550612">
    <w:abstractNumId w:val="26"/>
  </w:num>
  <w:num w:numId="23" w16cid:durableId="1483082854">
    <w:abstractNumId w:val="20"/>
  </w:num>
  <w:num w:numId="24" w16cid:durableId="1308440057">
    <w:abstractNumId w:val="28"/>
  </w:num>
  <w:num w:numId="25" w16cid:durableId="2084140836">
    <w:abstractNumId w:val="33"/>
  </w:num>
  <w:num w:numId="26" w16cid:durableId="889876467">
    <w:abstractNumId w:val="14"/>
  </w:num>
  <w:num w:numId="27" w16cid:durableId="1425152302">
    <w:abstractNumId w:val="16"/>
  </w:num>
  <w:num w:numId="28" w16cid:durableId="1341347791">
    <w:abstractNumId w:val="32"/>
  </w:num>
  <w:num w:numId="29" w16cid:durableId="183834328">
    <w:abstractNumId w:val="11"/>
  </w:num>
  <w:num w:numId="30" w16cid:durableId="1961035397">
    <w:abstractNumId w:val="22"/>
  </w:num>
  <w:num w:numId="31" w16cid:durableId="1855994904">
    <w:abstractNumId w:val="15"/>
  </w:num>
  <w:num w:numId="32" w16cid:durableId="1218081944">
    <w:abstractNumId w:val="23"/>
  </w:num>
  <w:num w:numId="33" w16cid:durableId="636648512">
    <w:abstractNumId w:val="34"/>
  </w:num>
  <w:num w:numId="34" w16cid:durableId="568659332">
    <w:abstractNumId w:val="13"/>
  </w:num>
  <w:num w:numId="35" w16cid:durableId="1301812792">
    <w:abstractNumId w:val="24"/>
  </w:num>
  <w:num w:numId="36" w16cid:durableId="399718278">
    <w:abstractNumId w:val="2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7"/>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efaultTableStyle w:val="TableGrid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3C8"/>
    <w:rsid w:val="00000A03"/>
    <w:rsid w:val="00000D10"/>
    <w:rsid w:val="00000D41"/>
    <w:rsid w:val="00000E5F"/>
    <w:rsid w:val="00001D14"/>
    <w:rsid w:val="000021D7"/>
    <w:rsid w:val="000029B4"/>
    <w:rsid w:val="000039ED"/>
    <w:rsid w:val="00004653"/>
    <w:rsid w:val="00004AC8"/>
    <w:rsid w:val="00004CDF"/>
    <w:rsid w:val="000059D3"/>
    <w:rsid w:val="00005F31"/>
    <w:rsid w:val="0000615D"/>
    <w:rsid w:val="000074C4"/>
    <w:rsid w:val="00007C9C"/>
    <w:rsid w:val="000100D2"/>
    <w:rsid w:val="0001072D"/>
    <w:rsid w:val="00010ADA"/>
    <w:rsid w:val="00010B50"/>
    <w:rsid w:val="00010C55"/>
    <w:rsid w:val="00010E1E"/>
    <w:rsid w:val="00010F33"/>
    <w:rsid w:val="00012295"/>
    <w:rsid w:val="00012619"/>
    <w:rsid w:val="000126E2"/>
    <w:rsid w:val="00013395"/>
    <w:rsid w:val="0001366A"/>
    <w:rsid w:val="00013CAF"/>
    <w:rsid w:val="0001418A"/>
    <w:rsid w:val="00014613"/>
    <w:rsid w:val="00014B1E"/>
    <w:rsid w:val="00014BEE"/>
    <w:rsid w:val="00014C25"/>
    <w:rsid w:val="00014E22"/>
    <w:rsid w:val="00014F2C"/>
    <w:rsid w:val="000154FC"/>
    <w:rsid w:val="00015CF7"/>
    <w:rsid w:val="000167DA"/>
    <w:rsid w:val="00016967"/>
    <w:rsid w:val="00017571"/>
    <w:rsid w:val="000200B1"/>
    <w:rsid w:val="00020234"/>
    <w:rsid w:val="00020799"/>
    <w:rsid w:val="000207B5"/>
    <w:rsid w:val="00020DB9"/>
    <w:rsid w:val="00020E50"/>
    <w:rsid w:val="00020F5D"/>
    <w:rsid w:val="0002103C"/>
    <w:rsid w:val="00021056"/>
    <w:rsid w:val="000213DE"/>
    <w:rsid w:val="0002248A"/>
    <w:rsid w:val="0002258B"/>
    <w:rsid w:val="0002293F"/>
    <w:rsid w:val="00022F79"/>
    <w:rsid w:val="00023070"/>
    <w:rsid w:val="00023BF4"/>
    <w:rsid w:val="00024422"/>
    <w:rsid w:val="000244A0"/>
    <w:rsid w:val="00024804"/>
    <w:rsid w:val="00024967"/>
    <w:rsid w:val="00024C54"/>
    <w:rsid w:val="00024DC4"/>
    <w:rsid w:val="000250C2"/>
    <w:rsid w:val="00025103"/>
    <w:rsid w:val="00025439"/>
    <w:rsid w:val="00025951"/>
    <w:rsid w:val="00026131"/>
    <w:rsid w:val="00026CBE"/>
    <w:rsid w:val="00026DF0"/>
    <w:rsid w:val="00026EB2"/>
    <w:rsid w:val="00030AF0"/>
    <w:rsid w:val="00031A87"/>
    <w:rsid w:val="00031F9E"/>
    <w:rsid w:val="000325B2"/>
    <w:rsid w:val="000330C1"/>
    <w:rsid w:val="000336DD"/>
    <w:rsid w:val="00033A5E"/>
    <w:rsid w:val="00033D7D"/>
    <w:rsid w:val="00033E19"/>
    <w:rsid w:val="000343D1"/>
    <w:rsid w:val="00034851"/>
    <w:rsid w:val="00034F67"/>
    <w:rsid w:val="00035972"/>
    <w:rsid w:val="00035A17"/>
    <w:rsid w:val="00035E77"/>
    <w:rsid w:val="0003639B"/>
    <w:rsid w:val="0003643A"/>
    <w:rsid w:val="0003734C"/>
    <w:rsid w:val="00037853"/>
    <w:rsid w:val="00037904"/>
    <w:rsid w:val="00037F62"/>
    <w:rsid w:val="00040B8D"/>
    <w:rsid w:val="00042120"/>
    <w:rsid w:val="0004215C"/>
    <w:rsid w:val="000426D3"/>
    <w:rsid w:val="000428A5"/>
    <w:rsid w:val="00042AFF"/>
    <w:rsid w:val="00042BBC"/>
    <w:rsid w:val="000430EA"/>
    <w:rsid w:val="00043651"/>
    <w:rsid w:val="0004399D"/>
    <w:rsid w:val="00043A93"/>
    <w:rsid w:val="00043EF0"/>
    <w:rsid w:val="0004414D"/>
    <w:rsid w:val="000446B5"/>
    <w:rsid w:val="00044BFC"/>
    <w:rsid w:val="0004518C"/>
    <w:rsid w:val="000454DD"/>
    <w:rsid w:val="0004579E"/>
    <w:rsid w:val="000458A3"/>
    <w:rsid w:val="00045A0F"/>
    <w:rsid w:val="0004658E"/>
    <w:rsid w:val="000468DB"/>
    <w:rsid w:val="000468F6"/>
    <w:rsid w:val="00046E4F"/>
    <w:rsid w:val="0004773F"/>
    <w:rsid w:val="00047FA3"/>
    <w:rsid w:val="0004AC9B"/>
    <w:rsid w:val="0005044F"/>
    <w:rsid w:val="00051A9D"/>
    <w:rsid w:val="000524D3"/>
    <w:rsid w:val="00052655"/>
    <w:rsid w:val="00052B2C"/>
    <w:rsid w:val="00052B78"/>
    <w:rsid w:val="0005416C"/>
    <w:rsid w:val="00054732"/>
    <w:rsid w:val="00054D30"/>
    <w:rsid w:val="00054F26"/>
    <w:rsid w:val="0005582B"/>
    <w:rsid w:val="00055A3B"/>
    <w:rsid w:val="000562C2"/>
    <w:rsid w:val="0005658C"/>
    <w:rsid w:val="000566CA"/>
    <w:rsid w:val="000567A9"/>
    <w:rsid w:val="00056CD3"/>
    <w:rsid w:val="000578AA"/>
    <w:rsid w:val="000579CE"/>
    <w:rsid w:val="00057E24"/>
    <w:rsid w:val="00060174"/>
    <w:rsid w:val="000603F6"/>
    <w:rsid w:val="000608DD"/>
    <w:rsid w:val="00060A64"/>
    <w:rsid w:val="000619F2"/>
    <w:rsid w:val="00061F7E"/>
    <w:rsid w:val="00062007"/>
    <w:rsid w:val="00062E6D"/>
    <w:rsid w:val="000631A6"/>
    <w:rsid w:val="00063A71"/>
    <w:rsid w:val="000646A4"/>
    <w:rsid w:val="000649F2"/>
    <w:rsid w:val="00064FC3"/>
    <w:rsid w:val="000652C9"/>
    <w:rsid w:val="000660A3"/>
    <w:rsid w:val="0006639E"/>
    <w:rsid w:val="000663F1"/>
    <w:rsid w:val="00066999"/>
    <w:rsid w:val="00067270"/>
    <w:rsid w:val="00067F2C"/>
    <w:rsid w:val="00070146"/>
    <w:rsid w:val="000706DD"/>
    <w:rsid w:val="0007098A"/>
    <w:rsid w:val="00071953"/>
    <w:rsid w:val="000719FE"/>
    <w:rsid w:val="00071D46"/>
    <w:rsid w:val="00072227"/>
    <w:rsid w:val="0007262D"/>
    <w:rsid w:val="000726C7"/>
    <w:rsid w:val="000728EA"/>
    <w:rsid w:val="00072EA9"/>
    <w:rsid w:val="000732C6"/>
    <w:rsid w:val="000733CD"/>
    <w:rsid w:val="000745B7"/>
    <w:rsid w:val="00074A76"/>
    <w:rsid w:val="00074AD1"/>
    <w:rsid w:val="00074E17"/>
    <w:rsid w:val="00074EAD"/>
    <w:rsid w:val="00074F21"/>
    <w:rsid w:val="000752C7"/>
    <w:rsid w:val="00075A6E"/>
    <w:rsid w:val="0007619F"/>
    <w:rsid w:val="000762E8"/>
    <w:rsid w:val="000768E6"/>
    <w:rsid w:val="00077C83"/>
    <w:rsid w:val="00080292"/>
    <w:rsid w:val="00080301"/>
    <w:rsid w:val="0008037F"/>
    <w:rsid w:val="000804DE"/>
    <w:rsid w:val="0008065A"/>
    <w:rsid w:val="00080858"/>
    <w:rsid w:val="00081803"/>
    <w:rsid w:val="00081D3A"/>
    <w:rsid w:val="00081EBA"/>
    <w:rsid w:val="000820EF"/>
    <w:rsid w:val="00082D8B"/>
    <w:rsid w:val="00082EC8"/>
    <w:rsid w:val="00083199"/>
    <w:rsid w:val="00083238"/>
    <w:rsid w:val="00083B8F"/>
    <w:rsid w:val="00084730"/>
    <w:rsid w:val="000848FB"/>
    <w:rsid w:val="00084EAB"/>
    <w:rsid w:val="00084F40"/>
    <w:rsid w:val="000850B3"/>
    <w:rsid w:val="00085183"/>
    <w:rsid w:val="00085A1B"/>
    <w:rsid w:val="0008628B"/>
    <w:rsid w:val="000865DF"/>
    <w:rsid w:val="0008665A"/>
    <w:rsid w:val="00086B7B"/>
    <w:rsid w:val="00086D93"/>
    <w:rsid w:val="00087551"/>
    <w:rsid w:val="000875C4"/>
    <w:rsid w:val="000876FF"/>
    <w:rsid w:val="00090047"/>
    <w:rsid w:val="00090D81"/>
    <w:rsid w:val="00090DD4"/>
    <w:rsid w:val="00091530"/>
    <w:rsid w:val="000917F9"/>
    <w:rsid w:val="00091D3E"/>
    <w:rsid w:val="0009267C"/>
    <w:rsid w:val="00092B5E"/>
    <w:rsid w:val="00092E7A"/>
    <w:rsid w:val="00093836"/>
    <w:rsid w:val="000940E8"/>
    <w:rsid w:val="000946A8"/>
    <w:rsid w:val="00094C60"/>
    <w:rsid w:val="0009543E"/>
    <w:rsid w:val="000962DE"/>
    <w:rsid w:val="0009676C"/>
    <w:rsid w:val="000969E3"/>
    <w:rsid w:val="0009703F"/>
    <w:rsid w:val="00097043"/>
    <w:rsid w:val="00097ABA"/>
    <w:rsid w:val="00097BEB"/>
    <w:rsid w:val="000A007F"/>
    <w:rsid w:val="000A05AB"/>
    <w:rsid w:val="000A0803"/>
    <w:rsid w:val="000A0E19"/>
    <w:rsid w:val="000A0E40"/>
    <w:rsid w:val="000A1563"/>
    <w:rsid w:val="000A17F0"/>
    <w:rsid w:val="000A188A"/>
    <w:rsid w:val="000A1C86"/>
    <w:rsid w:val="000A1F69"/>
    <w:rsid w:val="000A286D"/>
    <w:rsid w:val="000A2C2E"/>
    <w:rsid w:val="000A2FF9"/>
    <w:rsid w:val="000A3FA9"/>
    <w:rsid w:val="000A429C"/>
    <w:rsid w:val="000A44F3"/>
    <w:rsid w:val="000A4FB9"/>
    <w:rsid w:val="000A5289"/>
    <w:rsid w:val="000A5A3C"/>
    <w:rsid w:val="000A61E9"/>
    <w:rsid w:val="000A7105"/>
    <w:rsid w:val="000A7273"/>
    <w:rsid w:val="000A77DF"/>
    <w:rsid w:val="000A7BD4"/>
    <w:rsid w:val="000A7EB0"/>
    <w:rsid w:val="000B0216"/>
    <w:rsid w:val="000B02D6"/>
    <w:rsid w:val="000B0430"/>
    <w:rsid w:val="000B0A8E"/>
    <w:rsid w:val="000B0ADD"/>
    <w:rsid w:val="000B16EE"/>
    <w:rsid w:val="000B1709"/>
    <w:rsid w:val="000B1C22"/>
    <w:rsid w:val="000B27D5"/>
    <w:rsid w:val="000B27DD"/>
    <w:rsid w:val="000B2DEA"/>
    <w:rsid w:val="000B3860"/>
    <w:rsid w:val="000B3B04"/>
    <w:rsid w:val="000B3D79"/>
    <w:rsid w:val="000B4268"/>
    <w:rsid w:val="000B42F9"/>
    <w:rsid w:val="000B4822"/>
    <w:rsid w:val="000B4C3E"/>
    <w:rsid w:val="000B4EFA"/>
    <w:rsid w:val="000B5155"/>
    <w:rsid w:val="000B5B3A"/>
    <w:rsid w:val="000B5E32"/>
    <w:rsid w:val="000B5E57"/>
    <w:rsid w:val="000B61A8"/>
    <w:rsid w:val="000B66D5"/>
    <w:rsid w:val="000B7110"/>
    <w:rsid w:val="000B759F"/>
    <w:rsid w:val="000B7706"/>
    <w:rsid w:val="000C01F5"/>
    <w:rsid w:val="000C0576"/>
    <w:rsid w:val="000C0D82"/>
    <w:rsid w:val="000C2438"/>
    <w:rsid w:val="000C2D89"/>
    <w:rsid w:val="000C312D"/>
    <w:rsid w:val="000C4529"/>
    <w:rsid w:val="000C47B2"/>
    <w:rsid w:val="000C4848"/>
    <w:rsid w:val="000C4908"/>
    <w:rsid w:val="000C4E8C"/>
    <w:rsid w:val="000C5619"/>
    <w:rsid w:val="000C588E"/>
    <w:rsid w:val="000C5DA0"/>
    <w:rsid w:val="000C668C"/>
    <w:rsid w:val="000C67D8"/>
    <w:rsid w:val="000C68A4"/>
    <w:rsid w:val="000C6983"/>
    <w:rsid w:val="000C6988"/>
    <w:rsid w:val="000C6B8A"/>
    <w:rsid w:val="000C6F43"/>
    <w:rsid w:val="000C7083"/>
    <w:rsid w:val="000C782A"/>
    <w:rsid w:val="000C7AE3"/>
    <w:rsid w:val="000C7FD9"/>
    <w:rsid w:val="000D0ADB"/>
    <w:rsid w:val="000D0AE4"/>
    <w:rsid w:val="000D0B02"/>
    <w:rsid w:val="000D1046"/>
    <w:rsid w:val="000D12A8"/>
    <w:rsid w:val="000D1E0B"/>
    <w:rsid w:val="000D1FC9"/>
    <w:rsid w:val="000D32D8"/>
    <w:rsid w:val="000D3785"/>
    <w:rsid w:val="000D3C7E"/>
    <w:rsid w:val="000D4005"/>
    <w:rsid w:val="000D41EB"/>
    <w:rsid w:val="000D46D0"/>
    <w:rsid w:val="000D4C4C"/>
    <w:rsid w:val="000D4C9B"/>
    <w:rsid w:val="000D5430"/>
    <w:rsid w:val="000D5702"/>
    <w:rsid w:val="000D58AC"/>
    <w:rsid w:val="000D5B46"/>
    <w:rsid w:val="000D5B59"/>
    <w:rsid w:val="000D63C8"/>
    <w:rsid w:val="000D6CA1"/>
    <w:rsid w:val="000E00E7"/>
    <w:rsid w:val="000E014A"/>
    <w:rsid w:val="000E0614"/>
    <w:rsid w:val="000E07E8"/>
    <w:rsid w:val="000E0A6B"/>
    <w:rsid w:val="000E10C4"/>
    <w:rsid w:val="000E120F"/>
    <w:rsid w:val="000E132A"/>
    <w:rsid w:val="000E139A"/>
    <w:rsid w:val="000E196D"/>
    <w:rsid w:val="000E1A79"/>
    <w:rsid w:val="000E1B06"/>
    <w:rsid w:val="000E2047"/>
    <w:rsid w:val="000E2509"/>
    <w:rsid w:val="000E2AE4"/>
    <w:rsid w:val="000E32B1"/>
    <w:rsid w:val="000E3373"/>
    <w:rsid w:val="000E3466"/>
    <w:rsid w:val="000E353F"/>
    <w:rsid w:val="000E4D48"/>
    <w:rsid w:val="000E4FE8"/>
    <w:rsid w:val="000E5362"/>
    <w:rsid w:val="000E58F5"/>
    <w:rsid w:val="000E67F7"/>
    <w:rsid w:val="000E6C44"/>
    <w:rsid w:val="000E6E91"/>
    <w:rsid w:val="000E70CA"/>
    <w:rsid w:val="000E72BA"/>
    <w:rsid w:val="000E7699"/>
    <w:rsid w:val="000E7E25"/>
    <w:rsid w:val="000F0372"/>
    <w:rsid w:val="000F1080"/>
    <w:rsid w:val="000F12B1"/>
    <w:rsid w:val="000F1364"/>
    <w:rsid w:val="000F1622"/>
    <w:rsid w:val="000F1E56"/>
    <w:rsid w:val="000F2193"/>
    <w:rsid w:val="000F39EE"/>
    <w:rsid w:val="000F3A29"/>
    <w:rsid w:val="000F3C5D"/>
    <w:rsid w:val="000F3C89"/>
    <w:rsid w:val="000F3D47"/>
    <w:rsid w:val="000F4049"/>
    <w:rsid w:val="000F49AB"/>
    <w:rsid w:val="000F55BB"/>
    <w:rsid w:val="000F59F3"/>
    <w:rsid w:val="000F5A71"/>
    <w:rsid w:val="000F5FB0"/>
    <w:rsid w:val="000F6230"/>
    <w:rsid w:val="000F6E12"/>
    <w:rsid w:val="000F6E25"/>
    <w:rsid w:val="000F6F40"/>
    <w:rsid w:val="000F6FCB"/>
    <w:rsid w:val="000F72B8"/>
    <w:rsid w:val="000F7AC5"/>
    <w:rsid w:val="001005F4"/>
    <w:rsid w:val="001015B6"/>
    <w:rsid w:val="001016F3"/>
    <w:rsid w:val="001016FD"/>
    <w:rsid w:val="00102049"/>
    <w:rsid w:val="00102795"/>
    <w:rsid w:val="001027B0"/>
    <w:rsid w:val="00102987"/>
    <w:rsid w:val="00103052"/>
    <w:rsid w:val="001033C4"/>
    <w:rsid w:val="00104DCC"/>
    <w:rsid w:val="00105856"/>
    <w:rsid w:val="0010601F"/>
    <w:rsid w:val="00106D99"/>
    <w:rsid w:val="001077DE"/>
    <w:rsid w:val="001078B3"/>
    <w:rsid w:val="00107C51"/>
    <w:rsid w:val="00107F73"/>
    <w:rsid w:val="00110D06"/>
    <w:rsid w:val="00110E5F"/>
    <w:rsid w:val="00111780"/>
    <w:rsid w:val="001117EF"/>
    <w:rsid w:val="00111B14"/>
    <w:rsid w:val="00112368"/>
    <w:rsid w:val="001124CC"/>
    <w:rsid w:val="001126B4"/>
    <w:rsid w:val="00112B2E"/>
    <w:rsid w:val="00112F88"/>
    <w:rsid w:val="0011332C"/>
    <w:rsid w:val="00113539"/>
    <w:rsid w:val="00114E91"/>
    <w:rsid w:val="0011568D"/>
    <w:rsid w:val="0011573B"/>
    <w:rsid w:val="00116079"/>
    <w:rsid w:val="001161FE"/>
    <w:rsid w:val="00116C8C"/>
    <w:rsid w:val="00116E2E"/>
    <w:rsid w:val="00116F83"/>
    <w:rsid w:val="001171EE"/>
    <w:rsid w:val="00117213"/>
    <w:rsid w:val="001177CC"/>
    <w:rsid w:val="0011787F"/>
    <w:rsid w:val="00117C3C"/>
    <w:rsid w:val="00120AAE"/>
    <w:rsid w:val="00120BB2"/>
    <w:rsid w:val="00121713"/>
    <w:rsid w:val="0012180F"/>
    <w:rsid w:val="00121893"/>
    <w:rsid w:val="00121DEE"/>
    <w:rsid w:val="00122149"/>
    <w:rsid w:val="0012231B"/>
    <w:rsid w:val="001225AC"/>
    <w:rsid w:val="00122B24"/>
    <w:rsid w:val="00122D46"/>
    <w:rsid w:val="001233C1"/>
    <w:rsid w:val="00123AD3"/>
    <w:rsid w:val="00123B50"/>
    <w:rsid w:val="0012443C"/>
    <w:rsid w:val="001251EC"/>
    <w:rsid w:val="001256A5"/>
    <w:rsid w:val="00125A85"/>
    <w:rsid w:val="00125C5A"/>
    <w:rsid w:val="00125D7C"/>
    <w:rsid w:val="00125F69"/>
    <w:rsid w:val="001261F8"/>
    <w:rsid w:val="001263E5"/>
    <w:rsid w:val="00126845"/>
    <w:rsid w:val="00126E6E"/>
    <w:rsid w:val="001270D9"/>
    <w:rsid w:val="0012767D"/>
    <w:rsid w:val="0012768B"/>
    <w:rsid w:val="00130657"/>
    <w:rsid w:val="00130EC9"/>
    <w:rsid w:val="0013127E"/>
    <w:rsid w:val="001315BD"/>
    <w:rsid w:val="001315CE"/>
    <w:rsid w:val="001319D3"/>
    <w:rsid w:val="00131C43"/>
    <w:rsid w:val="00132427"/>
    <w:rsid w:val="00132633"/>
    <w:rsid w:val="00132D62"/>
    <w:rsid w:val="00132E1D"/>
    <w:rsid w:val="001331FA"/>
    <w:rsid w:val="00133230"/>
    <w:rsid w:val="00133ECB"/>
    <w:rsid w:val="001347C1"/>
    <w:rsid w:val="00134894"/>
    <w:rsid w:val="00135484"/>
    <w:rsid w:val="00135664"/>
    <w:rsid w:val="00135789"/>
    <w:rsid w:val="00136134"/>
    <w:rsid w:val="00136359"/>
    <w:rsid w:val="00137DA1"/>
    <w:rsid w:val="00140380"/>
    <w:rsid w:val="0014038F"/>
    <w:rsid w:val="001403EB"/>
    <w:rsid w:val="00140890"/>
    <w:rsid w:val="0014093B"/>
    <w:rsid w:val="00140B95"/>
    <w:rsid w:val="00140DDD"/>
    <w:rsid w:val="001415FD"/>
    <w:rsid w:val="00141A49"/>
    <w:rsid w:val="00141EE1"/>
    <w:rsid w:val="00142179"/>
    <w:rsid w:val="001421B0"/>
    <w:rsid w:val="00142D5E"/>
    <w:rsid w:val="001435BE"/>
    <w:rsid w:val="00143695"/>
    <w:rsid w:val="00143698"/>
    <w:rsid w:val="0014540C"/>
    <w:rsid w:val="001458AA"/>
    <w:rsid w:val="001459D0"/>
    <w:rsid w:val="00145B43"/>
    <w:rsid w:val="00145E5D"/>
    <w:rsid w:val="001460B1"/>
    <w:rsid w:val="00146592"/>
    <w:rsid w:val="00146965"/>
    <w:rsid w:val="00146CCD"/>
    <w:rsid w:val="00146DB1"/>
    <w:rsid w:val="00146EC8"/>
    <w:rsid w:val="00147F92"/>
    <w:rsid w:val="001507CB"/>
    <w:rsid w:val="00150A2F"/>
    <w:rsid w:val="00150C0D"/>
    <w:rsid w:val="0015106E"/>
    <w:rsid w:val="00151190"/>
    <w:rsid w:val="001512DC"/>
    <w:rsid w:val="00151369"/>
    <w:rsid w:val="001517F2"/>
    <w:rsid w:val="00151FAC"/>
    <w:rsid w:val="00152392"/>
    <w:rsid w:val="00153210"/>
    <w:rsid w:val="00153240"/>
    <w:rsid w:val="00153632"/>
    <w:rsid w:val="001537BC"/>
    <w:rsid w:val="00153849"/>
    <w:rsid w:val="00153B72"/>
    <w:rsid w:val="00153E08"/>
    <w:rsid w:val="00153F25"/>
    <w:rsid w:val="00153FDF"/>
    <w:rsid w:val="00154605"/>
    <w:rsid w:val="00154D8C"/>
    <w:rsid w:val="00154F00"/>
    <w:rsid w:val="001555D7"/>
    <w:rsid w:val="001557ED"/>
    <w:rsid w:val="0015623D"/>
    <w:rsid w:val="00156938"/>
    <w:rsid w:val="001570A1"/>
    <w:rsid w:val="0015721C"/>
    <w:rsid w:val="001601A9"/>
    <w:rsid w:val="001604B5"/>
    <w:rsid w:val="00160FF5"/>
    <w:rsid w:val="001615AD"/>
    <w:rsid w:val="0016182B"/>
    <w:rsid w:val="00162099"/>
    <w:rsid w:val="001621E7"/>
    <w:rsid w:val="001624F6"/>
    <w:rsid w:val="001629AE"/>
    <w:rsid w:val="00163475"/>
    <w:rsid w:val="00163B66"/>
    <w:rsid w:val="00163CDF"/>
    <w:rsid w:val="0016426E"/>
    <w:rsid w:val="001645B3"/>
    <w:rsid w:val="001647B5"/>
    <w:rsid w:val="00164B23"/>
    <w:rsid w:val="00164EC9"/>
    <w:rsid w:val="001657A0"/>
    <w:rsid w:val="001657E4"/>
    <w:rsid w:val="00165DF6"/>
    <w:rsid w:val="001666D8"/>
    <w:rsid w:val="00166931"/>
    <w:rsid w:val="001672C6"/>
    <w:rsid w:val="00167381"/>
    <w:rsid w:val="001675CB"/>
    <w:rsid w:val="00167831"/>
    <w:rsid w:val="00167D7B"/>
    <w:rsid w:val="00167F87"/>
    <w:rsid w:val="00170055"/>
    <w:rsid w:val="0017023A"/>
    <w:rsid w:val="00170686"/>
    <w:rsid w:val="00170F1A"/>
    <w:rsid w:val="00171079"/>
    <w:rsid w:val="00171911"/>
    <w:rsid w:val="00171AEC"/>
    <w:rsid w:val="00171DD8"/>
    <w:rsid w:val="0017268B"/>
    <w:rsid w:val="00172C9A"/>
    <w:rsid w:val="0017308A"/>
    <w:rsid w:val="001732B6"/>
    <w:rsid w:val="0017571B"/>
    <w:rsid w:val="00175FE3"/>
    <w:rsid w:val="0017620C"/>
    <w:rsid w:val="00176396"/>
    <w:rsid w:val="00176487"/>
    <w:rsid w:val="0017689F"/>
    <w:rsid w:val="00176C81"/>
    <w:rsid w:val="00177594"/>
    <w:rsid w:val="00177B4F"/>
    <w:rsid w:val="0018006C"/>
    <w:rsid w:val="001800D9"/>
    <w:rsid w:val="001806D4"/>
    <w:rsid w:val="00181051"/>
    <w:rsid w:val="00181401"/>
    <w:rsid w:val="001815A5"/>
    <w:rsid w:val="001817D8"/>
    <w:rsid w:val="00181A4C"/>
    <w:rsid w:val="00181F81"/>
    <w:rsid w:val="0018238D"/>
    <w:rsid w:val="00182B39"/>
    <w:rsid w:val="001837C3"/>
    <w:rsid w:val="00183BC2"/>
    <w:rsid w:val="001842BC"/>
    <w:rsid w:val="00184AE1"/>
    <w:rsid w:val="00184D03"/>
    <w:rsid w:val="00184E25"/>
    <w:rsid w:val="00185163"/>
    <w:rsid w:val="00185BF9"/>
    <w:rsid w:val="00185D3F"/>
    <w:rsid w:val="00185D4E"/>
    <w:rsid w:val="00185E39"/>
    <w:rsid w:val="001861E5"/>
    <w:rsid w:val="00186498"/>
    <w:rsid w:val="001867C4"/>
    <w:rsid w:val="00186BC8"/>
    <w:rsid w:val="00186C12"/>
    <w:rsid w:val="001872BA"/>
    <w:rsid w:val="00187304"/>
    <w:rsid w:val="00187553"/>
    <w:rsid w:val="001877B0"/>
    <w:rsid w:val="001903C1"/>
    <w:rsid w:val="00190538"/>
    <w:rsid w:val="00190F5E"/>
    <w:rsid w:val="00191463"/>
    <w:rsid w:val="0019226F"/>
    <w:rsid w:val="001924E7"/>
    <w:rsid w:val="00193022"/>
    <w:rsid w:val="0019381B"/>
    <w:rsid w:val="001950D3"/>
    <w:rsid w:val="001952F8"/>
    <w:rsid w:val="0019545F"/>
    <w:rsid w:val="001957C4"/>
    <w:rsid w:val="0019611C"/>
    <w:rsid w:val="001965F9"/>
    <w:rsid w:val="00196657"/>
    <w:rsid w:val="0019696D"/>
    <w:rsid w:val="00197047"/>
    <w:rsid w:val="00197520"/>
    <w:rsid w:val="001976A8"/>
    <w:rsid w:val="00197C81"/>
    <w:rsid w:val="00197C94"/>
    <w:rsid w:val="00197E7B"/>
    <w:rsid w:val="001A0427"/>
    <w:rsid w:val="001A18DD"/>
    <w:rsid w:val="001A1BF9"/>
    <w:rsid w:val="001A1F24"/>
    <w:rsid w:val="001A20B3"/>
    <w:rsid w:val="001A20BD"/>
    <w:rsid w:val="001A3556"/>
    <w:rsid w:val="001A361E"/>
    <w:rsid w:val="001A37B1"/>
    <w:rsid w:val="001A3931"/>
    <w:rsid w:val="001A3A6B"/>
    <w:rsid w:val="001A4508"/>
    <w:rsid w:val="001A4C8B"/>
    <w:rsid w:val="001A53FB"/>
    <w:rsid w:val="001A577B"/>
    <w:rsid w:val="001A6A43"/>
    <w:rsid w:val="001A7787"/>
    <w:rsid w:val="001B0028"/>
    <w:rsid w:val="001B0084"/>
    <w:rsid w:val="001B062F"/>
    <w:rsid w:val="001B06A6"/>
    <w:rsid w:val="001B086F"/>
    <w:rsid w:val="001B08F9"/>
    <w:rsid w:val="001B09B9"/>
    <w:rsid w:val="001B10E9"/>
    <w:rsid w:val="001B1498"/>
    <w:rsid w:val="001B2195"/>
    <w:rsid w:val="001B29CB"/>
    <w:rsid w:val="001B2A16"/>
    <w:rsid w:val="001B2F5D"/>
    <w:rsid w:val="001B2F84"/>
    <w:rsid w:val="001B31DB"/>
    <w:rsid w:val="001B38F9"/>
    <w:rsid w:val="001B3F5C"/>
    <w:rsid w:val="001B3FC5"/>
    <w:rsid w:val="001B44F9"/>
    <w:rsid w:val="001B48D6"/>
    <w:rsid w:val="001B4B5E"/>
    <w:rsid w:val="001B4B9E"/>
    <w:rsid w:val="001B54E7"/>
    <w:rsid w:val="001B6052"/>
    <w:rsid w:val="001B661C"/>
    <w:rsid w:val="001B661F"/>
    <w:rsid w:val="001B6837"/>
    <w:rsid w:val="001B6A85"/>
    <w:rsid w:val="001B6E9F"/>
    <w:rsid w:val="001B7130"/>
    <w:rsid w:val="001B7424"/>
    <w:rsid w:val="001B7679"/>
    <w:rsid w:val="001B780C"/>
    <w:rsid w:val="001B7AE2"/>
    <w:rsid w:val="001B7F8F"/>
    <w:rsid w:val="001C0448"/>
    <w:rsid w:val="001C04EA"/>
    <w:rsid w:val="001C0821"/>
    <w:rsid w:val="001C3222"/>
    <w:rsid w:val="001C374E"/>
    <w:rsid w:val="001C3782"/>
    <w:rsid w:val="001C3CAF"/>
    <w:rsid w:val="001C3D0C"/>
    <w:rsid w:val="001C3D2D"/>
    <w:rsid w:val="001C3DE2"/>
    <w:rsid w:val="001C3F8C"/>
    <w:rsid w:val="001C5208"/>
    <w:rsid w:val="001C5AFA"/>
    <w:rsid w:val="001C5D93"/>
    <w:rsid w:val="001C6107"/>
    <w:rsid w:val="001C75CC"/>
    <w:rsid w:val="001C795F"/>
    <w:rsid w:val="001D0130"/>
    <w:rsid w:val="001D0825"/>
    <w:rsid w:val="001D0F7E"/>
    <w:rsid w:val="001D17D3"/>
    <w:rsid w:val="001D19E2"/>
    <w:rsid w:val="001D1EE6"/>
    <w:rsid w:val="001D231E"/>
    <w:rsid w:val="001D2E93"/>
    <w:rsid w:val="001D2ED5"/>
    <w:rsid w:val="001D36AC"/>
    <w:rsid w:val="001D3893"/>
    <w:rsid w:val="001D3CCF"/>
    <w:rsid w:val="001D3F36"/>
    <w:rsid w:val="001D4008"/>
    <w:rsid w:val="001D4380"/>
    <w:rsid w:val="001D43E6"/>
    <w:rsid w:val="001D44AA"/>
    <w:rsid w:val="001D46FB"/>
    <w:rsid w:val="001D4918"/>
    <w:rsid w:val="001D4F1F"/>
    <w:rsid w:val="001D5B0E"/>
    <w:rsid w:val="001D63D8"/>
    <w:rsid w:val="001D647C"/>
    <w:rsid w:val="001D6C13"/>
    <w:rsid w:val="001D6F15"/>
    <w:rsid w:val="001D7025"/>
    <w:rsid w:val="001D7928"/>
    <w:rsid w:val="001D793A"/>
    <w:rsid w:val="001D7996"/>
    <w:rsid w:val="001E02AC"/>
    <w:rsid w:val="001E03D8"/>
    <w:rsid w:val="001E096B"/>
    <w:rsid w:val="001E104C"/>
    <w:rsid w:val="001E1175"/>
    <w:rsid w:val="001E14F1"/>
    <w:rsid w:val="001E18C9"/>
    <w:rsid w:val="001E1E63"/>
    <w:rsid w:val="001E221A"/>
    <w:rsid w:val="001E2643"/>
    <w:rsid w:val="001E2680"/>
    <w:rsid w:val="001E2DAB"/>
    <w:rsid w:val="001E3887"/>
    <w:rsid w:val="001E3B49"/>
    <w:rsid w:val="001E4D3A"/>
    <w:rsid w:val="001E4DF2"/>
    <w:rsid w:val="001E532C"/>
    <w:rsid w:val="001E5451"/>
    <w:rsid w:val="001E60FF"/>
    <w:rsid w:val="001E6514"/>
    <w:rsid w:val="001E6689"/>
    <w:rsid w:val="001E6C43"/>
    <w:rsid w:val="001E7552"/>
    <w:rsid w:val="001E7982"/>
    <w:rsid w:val="001E7CD4"/>
    <w:rsid w:val="001F034F"/>
    <w:rsid w:val="001F0538"/>
    <w:rsid w:val="001F0F99"/>
    <w:rsid w:val="001F0FC4"/>
    <w:rsid w:val="001F0FC7"/>
    <w:rsid w:val="001F1120"/>
    <w:rsid w:val="001F17C9"/>
    <w:rsid w:val="001F1DDA"/>
    <w:rsid w:val="001F230F"/>
    <w:rsid w:val="001F3FAF"/>
    <w:rsid w:val="001F41BE"/>
    <w:rsid w:val="001F4224"/>
    <w:rsid w:val="001F4636"/>
    <w:rsid w:val="001F4797"/>
    <w:rsid w:val="001F499D"/>
    <w:rsid w:val="001F4F23"/>
    <w:rsid w:val="001F5626"/>
    <w:rsid w:val="001F5CCA"/>
    <w:rsid w:val="001F7252"/>
    <w:rsid w:val="001F7425"/>
    <w:rsid w:val="001F7552"/>
    <w:rsid w:val="001F79E3"/>
    <w:rsid w:val="001F7FDC"/>
    <w:rsid w:val="002000E7"/>
    <w:rsid w:val="0020012D"/>
    <w:rsid w:val="002006E6"/>
    <w:rsid w:val="00200765"/>
    <w:rsid w:val="00201471"/>
    <w:rsid w:val="002017EE"/>
    <w:rsid w:val="00201A95"/>
    <w:rsid w:val="00201F7C"/>
    <w:rsid w:val="00203816"/>
    <w:rsid w:val="00204285"/>
    <w:rsid w:val="00204F73"/>
    <w:rsid w:val="00205294"/>
    <w:rsid w:val="00205565"/>
    <w:rsid w:val="00205F83"/>
    <w:rsid w:val="00206334"/>
    <w:rsid w:val="002067AF"/>
    <w:rsid w:val="002067CF"/>
    <w:rsid w:val="00206847"/>
    <w:rsid w:val="002068E0"/>
    <w:rsid w:val="0020716A"/>
    <w:rsid w:val="0020760D"/>
    <w:rsid w:val="00210840"/>
    <w:rsid w:val="00210991"/>
    <w:rsid w:val="0021155D"/>
    <w:rsid w:val="00211E75"/>
    <w:rsid w:val="00212280"/>
    <w:rsid w:val="00212555"/>
    <w:rsid w:val="00212710"/>
    <w:rsid w:val="00212860"/>
    <w:rsid w:val="00212E14"/>
    <w:rsid w:val="00213439"/>
    <w:rsid w:val="00213E6F"/>
    <w:rsid w:val="00214B72"/>
    <w:rsid w:val="00214F48"/>
    <w:rsid w:val="00215CFB"/>
    <w:rsid w:val="00215FC4"/>
    <w:rsid w:val="0021611C"/>
    <w:rsid w:val="00216BCC"/>
    <w:rsid w:val="00216EE2"/>
    <w:rsid w:val="00217079"/>
    <w:rsid w:val="00217230"/>
    <w:rsid w:val="0021723B"/>
    <w:rsid w:val="002172E0"/>
    <w:rsid w:val="002175EC"/>
    <w:rsid w:val="002178D7"/>
    <w:rsid w:val="00220909"/>
    <w:rsid w:val="00220FF2"/>
    <w:rsid w:val="0022182C"/>
    <w:rsid w:val="002220E3"/>
    <w:rsid w:val="00222327"/>
    <w:rsid w:val="00222348"/>
    <w:rsid w:val="0022269F"/>
    <w:rsid w:val="00222BD5"/>
    <w:rsid w:val="0022305C"/>
    <w:rsid w:val="0022306A"/>
    <w:rsid w:val="002240F0"/>
    <w:rsid w:val="002242E5"/>
    <w:rsid w:val="00224736"/>
    <w:rsid w:val="00224C91"/>
    <w:rsid w:val="00225B12"/>
    <w:rsid w:val="0022641D"/>
    <w:rsid w:val="00226FCD"/>
    <w:rsid w:val="002270FE"/>
    <w:rsid w:val="00227D9D"/>
    <w:rsid w:val="00230246"/>
    <w:rsid w:val="00230630"/>
    <w:rsid w:val="0023092D"/>
    <w:rsid w:val="00230EA0"/>
    <w:rsid w:val="002310CB"/>
    <w:rsid w:val="00231208"/>
    <w:rsid w:val="00231623"/>
    <w:rsid w:val="00231760"/>
    <w:rsid w:val="00231DB3"/>
    <w:rsid w:val="00231E0D"/>
    <w:rsid w:val="00232035"/>
    <w:rsid w:val="00232B7A"/>
    <w:rsid w:val="002336CD"/>
    <w:rsid w:val="00233794"/>
    <w:rsid w:val="0023391C"/>
    <w:rsid w:val="002342FE"/>
    <w:rsid w:val="00234B1C"/>
    <w:rsid w:val="00234BD8"/>
    <w:rsid w:val="0023530E"/>
    <w:rsid w:val="0023583E"/>
    <w:rsid w:val="0023597A"/>
    <w:rsid w:val="00236101"/>
    <w:rsid w:val="002361F3"/>
    <w:rsid w:val="00236598"/>
    <w:rsid w:val="00236D7E"/>
    <w:rsid w:val="0023782F"/>
    <w:rsid w:val="00237B85"/>
    <w:rsid w:val="00237D52"/>
    <w:rsid w:val="002415F2"/>
    <w:rsid w:val="00241764"/>
    <w:rsid w:val="00241E61"/>
    <w:rsid w:val="002422F0"/>
    <w:rsid w:val="002427B7"/>
    <w:rsid w:val="00242F25"/>
    <w:rsid w:val="00243191"/>
    <w:rsid w:val="00243196"/>
    <w:rsid w:val="0024335C"/>
    <w:rsid w:val="002435A1"/>
    <w:rsid w:val="00243AAB"/>
    <w:rsid w:val="00243AB9"/>
    <w:rsid w:val="00243AD0"/>
    <w:rsid w:val="00243CFF"/>
    <w:rsid w:val="00243D6A"/>
    <w:rsid w:val="00243F0A"/>
    <w:rsid w:val="002442BC"/>
    <w:rsid w:val="00245048"/>
    <w:rsid w:val="002450DF"/>
    <w:rsid w:val="002456AB"/>
    <w:rsid w:val="002456E7"/>
    <w:rsid w:val="00245E05"/>
    <w:rsid w:val="00245E19"/>
    <w:rsid w:val="0024638D"/>
    <w:rsid w:val="002466CF"/>
    <w:rsid w:val="002468B1"/>
    <w:rsid w:val="002469CF"/>
    <w:rsid w:val="00246A91"/>
    <w:rsid w:val="00247077"/>
    <w:rsid w:val="00247257"/>
    <w:rsid w:val="00247AC2"/>
    <w:rsid w:val="0025070A"/>
    <w:rsid w:val="00250A72"/>
    <w:rsid w:val="00250F39"/>
    <w:rsid w:val="002510AC"/>
    <w:rsid w:val="0025110B"/>
    <w:rsid w:val="00251178"/>
    <w:rsid w:val="00251327"/>
    <w:rsid w:val="00251380"/>
    <w:rsid w:val="00251938"/>
    <w:rsid w:val="00251D14"/>
    <w:rsid w:val="00251E2E"/>
    <w:rsid w:val="002524E6"/>
    <w:rsid w:val="00252AB7"/>
    <w:rsid w:val="00252B6E"/>
    <w:rsid w:val="00253192"/>
    <w:rsid w:val="0025322C"/>
    <w:rsid w:val="00253914"/>
    <w:rsid w:val="00253B48"/>
    <w:rsid w:val="00253EED"/>
    <w:rsid w:val="002543F1"/>
    <w:rsid w:val="002554BE"/>
    <w:rsid w:val="002554F1"/>
    <w:rsid w:val="0025553E"/>
    <w:rsid w:val="00255C48"/>
    <w:rsid w:val="00255FEF"/>
    <w:rsid w:val="002560C0"/>
    <w:rsid w:val="00256281"/>
    <w:rsid w:val="002566F6"/>
    <w:rsid w:val="00256BA3"/>
    <w:rsid w:val="00256C95"/>
    <w:rsid w:val="0025732F"/>
    <w:rsid w:val="0025739A"/>
    <w:rsid w:val="00257465"/>
    <w:rsid w:val="002575FB"/>
    <w:rsid w:val="00257ABA"/>
    <w:rsid w:val="00257CA4"/>
    <w:rsid w:val="00257D92"/>
    <w:rsid w:val="00257DD7"/>
    <w:rsid w:val="00257EEF"/>
    <w:rsid w:val="00260C93"/>
    <w:rsid w:val="0026134D"/>
    <w:rsid w:val="00261606"/>
    <w:rsid w:val="00261692"/>
    <w:rsid w:val="002618C3"/>
    <w:rsid w:val="00261BCC"/>
    <w:rsid w:val="00261D5D"/>
    <w:rsid w:val="002620BE"/>
    <w:rsid w:val="00262B25"/>
    <w:rsid w:val="00263170"/>
    <w:rsid w:val="0026337D"/>
    <w:rsid w:val="00263A10"/>
    <w:rsid w:val="00263CC1"/>
    <w:rsid w:val="00263DDF"/>
    <w:rsid w:val="002642B6"/>
    <w:rsid w:val="00264A84"/>
    <w:rsid w:val="00264BFF"/>
    <w:rsid w:val="002657DD"/>
    <w:rsid w:val="00265AC7"/>
    <w:rsid w:val="00266597"/>
    <w:rsid w:val="0026661A"/>
    <w:rsid w:val="002677BD"/>
    <w:rsid w:val="00267C18"/>
    <w:rsid w:val="00267F86"/>
    <w:rsid w:val="00270081"/>
    <w:rsid w:val="00270138"/>
    <w:rsid w:val="002701E8"/>
    <w:rsid w:val="00270720"/>
    <w:rsid w:val="00270894"/>
    <w:rsid w:val="0027273C"/>
    <w:rsid w:val="00272C3A"/>
    <w:rsid w:val="002731DF"/>
    <w:rsid w:val="0027320A"/>
    <w:rsid w:val="0027363F"/>
    <w:rsid w:val="00273E20"/>
    <w:rsid w:val="002741DF"/>
    <w:rsid w:val="002742BE"/>
    <w:rsid w:val="00274E89"/>
    <w:rsid w:val="002755B1"/>
    <w:rsid w:val="00276023"/>
    <w:rsid w:val="002766C8"/>
    <w:rsid w:val="0027689A"/>
    <w:rsid w:val="00276A65"/>
    <w:rsid w:val="00277044"/>
    <w:rsid w:val="00277329"/>
    <w:rsid w:val="00277335"/>
    <w:rsid w:val="002779DD"/>
    <w:rsid w:val="002801F3"/>
    <w:rsid w:val="00280924"/>
    <w:rsid w:val="0028115C"/>
    <w:rsid w:val="002813BF"/>
    <w:rsid w:val="0028152E"/>
    <w:rsid w:val="002817E9"/>
    <w:rsid w:val="00281FAC"/>
    <w:rsid w:val="00282692"/>
    <w:rsid w:val="00282952"/>
    <w:rsid w:val="00282F7A"/>
    <w:rsid w:val="002838F6"/>
    <w:rsid w:val="00283CE0"/>
    <w:rsid w:val="00283D93"/>
    <w:rsid w:val="00284458"/>
    <w:rsid w:val="002847FD"/>
    <w:rsid w:val="0028518F"/>
    <w:rsid w:val="002853CE"/>
    <w:rsid w:val="0028554D"/>
    <w:rsid w:val="002858AF"/>
    <w:rsid w:val="00285B42"/>
    <w:rsid w:val="00285BC5"/>
    <w:rsid w:val="00285F8E"/>
    <w:rsid w:val="002861BC"/>
    <w:rsid w:val="00286374"/>
    <w:rsid w:val="00286C0C"/>
    <w:rsid w:val="00286CBE"/>
    <w:rsid w:val="00287382"/>
    <w:rsid w:val="0028777B"/>
    <w:rsid w:val="002877C3"/>
    <w:rsid w:val="00287E43"/>
    <w:rsid w:val="002905C0"/>
    <w:rsid w:val="00290733"/>
    <w:rsid w:val="002907C2"/>
    <w:rsid w:val="00291078"/>
    <w:rsid w:val="0029112B"/>
    <w:rsid w:val="0029159D"/>
    <w:rsid w:val="00291D99"/>
    <w:rsid w:val="00291F08"/>
    <w:rsid w:val="00292147"/>
    <w:rsid w:val="00292DC7"/>
    <w:rsid w:val="002932B9"/>
    <w:rsid w:val="002933E8"/>
    <w:rsid w:val="0029344D"/>
    <w:rsid w:val="0029385E"/>
    <w:rsid w:val="00293F43"/>
    <w:rsid w:val="002940B8"/>
    <w:rsid w:val="00294F5B"/>
    <w:rsid w:val="002973E2"/>
    <w:rsid w:val="00297800"/>
    <w:rsid w:val="0029793D"/>
    <w:rsid w:val="00297A8C"/>
    <w:rsid w:val="002A00FE"/>
    <w:rsid w:val="002A0A93"/>
    <w:rsid w:val="002A108B"/>
    <w:rsid w:val="002A14E4"/>
    <w:rsid w:val="002A16DD"/>
    <w:rsid w:val="002A18D0"/>
    <w:rsid w:val="002A1DD5"/>
    <w:rsid w:val="002A1FF9"/>
    <w:rsid w:val="002A202C"/>
    <w:rsid w:val="002A22A8"/>
    <w:rsid w:val="002A33D6"/>
    <w:rsid w:val="002A36AB"/>
    <w:rsid w:val="002A3AC9"/>
    <w:rsid w:val="002A4FA9"/>
    <w:rsid w:val="002A4FDC"/>
    <w:rsid w:val="002A52A9"/>
    <w:rsid w:val="002A53F4"/>
    <w:rsid w:val="002A54B8"/>
    <w:rsid w:val="002A55D6"/>
    <w:rsid w:val="002A5AF8"/>
    <w:rsid w:val="002A5BD0"/>
    <w:rsid w:val="002A6007"/>
    <w:rsid w:val="002A62EB"/>
    <w:rsid w:val="002A6770"/>
    <w:rsid w:val="002A69A9"/>
    <w:rsid w:val="002A69C4"/>
    <w:rsid w:val="002A6A4F"/>
    <w:rsid w:val="002A6E86"/>
    <w:rsid w:val="002A7530"/>
    <w:rsid w:val="002A7662"/>
    <w:rsid w:val="002A76EB"/>
    <w:rsid w:val="002A77E1"/>
    <w:rsid w:val="002A7F40"/>
    <w:rsid w:val="002B0F20"/>
    <w:rsid w:val="002B2541"/>
    <w:rsid w:val="002B2D59"/>
    <w:rsid w:val="002B2E2A"/>
    <w:rsid w:val="002B3057"/>
    <w:rsid w:val="002B30D1"/>
    <w:rsid w:val="002B32E2"/>
    <w:rsid w:val="002B3539"/>
    <w:rsid w:val="002B3B93"/>
    <w:rsid w:val="002B42D5"/>
    <w:rsid w:val="002B4418"/>
    <w:rsid w:val="002B4CC4"/>
    <w:rsid w:val="002B4F36"/>
    <w:rsid w:val="002B4FFB"/>
    <w:rsid w:val="002B512D"/>
    <w:rsid w:val="002B64F8"/>
    <w:rsid w:val="002B6595"/>
    <w:rsid w:val="002B6FB5"/>
    <w:rsid w:val="002B7018"/>
    <w:rsid w:val="002B7111"/>
    <w:rsid w:val="002B7C33"/>
    <w:rsid w:val="002C0798"/>
    <w:rsid w:val="002C083B"/>
    <w:rsid w:val="002C114F"/>
    <w:rsid w:val="002C1338"/>
    <w:rsid w:val="002C1678"/>
    <w:rsid w:val="002C2228"/>
    <w:rsid w:val="002C2430"/>
    <w:rsid w:val="002C24AC"/>
    <w:rsid w:val="002C282F"/>
    <w:rsid w:val="002C2B8C"/>
    <w:rsid w:val="002C3223"/>
    <w:rsid w:val="002C3ADB"/>
    <w:rsid w:val="002C3DBE"/>
    <w:rsid w:val="002C4D96"/>
    <w:rsid w:val="002C5A6A"/>
    <w:rsid w:val="002C5BE9"/>
    <w:rsid w:val="002C6327"/>
    <w:rsid w:val="002C633C"/>
    <w:rsid w:val="002C6677"/>
    <w:rsid w:val="002C6C31"/>
    <w:rsid w:val="002C71BE"/>
    <w:rsid w:val="002C766B"/>
    <w:rsid w:val="002C7A0B"/>
    <w:rsid w:val="002D0B48"/>
    <w:rsid w:val="002D13E4"/>
    <w:rsid w:val="002D17FB"/>
    <w:rsid w:val="002D18C3"/>
    <w:rsid w:val="002D1A30"/>
    <w:rsid w:val="002D1DFC"/>
    <w:rsid w:val="002D2383"/>
    <w:rsid w:val="002D2E6A"/>
    <w:rsid w:val="002D2EB9"/>
    <w:rsid w:val="002D3574"/>
    <w:rsid w:val="002D38B4"/>
    <w:rsid w:val="002D3E55"/>
    <w:rsid w:val="002D3FBB"/>
    <w:rsid w:val="002D464E"/>
    <w:rsid w:val="002D4E0A"/>
    <w:rsid w:val="002D5ACC"/>
    <w:rsid w:val="002D5CCA"/>
    <w:rsid w:val="002D67A1"/>
    <w:rsid w:val="002D6E9E"/>
    <w:rsid w:val="002D6F86"/>
    <w:rsid w:val="002D7188"/>
    <w:rsid w:val="002D721E"/>
    <w:rsid w:val="002D7257"/>
    <w:rsid w:val="002D7AB3"/>
    <w:rsid w:val="002D7C8A"/>
    <w:rsid w:val="002D7D0E"/>
    <w:rsid w:val="002E065B"/>
    <w:rsid w:val="002E0765"/>
    <w:rsid w:val="002E07B9"/>
    <w:rsid w:val="002E0B1F"/>
    <w:rsid w:val="002E11A4"/>
    <w:rsid w:val="002E1203"/>
    <w:rsid w:val="002E1370"/>
    <w:rsid w:val="002E1442"/>
    <w:rsid w:val="002E16D5"/>
    <w:rsid w:val="002E19D2"/>
    <w:rsid w:val="002E1C13"/>
    <w:rsid w:val="002E2FEE"/>
    <w:rsid w:val="002E3163"/>
    <w:rsid w:val="002E33B6"/>
    <w:rsid w:val="002E3B49"/>
    <w:rsid w:val="002E4E76"/>
    <w:rsid w:val="002E5AB5"/>
    <w:rsid w:val="002E5DA4"/>
    <w:rsid w:val="002E6AC2"/>
    <w:rsid w:val="002E7036"/>
    <w:rsid w:val="002E731B"/>
    <w:rsid w:val="002E7400"/>
    <w:rsid w:val="002F0504"/>
    <w:rsid w:val="002F0688"/>
    <w:rsid w:val="002F0B4A"/>
    <w:rsid w:val="002F0E4B"/>
    <w:rsid w:val="002F0EA3"/>
    <w:rsid w:val="002F1045"/>
    <w:rsid w:val="002F11EB"/>
    <w:rsid w:val="002F12A1"/>
    <w:rsid w:val="002F1359"/>
    <w:rsid w:val="002F17AA"/>
    <w:rsid w:val="002F17E7"/>
    <w:rsid w:val="002F190E"/>
    <w:rsid w:val="002F1D83"/>
    <w:rsid w:val="002F215B"/>
    <w:rsid w:val="002F231C"/>
    <w:rsid w:val="002F3CB9"/>
    <w:rsid w:val="002F4211"/>
    <w:rsid w:val="002F47E7"/>
    <w:rsid w:val="002F5B43"/>
    <w:rsid w:val="002F6103"/>
    <w:rsid w:val="002F6B62"/>
    <w:rsid w:val="002F6EA4"/>
    <w:rsid w:val="002F7498"/>
    <w:rsid w:val="002F7534"/>
    <w:rsid w:val="002F7843"/>
    <w:rsid w:val="002F79A9"/>
    <w:rsid w:val="00300005"/>
    <w:rsid w:val="00300E0B"/>
    <w:rsid w:val="003013DC"/>
    <w:rsid w:val="0030183E"/>
    <w:rsid w:val="00302028"/>
    <w:rsid w:val="00302138"/>
    <w:rsid w:val="00302AA3"/>
    <w:rsid w:val="00302BE9"/>
    <w:rsid w:val="0030332C"/>
    <w:rsid w:val="00304868"/>
    <w:rsid w:val="00304C38"/>
    <w:rsid w:val="0030502B"/>
    <w:rsid w:val="003052C9"/>
    <w:rsid w:val="003052D7"/>
    <w:rsid w:val="003056C3"/>
    <w:rsid w:val="00305D6C"/>
    <w:rsid w:val="00306639"/>
    <w:rsid w:val="00306F56"/>
    <w:rsid w:val="0030782A"/>
    <w:rsid w:val="00307C80"/>
    <w:rsid w:val="00310788"/>
    <w:rsid w:val="003109B5"/>
    <w:rsid w:val="00310A7F"/>
    <w:rsid w:val="00310AC8"/>
    <w:rsid w:val="0031146F"/>
    <w:rsid w:val="00311482"/>
    <w:rsid w:val="00311853"/>
    <w:rsid w:val="003119F1"/>
    <w:rsid w:val="00311B9C"/>
    <w:rsid w:val="00311D15"/>
    <w:rsid w:val="00311E7A"/>
    <w:rsid w:val="003123A7"/>
    <w:rsid w:val="003128D0"/>
    <w:rsid w:val="00312D5D"/>
    <w:rsid w:val="00312D8D"/>
    <w:rsid w:val="00312F3E"/>
    <w:rsid w:val="00313537"/>
    <w:rsid w:val="00313ADE"/>
    <w:rsid w:val="00313BA8"/>
    <w:rsid w:val="00313D1D"/>
    <w:rsid w:val="00313E62"/>
    <w:rsid w:val="00314219"/>
    <w:rsid w:val="003143C7"/>
    <w:rsid w:val="0031456B"/>
    <w:rsid w:val="00314E5F"/>
    <w:rsid w:val="00315D79"/>
    <w:rsid w:val="00316BD5"/>
    <w:rsid w:val="00317368"/>
    <w:rsid w:val="003177A0"/>
    <w:rsid w:val="00320F5A"/>
    <w:rsid w:val="0032121E"/>
    <w:rsid w:val="0032149F"/>
    <w:rsid w:val="00321AA0"/>
    <w:rsid w:val="00321DC9"/>
    <w:rsid w:val="00321E0F"/>
    <w:rsid w:val="00321E5E"/>
    <w:rsid w:val="00322504"/>
    <w:rsid w:val="00322598"/>
    <w:rsid w:val="003225B6"/>
    <w:rsid w:val="00322666"/>
    <w:rsid w:val="00322996"/>
    <w:rsid w:val="00322BF1"/>
    <w:rsid w:val="003232D0"/>
    <w:rsid w:val="003244C1"/>
    <w:rsid w:val="00324658"/>
    <w:rsid w:val="00324F9B"/>
    <w:rsid w:val="003253C2"/>
    <w:rsid w:val="0032568C"/>
    <w:rsid w:val="0032605B"/>
    <w:rsid w:val="00326991"/>
    <w:rsid w:val="00327096"/>
    <w:rsid w:val="003271CB"/>
    <w:rsid w:val="003273D6"/>
    <w:rsid w:val="003274E4"/>
    <w:rsid w:val="00327537"/>
    <w:rsid w:val="003278BE"/>
    <w:rsid w:val="003301CF"/>
    <w:rsid w:val="00330945"/>
    <w:rsid w:val="00330F03"/>
    <w:rsid w:val="00330F2C"/>
    <w:rsid w:val="0033115A"/>
    <w:rsid w:val="00331215"/>
    <w:rsid w:val="00331351"/>
    <w:rsid w:val="00331885"/>
    <w:rsid w:val="00331CF6"/>
    <w:rsid w:val="00331F12"/>
    <w:rsid w:val="00331FC8"/>
    <w:rsid w:val="003320A0"/>
    <w:rsid w:val="00332266"/>
    <w:rsid w:val="0033232D"/>
    <w:rsid w:val="00332496"/>
    <w:rsid w:val="00332497"/>
    <w:rsid w:val="003325EE"/>
    <w:rsid w:val="00332985"/>
    <w:rsid w:val="00332BB2"/>
    <w:rsid w:val="003341EF"/>
    <w:rsid w:val="0033454D"/>
    <w:rsid w:val="003345BA"/>
    <w:rsid w:val="00334DC2"/>
    <w:rsid w:val="00335033"/>
    <w:rsid w:val="003362CD"/>
    <w:rsid w:val="003369B3"/>
    <w:rsid w:val="00336BCC"/>
    <w:rsid w:val="00336CA5"/>
    <w:rsid w:val="003370CB"/>
    <w:rsid w:val="0033724F"/>
    <w:rsid w:val="00337EDA"/>
    <w:rsid w:val="00340015"/>
    <w:rsid w:val="0034006C"/>
    <w:rsid w:val="0034012E"/>
    <w:rsid w:val="0034029D"/>
    <w:rsid w:val="0034033F"/>
    <w:rsid w:val="003406DB"/>
    <w:rsid w:val="0034080B"/>
    <w:rsid w:val="00340F9F"/>
    <w:rsid w:val="0034155C"/>
    <w:rsid w:val="00341706"/>
    <w:rsid w:val="00341D5B"/>
    <w:rsid w:val="00342F6D"/>
    <w:rsid w:val="003430F8"/>
    <w:rsid w:val="00343AE3"/>
    <w:rsid w:val="00343E41"/>
    <w:rsid w:val="0034409B"/>
    <w:rsid w:val="003441D8"/>
    <w:rsid w:val="003444B1"/>
    <w:rsid w:val="0034458C"/>
    <w:rsid w:val="00344E01"/>
    <w:rsid w:val="003451BD"/>
    <w:rsid w:val="003457A4"/>
    <w:rsid w:val="0034611D"/>
    <w:rsid w:val="00346258"/>
    <w:rsid w:val="003462EB"/>
    <w:rsid w:val="00346515"/>
    <w:rsid w:val="00346B8B"/>
    <w:rsid w:val="00346F6B"/>
    <w:rsid w:val="0034703D"/>
    <w:rsid w:val="003472B2"/>
    <w:rsid w:val="00347D22"/>
    <w:rsid w:val="003500A9"/>
    <w:rsid w:val="00350547"/>
    <w:rsid w:val="00350650"/>
    <w:rsid w:val="00350C7C"/>
    <w:rsid w:val="003517A2"/>
    <w:rsid w:val="00351B23"/>
    <w:rsid w:val="00351E72"/>
    <w:rsid w:val="00352103"/>
    <w:rsid w:val="00352CFD"/>
    <w:rsid w:val="00352D3B"/>
    <w:rsid w:val="0035306F"/>
    <w:rsid w:val="003530AD"/>
    <w:rsid w:val="0035318F"/>
    <w:rsid w:val="0035364A"/>
    <w:rsid w:val="00353CD6"/>
    <w:rsid w:val="00353D4C"/>
    <w:rsid w:val="00354037"/>
    <w:rsid w:val="00354D78"/>
    <w:rsid w:val="003550EC"/>
    <w:rsid w:val="00355C63"/>
    <w:rsid w:val="00355CF3"/>
    <w:rsid w:val="0035643D"/>
    <w:rsid w:val="00356A53"/>
    <w:rsid w:val="00356D05"/>
    <w:rsid w:val="003570AE"/>
    <w:rsid w:val="00357AE8"/>
    <w:rsid w:val="0035F9C6"/>
    <w:rsid w:val="00360E4A"/>
    <w:rsid w:val="00360F2A"/>
    <w:rsid w:val="003612CB"/>
    <w:rsid w:val="0036141C"/>
    <w:rsid w:val="003618EE"/>
    <w:rsid w:val="00361A58"/>
    <w:rsid w:val="00361F78"/>
    <w:rsid w:val="003623DE"/>
    <w:rsid w:val="00362CD3"/>
    <w:rsid w:val="00362D72"/>
    <w:rsid w:val="00362F05"/>
    <w:rsid w:val="0036301D"/>
    <w:rsid w:val="003633B6"/>
    <w:rsid w:val="0036358E"/>
    <w:rsid w:val="00363C59"/>
    <w:rsid w:val="0036452C"/>
    <w:rsid w:val="00364869"/>
    <w:rsid w:val="00364923"/>
    <w:rsid w:val="0036529D"/>
    <w:rsid w:val="00365481"/>
    <w:rsid w:val="00365504"/>
    <w:rsid w:val="00366611"/>
    <w:rsid w:val="003666F4"/>
    <w:rsid w:val="003666F6"/>
    <w:rsid w:val="003668B5"/>
    <w:rsid w:val="00366A09"/>
    <w:rsid w:val="00366B77"/>
    <w:rsid w:val="00366BF1"/>
    <w:rsid w:val="00366F84"/>
    <w:rsid w:val="003672C6"/>
    <w:rsid w:val="003676CD"/>
    <w:rsid w:val="00367827"/>
    <w:rsid w:val="00367C5D"/>
    <w:rsid w:val="0037044A"/>
    <w:rsid w:val="003705DA"/>
    <w:rsid w:val="00370697"/>
    <w:rsid w:val="00370A32"/>
    <w:rsid w:val="00370DBD"/>
    <w:rsid w:val="00370F1F"/>
    <w:rsid w:val="00371234"/>
    <w:rsid w:val="00371366"/>
    <w:rsid w:val="0037150B"/>
    <w:rsid w:val="00371658"/>
    <w:rsid w:val="003716ED"/>
    <w:rsid w:val="00371C96"/>
    <w:rsid w:val="00371EA2"/>
    <w:rsid w:val="00372986"/>
    <w:rsid w:val="00373135"/>
    <w:rsid w:val="00373258"/>
    <w:rsid w:val="003735EA"/>
    <w:rsid w:val="003737B2"/>
    <w:rsid w:val="00373846"/>
    <w:rsid w:val="00373C49"/>
    <w:rsid w:val="00373F98"/>
    <w:rsid w:val="003741E3"/>
    <w:rsid w:val="00374358"/>
    <w:rsid w:val="003744E9"/>
    <w:rsid w:val="00375416"/>
    <w:rsid w:val="00375478"/>
    <w:rsid w:val="003757AE"/>
    <w:rsid w:val="00375A1E"/>
    <w:rsid w:val="00375AC0"/>
    <w:rsid w:val="00376A38"/>
    <w:rsid w:val="00376A72"/>
    <w:rsid w:val="00376F46"/>
    <w:rsid w:val="00377310"/>
    <w:rsid w:val="00377739"/>
    <w:rsid w:val="00377C02"/>
    <w:rsid w:val="00377D54"/>
    <w:rsid w:val="003801C1"/>
    <w:rsid w:val="00380285"/>
    <w:rsid w:val="00380F80"/>
    <w:rsid w:val="00381F09"/>
    <w:rsid w:val="003824D6"/>
    <w:rsid w:val="0038270D"/>
    <w:rsid w:val="003827BA"/>
    <w:rsid w:val="003827C8"/>
    <w:rsid w:val="003835FD"/>
    <w:rsid w:val="0038368F"/>
    <w:rsid w:val="00383BCC"/>
    <w:rsid w:val="00383D82"/>
    <w:rsid w:val="00383F0A"/>
    <w:rsid w:val="00384451"/>
    <w:rsid w:val="00384639"/>
    <w:rsid w:val="00386023"/>
    <w:rsid w:val="0038654A"/>
    <w:rsid w:val="0038672E"/>
    <w:rsid w:val="00386BBF"/>
    <w:rsid w:val="00387076"/>
    <w:rsid w:val="0038720E"/>
    <w:rsid w:val="00387252"/>
    <w:rsid w:val="00387BAE"/>
    <w:rsid w:val="00390417"/>
    <w:rsid w:val="00390677"/>
    <w:rsid w:val="00391064"/>
    <w:rsid w:val="00391613"/>
    <w:rsid w:val="00391DB9"/>
    <w:rsid w:val="00391FDA"/>
    <w:rsid w:val="003921FD"/>
    <w:rsid w:val="003923FE"/>
    <w:rsid w:val="003929F2"/>
    <w:rsid w:val="00393195"/>
    <w:rsid w:val="003935E4"/>
    <w:rsid w:val="003938BF"/>
    <w:rsid w:val="00393E9B"/>
    <w:rsid w:val="00394098"/>
    <w:rsid w:val="003949E6"/>
    <w:rsid w:val="00395100"/>
    <w:rsid w:val="00395D06"/>
    <w:rsid w:val="003961BA"/>
    <w:rsid w:val="003964AB"/>
    <w:rsid w:val="003977B0"/>
    <w:rsid w:val="00397C65"/>
    <w:rsid w:val="003A07D7"/>
    <w:rsid w:val="003A08DC"/>
    <w:rsid w:val="003A0F5F"/>
    <w:rsid w:val="003A10B7"/>
    <w:rsid w:val="003A19F5"/>
    <w:rsid w:val="003A1A66"/>
    <w:rsid w:val="003A1DE4"/>
    <w:rsid w:val="003A21DC"/>
    <w:rsid w:val="003A253F"/>
    <w:rsid w:val="003A26C0"/>
    <w:rsid w:val="003A28AE"/>
    <w:rsid w:val="003A28E4"/>
    <w:rsid w:val="003A37C6"/>
    <w:rsid w:val="003A38A5"/>
    <w:rsid w:val="003A3B2C"/>
    <w:rsid w:val="003A3FF1"/>
    <w:rsid w:val="003A4069"/>
    <w:rsid w:val="003A424A"/>
    <w:rsid w:val="003A436B"/>
    <w:rsid w:val="003A44C3"/>
    <w:rsid w:val="003A4628"/>
    <w:rsid w:val="003A46E7"/>
    <w:rsid w:val="003A4FD0"/>
    <w:rsid w:val="003A5215"/>
    <w:rsid w:val="003A5419"/>
    <w:rsid w:val="003A542A"/>
    <w:rsid w:val="003A55E2"/>
    <w:rsid w:val="003A561D"/>
    <w:rsid w:val="003A59F4"/>
    <w:rsid w:val="003A5FD5"/>
    <w:rsid w:val="003A6F13"/>
    <w:rsid w:val="003A75A3"/>
    <w:rsid w:val="003A7D22"/>
    <w:rsid w:val="003A7E00"/>
    <w:rsid w:val="003B0018"/>
    <w:rsid w:val="003B01CD"/>
    <w:rsid w:val="003B0A0A"/>
    <w:rsid w:val="003B0C68"/>
    <w:rsid w:val="003B0DFB"/>
    <w:rsid w:val="003B1653"/>
    <w:rsid w:val="003B1BE2"/>
    <w:rsid w:val="003B2318"/>
    <w:rsid w:val="003B2413"/>
    <w:rsid w:val="003B33F3"/>
    <w:rsid w:val="003B3857"/>
    <w:rsid w:val="003B3953"/>
    <w:rsid w:val="003B395A"/>
    <w:rsid w:val="003B46E0"/>
    <w:rsid w:val="003B488D"/>
    <w:rsid w:val="003B4B67"/>
    <w:rsid w:val="003B56B1"/>
    <w:rsid w:val="003B5862"/>
    <w:rsid w:val="003B5B91"/>
    <w:rsid w:val="003B6081"/>
    <w:rsid w:val="003B6939"/>
    <w:rsid w:val="003B6ECB"/>
    <w:rsid w:val="003B7431"/>
    <w:rsid w:val="003B760A"/>
    <w:rsid w:val="003B791D"/>
    <w:rsid w:val="003C002E"/>
    <w:rsid w:val="003C04F8"/>
    <w:rsid w:val="003C0721"/>
    <w:rsid w:val="003C0A69"/>
    <w:rsid w:val="003C0CC9"/>
    <w:rsid w:val="003C1008"/>
    <w:rsid w:val="003C1B83"/>
    <w:rsid w:val="003C2388"/>
    <w:rsid w:val="003C2BD1"/>
    <w:rsid w:val="003C2F4F"/>
    <w:rsid w:val="003C30D0"/>
    <w:rsid w:val="003C3272"/>
    <w:rsid w:val="003C34F9"/>
    <w:rsid w:val="003C404A"/>
    <w:rsid w:val="003C4A06"/>
    <w:rsid w:val="003C4A26"/>
    <w:rsid w:val="003C4B5A"/>
    <w:rsid w:val="003C4BD3"/>
    <w:rsid w:val="003C5172"/>
    <w:rsid w:val="003C5180"/>
    <w:rsid w:val="003C5C1C"/>
    <w:rsid w:val="003C5DEE"/>
    <w:rsid w:val="003C5DF4"/>
    <w:rsid w:val="003C603B"/>
    <w:rsid w:val="003C603D"/>
    <w:rsid w:val="003C6485"/>
    <w:rsid w:val="003C7C4F"/>
    <w:rsid w:val="003C7D13"/>
    <w:rsid w:val="003C7D45"/>
    <w:rsid w:val="003D03AD"/>
    <w:rsid w:val="003D056A"/>
    <w:rsid w:val="003D0A87"/>
    <w:rsid w:val="003D0B10"/>
    <w:rsid w:val="003D0EFC"/>
    <w:rsid w:val="003D18EE"/>
    <w:rsid w:val="003D19FB"/>
    <w:rsid w:val="003D1CC3"/>
    <w:rsid w:val="003D1DFD"/>
    <w:rsid w:val="003D1F2E"/>
    <w:rsid w:val="003D2097"/>
    <w:rsid w:val="003D20AE"/>
    <w:rsid w:val="003D21AD"/>
    <w:rsid w:val="003D2392"/>
    <w:rsid w:val="003D25AD"/>
    <w:rsid w:val="003D2C1D"/>
    <w:rsid w:val="003D32AC"/>
    <w:rsid w:val="003D36DB"/>
    <w:rsid w:val="003D38EC"/>
    <w:rsid w:val="003D3D46"/>
    <w:rsid w:val="003D40D8"/>
    <w:rsid w:val="003D441D"/>
    <w:rsid w:val="003D4697"/>
    <w:rsid w:val="003D474A"/>
    <w:rsid w:val="003D4A15"/>
    <w:rsid w:val="003D4D14"/>
    <w:rsid w:val="003D4D8E"/>
    <w:rsid w:val="003D5D37"/>
    <w:rsid w:val="003D61FE"/>
    <w:rsid w:val="003D687F"/>
    <w:rsid w:val="003D69B3"/>
    <w:rsid w:val="003D6F31"/>
    <w:rsid w:val="003D74F6"/>
    <w:rsid w:val="003D7559"/>
    <w:rsid w:val="003E03B1"/>
    <w:rsid w:val="003E0FAB"/>
    <w:rsid w:val="003E1392"/>
    <w:rsid w:val="003E1613"/>
    <w:rsid w:val="003E16E9"/>
    <w:rsid w:val="003E180C"/>
    <w:rsid w:val="003E1CEB"/>
    <w:rsid w:val="003E2173"/>
    <w:rsid w:val="003E2236"/>
    <w:rsid w:val="003E2407"/>
    <w:rsid w:val="003E2562"/>
    <w:rsid w:val="003E25AF"/>
    <w:rsid w:val="003E3042"/>
    <w:rsid w:val="003E3497"/>
    <w:rsid w:val="003E396B"/>
    <w:rsid w:val="003E397A"/>
    <w:rsid w:val="003E399C"/>
    <w:rsid w:val="003E3A8F"/>
    <w:rsid w:val="003E3FC2"/>
    <w:rsid w:val="003E4161"/>
    <w:rsid w:val="003E41E5"/>
    <w:rsid w:val="003E42AF"/>
    <w:rsid w:val="003E4CA7"/>
    <w:rsid w:val="003E51C1"/>
    <w:rsid w:val="003E5248"/>
    <w:rsid w:val="003E529D"/>
    <w:rsid w:val="003E54DD"/>
    <w:rsid w:val="003E550D"/>
    <w:rsid w:val="003E55C9"/>
    <w:rsid w:val="003E5926"/>
    <w:rsid w:val="003E5E7A"/>
    <w:rsid w:val="003E5F30"/>
    <w:rsid w:val="003E6051"/>
    <w:rsid w:val="003E61CB"/>
    <w:rsid w:val="003E639E"/>
    <w:rsid w:val="003E6983"/>
    <w:rsid w:val="003E6A3C"/>
    <w:rsid w:val="003E78E8"/>
    <w:rsid w:val="003F007A"/>
    <w:rsid w:val="003F0694"/>
    <w:rsid w:val="003F0C80"/>
    <w:rsid w:val="003F0E46"/>
    <w:rsid w:val="003F17F0"/>
    <w:rsid w:val="003F182E"/>
    <w:rsid w:val="003F19D0"/>
    <w:rsid w:val="003F1D42"/>
    <w:rsid w:val="003F2093"/>
    <w:rsid w:val="003F2319"/>
    <w:rsid w:val="003F2540"/>
    <w:rsid w:val="003F28E1"/>
    <w:rsid w:val="003F2952"/>
    <w:rsid w:val="003F2BDF"/>
    <w:rsid w:val="003F32F7"/>
    <w:rsid w:val="003F339D"/>
    <w:rsid w:val="003F35A8"/>
    <w:rsid w:val="003F35D5"/>
    <w:rsid w:val="003F36E0"/>
    <w:rsid w:val="003F38EF"/>
    <w:rsid w:val="003F39EC"/>
    <w:rsid w:val="003F3BE0"/>
    <w:rsid w:val="003F3E67"/>
    <w:rsid w:val="003F3E9E"/>
    <w:rsid w:val="003F40FD"/>
    <w:rsid w:val="003F4122"/>
    <w:rsid w:val="003F4720"/>
    <w:rsid w:val="003F48CF"/>
    <w:rsid w:val="003F5AC4"/>
    <w:rsid w:val="003F5D28"/>
    <w:rsid w:val="003F63DE"/>
    <w:rsid w:val="003F64CF"/>
    <w:rsid w:val="003F6645"/>
    <w:rsid w:val="003F6E48"/>
    <w:rsid w:val="003F6F64"/>
    <w:rsid w:val="003F74DD"/>
    <w:rsid w:val="003F7E12"/>
    <w:rsid w:val="0040053E"/>
    <w:rsid w:val="00400C8F"/>
    <w:rsid w:val="00401167"/>
    <w:rsid w:val="004013DC"/>
    <w:rsid w:val="004015E4"/>
    <w:rsid w:val="00401AB6"/>
    <w:rsid w:val="00402025"/>
    <w:rsid w:val="00402FBF"/>
    <w:rsid w:val="0040302C"/>
    <w:rsid w:val="00404106"/>
    <w:rsid w:val="00404221"/>
    <w:rsid w:val="004043F8"/>
    <w:rsid w:val="00404CB1"/>
    <w:rsid w:val="00404E29"/>
    <w:rsid w:val="00405115"/>
    <w:rsid w:val="004052B9"/>
    <w:rsid w:val="00405C48"/>
    <w:rsid w:val="00405CA2"/>
    <w:rsid w:val="00405DDB"/>
    <w:rsid w:val="00406A2D"/>
    <w:rsid w:val="004070CF"/>
    <w:rsid w:val="0040749A"/>
    <w:rsid w:val="004079C6"/>
    <w:rsid w:val="00408A1B"/>
    <w:rsid w:val="004100E1"/>
    <w:rsid w:val="00410376"/>
    <w:rsid w:val="004119E5"/>
    <w:rsid w:val="004127C2"/>
    <w:rsid w:val="00412A1F"/>
    <w:rsid w:val="0041400C"/>
    <w:rsid w:val="0041467B"/>
    <w:rsid w:val="00414845"/>
    <w:rsid w:val="00414F6B"/>
    <w:rsid w:val="004151AD"/>
    <w:rsid w:val="00415693"/>
    <w:rsid w:val="00415E27"/>
    <w:rsid w:val="0041600E"/>
    <w:rsid w:val="0041621F"/>
    <w:rsid w:val="0041657C"/>
    <w:rsid w:val="00416FAC"/>
    <w:rsid w:val="004174C5"/>
    <w:rsid w:val="0041755F"/>
    <w:rsid w:val="00417829"/>
    <w:rsid w:val="00417885"/>
    <w:rsid w:val="00417C8B"/>
    <w:rsid w:val="00417D46"/>
    <w:rsid w:val="00417F19"/>
    <w:rsid w:val="00417FA6"/>
    <w:rsid w:val="0042013A"/>
    <w:rsid w:val="0042058F"/>
    <w:rsid w:val="0042095C"/>
    <w:rsid w:val="004212A8"/>
    <w:rsid w:val="004212A9"/>
    <w:rsid w:val="00421B31"/>
    <w:rsid w:val="00421D47"/>
    <w:rsid w:val="0042227E"/>
    <w:rsid w:val="0042237C"/>
    <w:rsid w:val="00422566"/>
    <w:rsid w:val="00422EDD"/>
    <w:rsid w:val="004230D4"/>
    <w:rsid w:val="0042330B"/>
    <w:rsid w:val="00423888"/>
    <w:rsid w:val="00423FD3"/>
    <w:rsid w:val="00424925"/>
    <w:rsid w:val="00424C99"/>
    <w:rsid w:val="00425A0B"/>
    <w:rsid w:val="00425A5B"/>
    <w:rsid w:val="00425D06"/>
    <w:rsid w:val="004260C0"/>
    <w:rsid w:val="00426843"/>
    <w:rsid w:val="0042690F"/>
    <w:rsid w:val="00426B1D"/>
    <w:rsid w:val="00426BEC"/>
    <w:rsid w:val="00426D1D"/>
    <w:rsid w:val="0042714E"/>
    <w:rsid w:val="004302AB"/>
    <w:rsid w:val="00430336"/>
    <w:rsid w:val="00430542"/>
    <w:rsid w:val="00430677"/>
    <w:rsid w:val="00430F33"/>
    <w:rsid w:val="00431093"/>
    <w:rsid w:val="004315A4"/>
    <w:rsid w:val="00432430"/>
    <w:rsid w:val="00433170"/>
    <w:rsid w:val="00433653"/>
    <w:rsid w:val="004338B0"/>
    <w:rsid w:val="00433B55"/>
    <w:rsid w:val="00433C47"/>
    <w:rsid w:val="00433D4C"/>
    <w:rsid w:val="00433F2F"/>
    <w:rsid w:val="0043419F"/>
    <w:rsid w:val="004344D0"/>
    <w:rsid w:val="00434AC5"/>
    <w:rsid w:val="00434DA1"/>
    <w:rsid w:val="004353C5"/>
    <w:rsid w:val="004353E5"/>
    <w:rsid w:val="00435541"/>
    <w:rsid w:val="004356EE"/>
    <w:rsid w:val="00435B14"/>
    <w:rsid w:val="00435D80"/>
    <w:rsid w:val="00437A08"/>
    <w:rsid w:val="00437ED4"/>
    <w:rsid w:val="00437F22"/>
    <w:rsid w:val="0043BFE4"/>
    <w:rsid w:val="00441059"/>
    <w:rsid w:val="004414DC"/>
    <w:rsid w:val="0044182D"/>
    <w:rsid w:val="004426D9"/>
    <w:rsid w:val="00442BC9"/>
    <w:rsid w:val="00442C6A"/>
    <w:rsid w:val="00442DE8"/>
    <w:rsid w:val="00443061"/>
    <w:rsid w:val="00443FC6"/>
    <w:rsid w:val="004442BF"/>
    <w:rsid w:val="004442FD"/>
    <w:rsid w:val="004447F0"/>
    <w:rsid w:val="00444E6B"/>
    <w:rsid w:val="0044508B"/>
    <w:rsid w:val="004451FB"/>
    <w:rsid w:val="00445457"/>
    <w:rsid w:val="00445508"/>
    <w:rsid w:val="0044592E"/>
    <w:rsid w:val="00445D69"/>
    <w:rsid w:val="004461A3"/>
    <w:rsid w:val="00446352"/>
    <w:rsid w:val="00446CC3"/>
    <w:rsid w:val="00446DF4"/>
    <w:rsid w:val="00447530"/>
    <w:rsid w:val="00447C3D"/>
    <w:rsid w:val="00447DF7"/>
    <w:rsid w:val="0045022F"/>
    <w:rsid w:val="004506E0"/>
    <w:rsid w:val="00450D22"/>
    <w:rsid w:val="00450D40"/>
    <w:rsid w:val="004510B0"/>
    <w:rsid w:val="00451147"/>
    <w:rsid w:val="00451293"/>
    <w:rsid w:val="004516A5"/>
    <w:rsid w:val="00452676"/>
    <w:rsid w:val="004526F1"/>
    <w:rsid w:val="00452BC2"/>
    <w:rsid w:val="004532F5"/>
    <w:rsid w:val="0045376C"/>
    <w:rsid w:val="00453915"/>
    <w:rsid w:val="00454347"/>
    <w:rsid w:val="00454541"/>
    <w:rsid w:val="004546A5"/>
    <w:rsid w:val="0045499C"/>
    <w:rsid w:val="0045541F"/>
    <w:rsid w:val="0045580F"/>
    <w:rsid w:val="0045587B"/>
    <w:rsid w:val="0045593F"/>
    <w:rsid w:val="00455D4E"/>
    <w:rsid w:val="00456DF9"/>
    <w:rsid w:val="00457262"/>
    <w:rsid w:val="004572D1"/>
    <w:rsid w:val="00457330"/>
    <w:rsid w:val="00457A10"/>
    <w:rsid w:val="00457F39"/>
    <w:rsid w:val="004600F0"/>
    <w:rsid w:val="00460856"/>
    <w:rsid w:val="0046090E"/>
    <w:rsid w:val="00460B9E"/>
    <w:rsid w:val="00460C44"/>
    <w:rsid w:val="00460E92"/>
    <w:rsid w:val="00461B1E"/>
    <w:rsid w:val="00461EF5"/>
    <w:rsid w:val="00462756"/>
    <w:rsid w:val="0046290A"/>
    <w:rsid w:val="00462BDE"/>
    <w:rsid w:val="004630A5"/>
    <w:rsid w:val="004635D9"/>
    <w:rsid w:val="004638E4"/>
    <w:rsid w:val="00463933"/>
    <w:rsid w:val="0046443E"/>
    <w:rsid w:val="00464690"/>
    <w:rsid w:val="00464EAD"/>
    <w:rsid w:val="004654A3"/>
    <w:rsid w:val="00465C91"/>
    <w:rsid w:val="00465F1F"/>
    <w:rsid w:val="00466BA5"/>
    <w:rsid w:val="00466C09"/>
    <w:rsid w:val="00466CF4"/>
    <w:rsid w:val="00466D65"/>
    <w:rsid w:val="00466F34"/>
    <w:rsid w:val="00467061"/>
    <w:rsid w:val="004673E8"/>
    <w:rsid w:val="00467854"/>
    <w:rsid w:val="004678CF"/>
    <w:rsid w:val="0047035F"/>
    <w:rsid w:val="00470A6C"/>
    <w:rsid w:val="004713BE"/>
    <w:rsid w:val="00471804"/>
    <w:rsid w:val="00471D71"/>
    <w:rsid w:val="00471F83"/>
    <w:rsid w:val="00472BB4"/>
    <w:rsid w:val="00473490"/>
    <w:rsid w:val="004736AD"/>
    <w:rsid w:val="00474FF9"/>
    <w:rsid w:val="00475232"/>
    <w:rsid w:val="004753E6"/>
    <w:rsid w:val="00475402"/>
    <w:rsid w:val="0047552E"/>
    <w:rsid w:val="00475847"/>
    <w:rsid w:val="00475886"/>
    <w:rsid w:val="00475890"/>
    <w:rsid w:val="00475C3B"/>
    <w:rsid w:val="0047612B"/>
    <w:rsid w:val="00476A41"/>
    <w:rsid w:val="00476AEC"/>
    <w:rsid w:val="00477370"/>
    <w:rsid w:val="00477CFC"/>
    <w:rsid w:val="004801B9"/>
    <w:rsid w:val="004805AA"/>
    <w:rsid w:val="00480B01"/>
    <w:rsid w:val="00480BB9"/>
    <w:rsid w:val="00482798"/>
    <w:rsid w:val="00482DE1"/>
    <w:rsid w:val="00483D97"/>
    <w:rsid w:val="00483F09"/>
    <w:rsid w:val="00483FE1"/>
    <w:rsid w:val="004840B0"/>
    <w:rsid w:val="00484512"/>
    <w:rsid w:val="00484734"/>
    <w:rsid w:val="00484BDA"/>
    <w:rsid w:val="004855A5"/>
    <w:rsid w:val="00485E09"/>
    <w:rsid w:val="00485E32"/>
    <w:rsid w:val="00485E58"/>
    <w:rsid w:val="00485E94"/>
    <w:rsid w:val="00485F49"/>
    <w:rsid w:val="00486355"/>
    <w:rsid w:val="0048716D"/>
    <w:rsid w:val="00487462"/>
    <w:rsid w:val="00487580"/>
    <w:rsid w:val="00490068"/>
    <w:rsid w:val="00490438"/>
    <w:rsid w:val="00490499"/>
    <w:rsid w:val="0049150E"/>
    <w:rsid w:val="0049191A"/>
    <w:rsid w:val="00491939"/>
    <w:rsid w:val="00491B8C"/>
    <w:rsid w:val="00491CE3"/>
    <w:rsid w:val="00491DD5"/>
    <w:rsid w:val="00492141"/>
    <w:rsid w:val="0049234F"/>
    <w:rsid w:val="0049247E"/>
    <w:rsid w:val="00492759"/>
    <w:rsid w:val="00492900"/>
    <w:rsid w:val="0049387F"/>
    <w:rsid w:val="0049416F"/>
    <w:rsid w:val="00494173"/>
    <w:rsid w:val="00494922"/>
    <w:rsid w:val="0049499A"/>
    <w:rsid w:val="00494E49"/>
    <w:rsid w:val="0049534E"/>
    <w:rsid w:val="004956C3"/>
    <w:rsid w:val="0049626A"/>
    <w:rsid w:val="00496677"/>
    <w:rsid w:val="00496BA3"/>
    <w:rsid w:val="004971D8"/>
    <w:rsid w:val="00497923"/>
    <w:rsid w:val="00497B3A"/>
    <w:rsid w:val="004A0451"/>
    <w:rsid w:val="004A05EA"/>
    <w:rsid w:val="004A0702"/>
    <w:rsid w:val="004A0CEC"/>
    <w:rsid w:val="004A106D"/>
    <w:rsid w:val="004A1DE5"/>
    <w:rsid w:val="004A2020"/>
    <w:rsid w:val="004A222B"/>
    <w:rsid w:val="004A29BC"/>
    <w:rsid w:val="004A2E43"/>
    <w:rsid w:val="004A364D"/>
    <w:rsid w:val="004A438B"/>
    <w:rsid w:val="004A443B"/>
    <w:rsid w:val="004A4AA9"/>
    <w:rsid w:val="004A4B45"/>
    <w:rsid w:val="004A4E02"/>
    <w:rsid w:val="004A50D3"/>
    <w:rsid w:val="004A5919"/>
    <w:rsid w:val="004A5E98"/>
    <w:rsid w:val="004A5F2B"/>
    <w:rsid w:val="004A6683"/>
    <w:rsid w:val="004A6CB8"/>
    <w:rsid w:val="004A7792"/>
    <w:rsid w:val="004A794D"/>
    <w:rsid w:val="004A7FA9"/>
    <w:rsid w:val="004B02DE"/>
    <w:rsid w:val="004B0598"/>
    <w:rsid w:val="004B0885"/>
    <w:rsid w:val="004B0B0D"/>
    <w:rsid w:val="004B0F0D"/>
    <w:rsid w:val="004B1006"/>
    <w:rsid w:val="004B1D41"/>
    <w:rsid w:val="004B2141"/>
    <w:rsid w:val="004B250A"/>
    <w:rsid w:val="004B25D5"/>
    <w:rsid w:val="004B27DF"/>
    <w:rsid w:val="004B28D3"/>
    <w:rsid w:val="004B2A62"/>
    <w:rsid w:val="004B2C86"/>
    <w:rsid w:val="004B2D06"/>
    <w:rsid w:val="004B2DE8"/>
    <w:rsid w:val="004B3238"/>
    <w:rsid w:val="004B33C2"/>
    <w:rsid w:val="004B383A"/>
    <w:rsid w:val="004B38FC"/>
    <w:rsid w:val="004B3EB7"/>
    <w:rsid w:val="004B4608"/>
    <w:rsid w:val="004B4A86"/>
    <w:rsid w:val="004B4B29"/>
    <w:rsid w:val="004B5AF6"/>
    <w:rsid w:val="004B5B08"/>
    <w:rsid w:val="004B61A8"/>
    <w:rsid w:val="004B70EA"/>
    <w:rsid w:val="004C0065"/>
    <w:rsid w:val="004C00CB"/>
    <w:rsid w:val="004C1A02"/>
    <w:rsid w:val="004C1C51"/>
    <w:rsid w:val="004C1D5A"/>
    <w:rsid w:val="004C1EAF"/>
    <w:rsid w:val="004C201E"/>
    <w:rsid w:val="004C2403"/>
    <w:rsid w:val="004C27DD"/>
    <w:rsid w:val="004C2830"/>
    <w:rsid w:val="004C29D7"/>
    <w:rsid w:val="004C2C4B"/>
    <w:rsid w:val="004C3079"/>
    <w:rsid w:val="004C3A27"/>
    <w:rsid w:val="004C3C55"/>
    <w:rsid w:val="004C3CF5"/>
    <w:rsid w:val="004C4005"/>
    <w:rsid w:val="004C4263"/>
    <w:rsid w:val="004C47BC"/>
    <w:rsid w:val="004C4AC0"/>
    <w:rsid w:val="004C4B48"/>
    <w:rsid w:val="004C4DA6"/>
    <w:rsid w:val="004C4ECF"/>
    <w:rsid w:val="004C522A"/>
    <w:rsid w:val="004C5CF2"/>
    <w:rsid w:val="004C64E3"/>
    <w:rsid w:val="004C656E"/>
    <w:rsid w:val="004C67EF"/>
    <w:rsid w:val="004C6A72"/>
    <w:rsid w:val="004C6BD1"/>
    <w:rsid w:val="004C6E0F"/>
    <w:rsid w:val="004C6EDE"/>
    <w:rsid w:val="004C70D4"/>
    <w:rsid w:val="004C7DD1"/>
    <w:rsid w:val="004C7FB2"/>
    <w:rsid w:val="004D0028"/>
    <w:rsid w:val="004D00F0"/>
    <w:rsid w:val="004D065B"/>
    <w:rsid w:val="004D0CD2"/>
    <w:rsid w:val="004D0DDE"/>
    <w:rsid w:val="004D11BF"/>
    <w:rsid w:val="004D131E"/>
    <w:rsid w:val="004D16A8"/>
    <w:rsid w:val="004D1D40"/>
    <w:rsid w:val="004D1FB9"/>
    <w:rsid w:val="004D214E"/>
    <w:rsid w:val="004D2153"/>
    <w:rsid w:val="004D23D3"/>
    <w:rsid w:val="004D2D32"/>
    <w:rsid w:val="004D39D3"/>
    <w:rsid w:val="004D3D33"/>
    <w:rsid w:val="004D402F"/>
    <w:rsid w:val="004D4C8A"/>
    <w:rsid w:val="004D5457"/>
    <w:rsid w:val="004D5A1B"/>
    <w:rsid w:val="004D5C00"/>
    <w:rsid w:val="004D6DD7"/>
    <w:rsid w:val="004D72D0"/>
    <w:rsid w:val="004D7B6C"/>
    <w:rsid w:val="004D7C61"/>
    <w:rsid w:val="004D7D0D"/>
    <w:rsid w:val="004E0391"/>
    <w:rsid w:val="004E0D9A"/>
    <w:rsid w:val="004E0F69"/>
    <w:rsid w:val="004E1183"/>
    <w:rsid w:val="004E130C"/>
    <w:rsid w:val="004E153E"/>
    <w:rsid w:val="004E1C11"/>
    <w:rsid w:val="004E1D02"/>
    <w:rsid w:val="004E2B7F"/>
    <w:rsid w:val="004E2BA6"/>
    <w:rsid w:val="004E3B56"/>
    <w:rsid w:val="004E3C62"/>
    <w:rsid w:val="004E3DE6"/>
    <w:rsid w:val="004E3F71"/>
    <w:rsid w:val="004E4076"/>
    <w:rsid w:val="004E44A8"/>
    <w:rsid w:val="004E491D"/>
    <w:rsid w:val="004E4A5E"/>
    <w:rsid w:val="004E5C15"/>
    <w:rsid w:val="004E5E93"/>
    <w:rsid w:val="004E5EDB"/>
    <w:rsid w:val="004E6127"/>
    <w:rsid w:val="004E7103"/>
    <w:rsid w:val="004E7419"/>
    <w:rsid w:val="004E74BD"/>
    <w:rsid w:val="004F0329"/>
    <w:rsid w:val="004F0830"/>
    <w:rsid w:val="004F0AE5"/>
    <w:rsid w:val="004F1096"/>
    <w:rsid w:val="004F1929"/>
    <w:rsid w:val="004F1D62"/>
    <w:rsid w:val="004F1DF6"/>
    <w:rsid w:val="004F200B"/>
    <w:rsid w:val="004F20E7"/>
    <w:rsid w:val="004F21E1"/>
    <w:rsid w:val="004F26CC"/>
    <w:rsid w:val="004F28DD"/>
    <w:rsid w:val="004F28FF"/>
    <w:rsid w:val="004F2A4F"/>
    <w:rsid w:val="004F343E"/>
    <w:rsid w:val="004F42C2"/>
    <w:rsid w:val="004F4408"/>
    <w:rsid w:val="004F4D51"/>
    <w:rsid w:val="004F538A"/>
    <w:rsid w:val="004F546E"/>
    <w:rsid w:val="004F55CC"/>
    <w:rsid w:val="004F6FD3"/>
    <w:rsid w:val="004F718E"/>
    <w:rsid w:val="004F754F"/>
    <w:rsid w:val="004F7636"/>
    <w:rsid w:val="004F78CA"/>
    <w:rsid w:val="004F7A90"/>
    <w:rsid w:val="004F7B8E"/>
    <w:rsid w:val="0050011D"/>
    <w:rsid w:val="0050091E"/>
    <w:rsid w:val="0050108F"/>
    <w:rsid w:val="005012FC"/>
    <w:rsid w:val="005016D1"/>
    <w:rsid w:val="00501A6B"/>
    <w:rsid w:val="00501C77"/>
    <w:rsid w:val="00502AE7"/>
    <w:rsid w:val="00502EB8"/>
    <w:rsid w:val="0050314F"/>
    <w:rsid w:val="005037A5"/>
    <w:rsid w:val="0050407E"/>
    <w:rsid w:val="00504527"/>
    <w:rsid w:val="005049C5"/>
    <w:rsid w:val="00504C06"/>
    <w:rsid w:val="00505678"/>
    <w:rsid w:val="00506C12"/>
    <w:rsid w:val="00506C67"/>
    <w:rsid w:val="00506E5C"/>
    <w:rsid w:val="00506E62"/>
    <w:rsid w:val="0050757E"/>
    <w:rsid w:val="00507CDE"/>
    <w:rsid w:val="00507F3F"/>
    <w:rsid w:val="0051039F"/>
    <w:rsid w:val="00510976"/>
    <w:rsid w:val="00510C9B"/>
    <w:rsid w:val="00511123"/>
    <w:rsid w:val="0051147A"/>
    <w:rsid w:val="00511A99"/>
    <w:rsid w:val="00511E1C"/>
    <w:rsid w:val="005124C4"/>
    <w:rsid w:val="0051268A"/>
    <w:rsid w:val="00512CB8"/>
    <w:rsid w:val="00512F98"/>
    <w:rsid w:val="00513056"/>
    <w:rsid w:val="005136EE"/>
    <w:rsid w:val="005139FB"/>
    <w:rsid w:val="00513B64"/>
    <w:rsid w:val="00513D04"/>
    <w:rsid w:val="00514104"/>
    <w:rsid w:val="005145B3"/>
    <w:rsid w:val="005146C5"/>
    <w:rsid w:val="00514A86"/>
    <w:rsid w:val="00514D75"/>
    <w:rsid w:val="005155DF"/>
    <w:rsid w:val="005156F5"/>
    <w:rsid w:val="00515AC1"/>
    <w:rsid w:val="00515C21"/>
    <w:rsid w:val="005168E4"/>
    <w:rsid w:val="00516976"/>
    <w:rsid w:val="0051712C"/>
    <w:rsid w:val="00517C2C"/>
    <w:rsid w:val="00520D79"/>
    <w:rsid w:val="005212D6"/>
    <w:rsid w:val="005215AB"/>
    <w:rsid w:val="005216B7"/>
    <w:rsid w:val="005216C6"/>
    <w:rsid w:val="00521E51"/>
    <w:rsid w:val="005226C6"/>
    <w:rsid w:val="00522CE0"/>
    <w:rsid w:val="00522FEE"/>
    <w:rsid w:val="0052388F"/>
    <w:rsid w:val="00524056"/>
    <w:rsid w:val="0052413A"/>
    <w:rsid w:val="00525736"/>
    <w:rsid w:val="005259B5"/>
    <w:rsid w:val="00525A69"/>
    <w:rsid w:val="00525D60"/>
    <w:rsid w:val="00526536"/>
    <w:rsid w:val="005268D7"/>
    <w:rsid w:val="00526A0B"/>
    <w:rsid w:val="00526AA7"/>
    <w:rsid w:val="00526F0B"/>
    <w:rsid w:val="00527098"/>
    <w:rsid w:val="00527582"/>
    <w:rsid w:val="00527F1A"/>
    <w:rsid w:val="00527FE1"/>
    <w:rsid w:val="005303C9"/>
    <w:rsid w:val="005309B7"/>
    <w:rsid w:val="00531ECA"/>
    <w:rsid w:val="005325C7"/>
    <w:rsid w:val="005326EF"/>
    <w:rsid w:val="00532B1C"/>
    <w:rsid w:val="00532FBE"/>
    <w:rsid w:val="005333EF"/>
    <w:rsid w:val="00533449"/>
    <w:rsid w:val="00533A24"/>
    <w:rsid w:val="00533A67"/>
    <w:rsid w:val="00533CBE"/>
    <w:rsid w:val="00533D9C"/>
    <w:rsid w:val="005343B0"/>
    <w:rsid w:val="005344CC"/>
    <w:rsid w:val="005344E2"/>
    <w:rsid w:val="0053486D"/>
    <w:rsid w:val="0053514E"/>
    <w:rsid w:val="005353D4"/>
    <w:rsid w:val="005353F3"/>
    <w:rsid w:val="005358AC"/>
    <w:rsid w:val="00535BA7"/>
    <w:rsid w:val="00536329"/>
    <w:rsid w:val="0053642C"/>
    <w:rsid w:val="0053695A"/>
    <w:rsid w:val="00536F54"/>
    <w:rsid w:val="0053734D"/>
    <w:rsid w:val="005400B3"/>
    <w:rsid w:val="005404EA"/>
    <w:rsid w:val="005407E1"/>
    <w:rsid w:val="00540A28"/>
    <w:rsid w:val="00540A5C"/>
    <w:rsid w:val="00540B61"/>
    <w:rsid w:val="00540D1E"/>
    <w:rsid w:val="005411B6"/>
    <w:rsid w:val="0054122F"/>
    <w:rsid w:val="00541720"/>
    <w:rsid w:val="00542065"/>
    <w:rsid w:val="005421AD"/>
    <w:rsid w:val="00542221"/>
    <w:rsid w:val="00542737"/>
    <w:rsid w:val="00543919"/>
    <w:rsid w:val="00543AF3"/>
    <w:rsid w:val="0054406F"/>
    <w:rsid w:val="005442F8"/>
    <w:rsid w:val="00545B44"/>
    <w:rsid w:val="00545C32"/>
    <w:rsid w:val="00545D56"/>
    <w:rsid w:val="00545E3D"/>
    <w:rsid w:val="005460A6"/>
    <w:rsid w:val="00546370"/>
    <w:rsid w:val="005466A8"/>
    <w:rsid w:val="00546EE7"/>
    <w:rsid w:val="00547703"/>
    <w:rsid w:val="00547AE5"/>
    <w:rsid w:val="00547EE2"/>
    <w:rsid w:val="00550713"/>
    <w:rsid w:val="00550AC2"/>
    <w:rsid w:val="00550C77"/>
    <w:rsid w:val="005535AB"/>
    <w:rsid w:val="00553FBA"/>
    <w:rsid w:val="005541EB"/>
    <w:rsid w:val="00554253"/>
    <w:rsid w:val="00554C35"/>
    <w:rsid w:val="00554F1E"/>
    <w:rsid w:val="005550FD"/>
    <w:rsid w:val="0055511B"/>
    <w:rsid w:val="0055518B"/>
    <w:rsid w:val="00555720"/>
    <w:rsid w:val="0055610E"/>
    <w:rsid w:val="005564BB"/>
    <w:rsid w:val="00556779"/>
    <w:rsid w:val="0055677B"/>
    <w:rsid w:val="00556AAA"/>
    <w:rsid w:val="00556EF5"/>
    <w:rsid w:val="005571CA"/>
    <w:rsid w:val="00557445"/>
    <w:rsid w:val="0055744D"/>
    <w:rsid w:val="005576CF"/>
    <w:rsid w:val="00557BEA"/>
    <w:rsid w:val="005600AE"/>
    <w:rsid w:val="00560172"/>
    <w:rsid w:val="00560247"/>
    <w:rsid w:val="00560527"/>
    <w:rsid w:val="005608B8"/>
    <w:rsid w:val="0056109F"/>
    <w:rsid w:val="00561C64"/>
    <w:rsid w:val="00561D45"/>
    <w:rsid w:val="00561DFE"/>
    <w:rsid w:val="00561E38"/>
    <w:rsid w:val="00562444"/>
    <w:rsid w:val="005625A8"/>
    <w:rsid w:val="005627D9"/>
    <w:rsid w:val="005629B0"/>
    <w:rsid w:val="00562C24"/>
    <w:rsid w:val="0056303F"/>
    <w:rsid w:val="0056304C"/>
    <w:rsid w:val="00563281"/>
    <w:rsid w:val="00564E29"/>
    <w:rsid w:val="00564ED7"/>
    <w:rsid w:val="00565026"/>
    <w:rsid w:val="0056518F"/>
    <w:rsid w:val="005657BB"/>
    <w:rsid w:val="00565D80"/>
    <w:rsid w:val="00566E27"/>
    <w:rsid w:val="005676B4"/>
    <w:rsid w:val="005676DE"/>
    <w:rsid w:val="005676E6"/>
    <w:rsid w:val="0056794C"/>
    <w:rsid w:val="00567965"/>
    <w:rsid w:val="00567E1D"/>
    <w:rsid w:val="005702B0"/>
    <w:rsid w:val="00570318"/>
    <w:rsid w:val="005703CF"/>
    <w:rsid w:val="00570414"/>
    <w:rsid w:val="005709CB"/>
    <w:rsid w:val="005712C6"/>
    <w:rsid w:val="00571635"/>
    <w:rsid w:val="0057166E"/>
    <w:rsid w:val="005717B4"/>
    <w:rsid w:val="00571BDD"/>
    <w:rsid w:val="00571C3C"/>
    <w:rsid w:val="0057204F"/>
    <w:rsid w:val="005724AF"/>
    <w:rsid w:val="00572CE6"/>
    <w:rsid w:val="00573456"/>
    <w:rsid w:val="005738CA"/>
    <w:rsid w:val="00573ECC"/>
    <w:rsid w:val="00574BF9"/>
    <w:rsid w:val="00574DB3"/>
    <w:rsid w:val="00574DC6"/>
    <w:rsid w:val="00574EAB"/>
    <w:rsid w:val="00574F4D"/>
    <w:rsid w:val="005754E4"/>
    <w:rsid w:val="00575ECB"/>
    <w:rsid w:val="005760BC"/>
    <w:rsid w:val="00576547"/>
    <w:rsid w:val="00576DAD"/>
    <w:rsid w:val="00577939"/>
    <w:rsid w:val="00577EF5"/>
    <w:rsid w:val="0058097A"/>
    <w:rsid w:val="005809B0"/>
    <w:rsid w:val="00581489"/>
    <w:rsid w:val="005816B4"/>
    <w:rsid w:val="005821B5"/>
    <w:rsid w:val="005821CE"/>
    <w:rsid w:val="00582C18"/>
    <w:rsid w:val="00583612"/>
    <w:rsid w:val="00583659"/>
    <w:rsid w:val="00583844"/>
    <w:rsid w:val="005838C7"/>
    <w:rsid w:val="00583B85"/>
    <w:rsid w:val="00584197"/>
    <w:rsid w:val="00584255"/>
    <w:rsid w:val="0058474D"/>
    <w:rsid w:val="00584A78"/>
    <w:rsid w:val="00584B34"/>
    <w:rsid w:val="00584B38"/>
    <w:rsid w:val="00584E50"/>
    <w:rsid w:val="00584E55"/>
    <w:rsid w:val="00585A4B"/>
    <w:rsid w:val="005860F4"/>
    <w:rsid w:val="005861B0"/>
    <w:rsid w:val="00586418"/>
    <w:rsid w:val="0058647B"/>
    <w:rsid w:val="00586724"/>
    <w:rsid w:val="00586F73"/>
    <w:rsid w:val="0058702A"/>
    <w:rsid w:val="005871EB"/>
    <w:rsid w:val="00587404"/>
    <w:rsid w:val="005875D2"/>
    <w:rsid w:val="00587D77"/>
    <w:rsid w:val="00590184"/>
    <w:rsid w:val="0059044C"/>
    <w:rsid w:val="00590696"/>
    <w:rsid w:val="00590D81"/>
    <w:rsid w:val="00591293"/>
    <w:rsid w:val="005916AB"/>
    <w:rsid w:val="00592417"/>
    <w:rsid w:val="00592CC8"/>
    <w:rsid w:val="005931B0"/>
    <w:rsid w:val="005933E2"/>
    <w:rsid w:val="00594632"/>
    <w:rsid w:val="00594798"/>
    <w:rsid w:val="005948F7"/>
    <w:rsid w:val="00594E04"/>
    <w:rsid w:val="00594F7A"/>
    <w:rsid w:val="00595177"/>
    <w:rsid w:val="00595ECE"/>
    <w:rsid w:val="00596647"/>
    <w:rsid w:val="00596840"/>
    <w:rsid w:val="00596EEF"/>
    <w:rsid w:val="0059712B"/>
    <w:rsid w:val="0059713A"/>
    <w:rsid w:val="00597A60"/>
    <w:rsid w:val="005A02E0"/>
    <w:rsid w:val="005A0329"/>
    <w:rsid w:val="005A0AEC"/>
    <w:rsid w:val="005A0D24"/>
    <w:rsid w:val="005A0F0B"/>
    <w:rsid w:val="005A19E2"/>
    <w:rsid w:val="005A19EB"/>
    <w:rsid w:val="005A28D7"/>
    <w:rsid w:val="005A301A"/>
    <w:rsid w:val="005A316F"/>
    <w:rsid w:val="005A32E2"/>
    <w:rsid w:val="005A3ACA"/>
    <w:rsid w:val="005A42DC"/>
    <w:rsid w:val="005A4708"/>
    <w:rsid w:val="005A4F9C"/>
    <w:rsid w:val="005A5093"/>
    <w:rsid w:val="005A54D0"/>
    <w:rsid w:val="005A5C85"/>
    <w:rsid w:val="005A63B2"/>
    <w:rsid w:val="005A64D0"/>
    <w:rsid w:val="005A650A"/>
    <w:rsid w:val="005A6608"/>
    <w:rsid w:val="005A66E6"/>
    <w:rsid w:val="005A675E"/>
    <w:rsid w:val="005A6814"/>
    <w:rsid w:val="005A737E"/>
    <w:rsid w:val="005A7742"/>
    <w:rsid w:val="005A7818"/>
    <w:rsid w:val="005B00CA"/>
    <w:rsid w:val="005B018C"/>
    <w:rsid w:val="005B03A6"/>
    <w:rsid w:val="005B0510"/>
    <w:rsid w:val="005B058D"/>
    <w:rsid w:val="005B097A"/>
    <w:rsid w:val="005B0CA6"/>
    <w:rsid w:val="005B12DF"/>
    <w:rsid w:val="005B1425"/>
    <w:rsid w:val="005B26D1"/>
    <w:rsid w:val="005B2727"/>
    <w:rsid w:val="005B2A09"/>
    <w:rsid w:val="005B2B79"/>
    <w:rsid w:val="005B333E"/>
    <w:rsid w:val="005B3495"/>
    <w:rsid w:val="005B3681"/>
    <w:rsid w:val="005B3812"/>
    <w:rsid w:val="005B382E"/>
    <w:rsid w:val="005B45B3"/>
    <w:rsid w:val="005B49B8"/>
    <w:rsid w:val="005B4E7A"/>
    <w:rsid w:val="005B5364"/>
    <w:rsid w:val="005B5403"/>
    <w:rsid w:val="005B5578"/>
    <w:rsid w:val="005B5846"/>
    <w:rsid w:val="005B625D"/>
    <w:rsid w:val="005B646C"/>
    <w:rsid w:val="005B6BD9"/>
    <w:rsid w:val="005B720F"/>
    <w:rsid w:val="005B74D2"/>
    <w:rsid w:val="005B7570"/>
    <w:rsid w:val="005B778A"/>
    <w:rsid w:val="005B7D0D"/>
    <w:rsid w:val="005C0303"/>
    <w:rsid w:val="005C0CB1"/>
    <w:rsid w:val="005C1A87"/>
    <w:rsid w:val="005C1AD2"/>
    <w:rsid w:val="005C1DD6"/>
    <w:rsid w:val="005C1E8D"/>
    <w:rsid w:val="005C1EA3"/>
    <w:rsid w:val="005C1FCC"/>
    <w:rsid w:val="005C23D3"/>
    <w:rsid w:val="005C27DC"/>
    <w:rsid w:val="005C3ADF"/>
    <w:rsid w:val="005C4414"/>
    <w:rsid w:val="005C4799"/>
    <w:rsid w:val="005C4956"/>
    <w:rsid w:val="005C4D52"/>
    <w:rsid w:val="005C4FD4"/>
    <w:rsid w:val="005C604B"/>
    <w:rsid w:val="005C6102"/>
    <w:rsid w:val="005C625F"/>
    <w:rsid w:val="005C66CE"/>
    <w:rsid w:val="005C67A7"/>
    <w:rsid w:val="005C6B48"/>
    <w:rsid w:val="005C7074"/>
    <w:rsid w:val="005C72BB"/>
    <w:rsid w:val="005C773D"/>
    <w:rsid w:val="005C7867"/>
    <w:rsid w:val="005C7F6A"/>
    <w:rsid w:val="005C7FB5"/>
    <w:rsid w:val="005C7FB7"/>
    <w:rsid w:val="005D0629"/>
    <w:rsid w:val="005D0C66"/>
    <w:rsid w:val="005D0CFB"/>
    <w:rsid w:val="005D0D29"/>
    <w:rsid w:val="005D16D6"/>
    <w:rsid w:val="005D18BB"/>
    <w:rsid w:val="005D1B9D"/>
    <w:rsid w:val="005D1FEC"/>
    <w:rsid w:val="005D22BE"/>
    <w:rsid w:val="005D23CD"/>
    <w:rsid w:val="005D252D"/>
    <w:rsid w:val="005D27C8"/>
    <w:rsid w:val="005D27F7"/>
    <w:rsid w:val="005D29E4"/>
    <w:rsid w:val="005D2E94"/>
    <w:rsid w:val="005D2FC5"/>
    <w:rsid w:val="005D3158"/>
    <w:rsid w:val="005D3A13"/>
    <w:rsid w:val="005D3A68"/>
    <w:rsid w:val="005D50EE"/>
    <w:rsid w:val="005D5543"/>
    <w:rsid w:val="005D5657"/>
    <w:rsid w:val="005D5F57"/>
    <w:rsid w:val="005D601C"/>
    <w:rsid w:val="005D60A4"/>
    <w:rsid w:val="005D60CC"/>
    <w:rsid w:val="005D66E4"/>
    <w:rsid w:val="005D71CE"/>
    <w:rsid w:val="005D72E8"/>
    <w:rsid w:val="005D7D27"/>
    <w:rsid w:val="005E0049"/>
    <w:rsid w:val="005E005B"/>
    <w:rsid w:val="005E0328"/>
    <w:rsid w:val="005E071C"/>
    <w:rsid w:val="005E0A8B"/>
    <w:rsid w:val="005E0C34"/>
    <w:rsid w:val="005E100F"/>
    <w:rsid w:val="005E1A8F"/>
    <w:rsid w:val="005E1B1D"/>
    <w:rsid w:val="005E1FDD"/>
    <w:rsid w:val="005E23FA"/>
    <w:rsid w:val="005E257E"/>
    <w:rsid w:val="005E2BF0"/>
    <w:rsid w:val="005E2C31"/>
    <w:rsid w:val="005E3031"/>
    <w:rsid w:val="005E38EB"/>
    <w:rsid w:val="005E3CB4"/>
    <w:rsid w:val="005E3E82"/>
    <w:rsid w:val="005E3ECF"/>
    <w:rsid w:val="005E4515"/>
    <w:rsid w:val="005E4DAB"/>
    <w:rsid w:val="005E5914"/>
    <w:rsid w:val="005E66F0"/>
    <w:rsid w:val="005E6A80"/>
    <w:rsid w:val="005E6E4B"/>
    <w:rsid w:val="005E6F69"/>
    <w:rsid w:val="005E7393"/>
    <w:rsid w:val="005E7A2E"/>
    <w:rsid w:val="005E7C57"/>
    <w:rsid w:val="005F0332"/>
    <w:rsid w:val="005F0462"/>
    <w:rsid w:val="005F0CC3"/>
    <w:rsid w:val="005F13E0"/>
    <w:rsid w:val="005F1996"/>
    <w:rsid w:val="005F1B7F"/>
    <w:rsid w:val="005F23FA"/>
    <w:rsid w:val="005F23FC"/>
    <w:rsid w:val="005F24CB"/>
    <w:rsid w:val="005F2708"/>
    <w:rsid w:val="005F2F7A"/>
    <w:rsid w:val="005F377B"/>
    <w:rsid w:val="005F3CBA"/>
    <w:rsid w:val="005F3F74"/>
    <w:rsid w:val="005F44FD"/>
    <w:rsid w:val="005F50B8"/>
    <w:rsid w:val="005F5D46"/>
    <w:rsid w:val="005F5EBA"/>
    <w:rsid w:val="005F62CE"/>
    <w:rsid w:val="005F65F6"/>
    <w:rsid w:val="005F676D"/>
    <w:rsid w:val="005F6864"/>
    <w:rsid w:val="005F6D53"/>
    <w:rsid w:val="005F6F36"/>
    <w:rsid w:val="005F7708"/>
    <w:rsid w:val="005F7AAB"/>
    <w:rsid w:val="00600110"/>
    <w:rsid w:val="006001C4"/>
    <w:rsid w:val="00600210"/>
    <w:rsid w:val="006010BA"/>
    <w:rsid w:val="00601257"/>
    <w:rsid w:val="00601557"/>
    <w:rsid w:val="006018C0"/>
    <w:rsid w:val="006018D9"/>
    <w:rsid w:val="00601FD3"/>
    <w:rsid w:val="00602693"/>
    <w:rsid w:val="0060275C"/>
    <w:rsid w:val="00602880"/>
    <w:rsid w:val="00602AE1"/>
    <w:rsid w:val="00603253"/>
    <w:rsid w:val="00603803"/>
    <w:rsid w:val="00603D04"/>
    <w:rsid w:val="0060459E"/>
    <w:rsid w:val="00604BF0"/>
    <w:rsid w:val="00605029"/>
    <w:rsid w:val="0060508A"/>
    <w:rsid w:val="006055DA"/>
    <w:rsid w:val="00605770"/>
    <w:rsid w:val="00605D3E"/>
    <w:rsid w:val="00605D46"/>
    <w:rsid w:val="0060630D"/>
    <w:rsid w:val="0060641D"/>
    <w:rsid w:val="00606D07"/>
    <w:rsid w:val="006078BF"/>
    <w:rsid w:val="00607D1C"/>
    <w:rsid w:val="006102B1"/>
    <w:rsid w:val="0061049B"/>
    <w:rsid w:val="00610577"/>
    <w:rsid w:val="00610A19"/>
    <w:rsid w:val="00610B49"/>
    <w:rsid w:val="00610E8E"/>
    <w:rsid w:val="00610F44"/>
    <w:rsid w:val="00611A7F"/>
    <w:rsid w:val="006120E0"/>
    <w:rsid w:val="00612A6B"/>
    <w:rsid w:val="00612B8A"/>
    <w:rsid w:val="00612CD0"/>
    <w:rsid w:val="00612D2B"/>
    <w:rsid w:val="006131A6"/>
    <w:rsid w:val="006131B4"/>
    <w:rsid w:val="0061407C"/>
    <w:rsid w:val="00614ECD"/>
    <w:rsid w:val="0061502F"/>
    <w:rsid w:val="00615D69"/>
    <w:rsid w:val="00615F02"/>
    <w:rsid w:val="00616322"/>
    <w:rsid w:val="0061685D"/>
    <w:rsid w:val="00616A51"/>
    <w:rsid w:val="00617455"/>
    <w:rsid w:val="0061750E"/>
    <w:rsid w:val="006177FA"/>
    <w:rsid w:val="006204FF"/>
    <w:rsid w:val="00620570"/>
    <w:rsid w:val="006208B2"/>
    <w:rsid w:val="00620D45"/>
    <w:rsid w:val="00621347"/>
    <w:rsid w:val="00621500"/>
    <w:rsid w:val="00621533"/>
    <w:rsid w:val="00621676"/>
    <w:rsid w:val="00621F1A"/>
    <w:rsid w:val="00621FB3"/>
    <w:rsid w:val="00621FD1"/>
    <w:rsid w:val="00622BD1"/>
    <w:rsid w:val="0062332B"/>
    <w:rsid w:val="00623A88"/>
    <w:rsid w:val="00623B45"/>
    <w:rsid w:val="00624F80"/>
    <w:rsid w:val="006250BA"/>
    <w:rsid w:val="006256A4"/>
    <w:rsid w:val="006256D0"/>
    <w:rsid w:val="00625F93"/>
    <w:rsid w:val="00626368"/>
    <w:rsid w:val="00626AD6"/>
    <w:rsid w:val="00626F30"/>
    <w:rsid w:val="0062706E"/>
    <w:rsid w:val="00627840"/>
    <w:rsid w:val="0062790E"/>
    <w:rsid w:val="006300A7"/>
    <w:rsid w:val="00630656"/>
    <w:rsid w:val="0063086A"/>
    <w:rsid w:val="00630B49"/>
    <w:rsid w:val="0063102C"/>
    <w:rsid w:val="006315A0"/>
    <w:rsid w:val="00632352"/>
    <w:rsid w:val="00632518"/>
    <w:rsid w:val="0063251D"/>
    <w:rsid w:val="006327CB"/>
    <w:rsid w:val="006328D0"/>
    <w:rsid w:val="00632E23"/>
    <w:rsid w:val="00632E89"/>
    <w:rsid w:val="006334F2"/>
    <w:rsid w:val="006335BE"/>
    <w:rsid w:val="0063391C"/>
    <w:rsid w:val="006341C0"/>
    <w:rsid w:val="00634CE5"/>
    <w:rsid w:val="006352CD"/>
    <w:rsid w:val="0063534F"/>
    <w:rsid w:val="00636380"/>
    <w:rsid w:val="00636729"/>
    <w:rsid w:val="0063712C"/>
    <w:rsid w:val="00637423"/>
    <w:rsid w:val="00637556"/>
    <w:rsid w:val="00637937"/>
    <w:rsid w:val="006379F9"/>
    <w:rsid w:val="006400CB"/>
    <w:rsid w:val="00640D4C"/>
    <w:rsid w:val="00640D5C"/>
    <w:rsid w:val="00640F90"/>
    <w:rsid w:val="006414A1"/>
    <w:rsid w:val="006416D1"/>
    <w:rsid w:val="00641842"/>
    <w:rsid w:val="00641DD1"/>
    <w:rsid w:val="00642064"/>
    <w:rsid w:val="0064227C"/>
    <w:rsid w:val="006425FC"/>
    <w:rsid w:val="00642954"/>
    <w:rsid w:val="00643384"/>
    <w:rsid w:val="006435B0"/>
    <w:rsid w:val="00643CC5"/>
    <w:rsid w:val="00644344"/>
    <w:rsid w:val="00644C30"/>
    <w:rsid w:val="006451A4"/>
    <w:rsid w:val="00645427"/>
    <w:rsid w:val="006456B9"/>
    <w:rsid w:val="006456EB"/>
    <w:rsid w:val="00645725"/>
    <w:rsid w:val="00645862"/>
    <w:rsid w:val="00645A48"/>
    <w:rsid w:val="00645BAC"/>
    <w:rsid w:val="00645D3D"/>
    <w:rsid w:val="0064652A"/>
    <w:rsid w:val="0064701C"/>
    <w:rsid w:val="00647122"/>
    <w:rsid w:val="006473C8"/>
    <w:rsid w:val="0064785A"/>
    <w:rsid w:val="00647E6C"/>
    <w:rsid w:val="00650554"/>
    <w:rsid w:val="00650558"/>
    <w:rsid w:val="00650B88"/>
    <w:rsid w:val="00651490"/>
    <w:rsid w:val="00651757"/>
    <w:rsid w:val="00651883"/>
    <w:rsid w:val="00651A6B"/>
    <w:rsid w:val="00652A89"/>
    <w:rsid w:val="00652FB2"/>
    <w:rsid w:val="0065348C"/>
    <w:rsid w:val="00653626"/>
    <w:rsid w:val="00653765"/>
    <w:rsid w:val="00653BE7"/>
    <w:rsid w:val="00653CA3"/>
    <w:rsid w:val="00653ED7"/>
    <w:rsid w:val="006540F3"/>
    <w:rsid w:val="0065413B"/>
    <w:rsid w:val="00654C31"/>
    <w:rsid w:val="00654D6A"/>
    <w:rsid w:val="0065537F"/>
    <w:rsid w:val="0065545D"/>
    <w:rsid w:val="00655561"/>
    <w:rsid w:val="0065588A"/>
    <w:rsid w:val="00655C49"/>
    <w:rsid w:val="00655D8E"/>
    <w:rsid w:val="00656267"/>
    <w:rsid w:val="00656395"/>
    <w:rsid w:val="006567ED"/>
    <w:rsid w:val="00656C95"/>
    <w:rsid w:val="00657104"/>
    <w:rsid w:val="006572B9"/>
    <w:rsid w:val="006572FF"/>
    <w:rsid w:val="006575CC"/>
    <w:rsid w:val="00657879"/>
    <w:rsid w:val="00657F82"/>
    <w:rsid w:val="0066003A"/>
    <w:rsid w:val="006605B1"/>
    <w:rsid w:val="00660AD2"/>
    <w:rsid w:val="00660C77"/>
    <w:rsid w:val="006617DC"/>
    <w:rsid w:val="00661811"/>
    <w:rsid w:val="00661BD2"/>
    <w:rsid w:val="00661CEE"/>
    <w:rsid w:val="00661FDA"/>
    <w:rsid w:val="00662060"/>
    <w:rsid w:val="00662BBC"/>
    <w:rsid w:val="006632FD"/>
    <w:rsid w:val="006633F2"/>
    <w:rsid w:val="00663739"/>
    <w:rsid w:val="00663AB6"/>
    <w:rsid w:val="00663D26"/>
    <w:rsid w:val="00663F5D"/>
    <w:rsid w:val="006648A1"/>
    <w:rsid w:val="0066491A"/>
    <w:rsid w:val="00664CF0"/>
    <w:rsid w:val="00664EDB"/>
    <w:rsid w:val="0066537C"/>
    <w:rsid w:val="0066542C"/>
    <w:rsid w:val="00665451"/>
    <w:rsid w:val="006663C8"/>
    <w:rsid w:val="0066666B"/>
    <w:rsid w:val="00666965"/>
    <w:rsid w:val="00666CB2"/>
    <w:rsid w:val="00666D4C"/>
    <w:rsid w:val="0066709D"/>
    <w:rsid w:val="00667807"/>
    <w:rsid w:val="00667A08"/>
    <w:rsid w:val="00667CBB"/>
    <w:rsid w:val="00667F97"/>
    <w:rsid w:val="006702E4"/>
    <w:rsid w:val="0067051D"/>
    <w:rsid w:val="006707C8"/>
    <w:rsid w:val="00670B8F"/>
    <w:rsid w:val="0067107A"/>
    <w:rsid w:val="00671ACB"/>
    <w:rsid w:val="0067220B"/>
    <w:rsid w:val="00672227"/>
    <w:rsid w:val="00672437"/>
    <w:rsid w:val="006726BA"/>
    <w:rsid w:val="00672853"/>
    <w:rsid w:val="00672EB5"/>
    <w:rsid w:val="00672EDC"/>
    <w:rsid w:val="0067310F"/>
    <w:rsid w:val="00673A97"/>
    <w:rsid w:val="00675342"/>
    <w:rsid w:val="00675A4E"/>
    <w:rsid w:val="00675C27"/>
    <w:rsid w:val="006769B9"/>
    <w:rsid w:val="00676B14"/>
    <w:rsid w:val="00676CF6"/>
    <w:rsid w:val="00676EBB"/>
    <w:rsid w:val="00676EDD"/>
    <w:rsid w:val="00676FF0"/>
    <w:rsid w:val="006770D1"/>
    <w:rsid w:val="0067745E"/>
    <w:rsid w:val="00677711"/>
    <w:rsid w:val="0067792C"/>
    <w:rsid w:val="00677B7B"/>
    <w:rsid w:val="00677CDF"/>
    <w:rsid w:val="00677CE3"/>
    <w:rsid w:val="0068008E"/>
    <w:rsid w:val="00680145"/>
    <w:rsid w:val="0068023D"/>
    <w:rsid w:val="006807B7"/>
    <w:rsid w:val="0068094D"/>
    <w:rsid w:val="00680FD6"/>
    <w:rsid w:val="0068120A"/>
    <w:rsid w:val="0068210D"/>
    <w:rsid w:val="0068234C"/>
    <w:rsid w:val="006829F0"/>
    <w:rsid w:val="00682A5B"/>
    <w:rsid w:val="00682D40"/>
    <w:rsid w:val="006830ED"/>
    <w:rsid w:val="0068371E"/>
    <w:rsid w:val="00683834"/>
    <w:rsid w:val="00683919"/>
    <w:rsid w:val="00683ACA"/>
    <w:rsid w:val="0068400A"/>
    <w:rsid w:val="006843C3"/>
    <w:rsid w:val="0068443F"/>
    <w:rsid w:val="00684AB1"/>
    <w:rsid w:val="00684B3E"/>
    <w:rsid w:val="00685129"/>
    <w:rsid w:val="006855C7"/>
    <w:rsid w:val="006858F5"/>
    <w:rsid w:val="0068636B"/>
    <w:rsid w:val="006863E0"/>
    <w:rsid w:val="00686B27"/>
    <w:rsid w:val="00686DDA"/>
    <w:rsid w:val="00687A6D"/>
    <w:rsid w:val="00687CF7"/>
    <w:rsid w:val="00687E76"/>
    <w:rsid w:val="006901D2"/>
    <w:rsid w:val="0069057A"/>
    <w:rsid w:val="00691393"/>
    <w:rsid w:val="006917F5"/>
    <w:rsid w:val="00691D0A"/>
    <w:rsid w:val="006923DD"/>
    <w:rsid w:val="00692561"/>
    <w:rsid w:val="00692680"/>
    <w:rsid w:val="00692E58"/>
    <w:rsid w:val="006931D4"/>
    <w:rsid w:val="0069374F"/>
    <w:rsid w:val="00693991"/>
    <w:rsid w:val="00693FE1"/>
    <w:rsid w:val="0069444E"/>
    <w:rsid w:val="006947DC"/>
    <w:rsid w:val="00694AD6"/>
    <w:rsid w:val="00696947"/>
    <w:rsid w:val="00696C97"/>
    <w:rsid w:val="00697229"/>
    <w:rsid w:val="006978AB"/>
    <w:rsid w:val="006979CC"/>
    <w:rsid w:val="00697D0E"/>
    <w:rsid w:val="00697E87"/>
    <w:rsid w:val="00697E8F"/>
    <w:rsid w:val="006A023D"/>
    <w:rsid w:val="006A0436"/>
    <w:rsid w:val="006A0723"/>
    <w:rsid w:val="006A0943"/>
    <w:rsid w:val="006A0A02"/>
    <w:rsid w:val="006A0A75"/>
    <w:rsid w:val="006A0BC7"/>
    <w:rsid w:val="006A0FC3"/>
    <w:rsid w:val="006A10DC"/>
    <w:rsid w:val="006A1C8F"/>
    <w:rsid w:val="006A2825"/>
    <w:rsid w:val="006A28BD"/>
    <w:rsid w:val="006A2AC0"/>
    <w:rsid w:val="006A2AFD"/>
    <w:rsid w:val="006A2BA4"/>
    <w:rsid w:val="006A35DC"/>
    <w:rsid w:val="006A3C0E"/>
    <w:rsid w:val="006A3D2D"/>
    <w:rsid w:val="006A4154"/>
    <w:rsid w:val="006A424C"/>
    <w:rsid w:val="006A428B"/>
    <w:rsid w:val="006A4B49"/>
    <w:rsid w:val="006A4BF7"/>
    <w:rsid w:val="006A4CB1"/>
    <w:rsid w:val="006A4E11"/>
    <w:rsid w:val="006A513B"/>
    <w:rsid w:val="006A5362"/>
    <w:rsid w:val="006A55DA"/>
    <w:rsid w:val="006A5B6A"/>
    <w:rsid w:val="006A604A"/>
    <w:rsid w:val="006A64D9"/>
    <w:rsid w:val="006A6735"/>
    <w:rsid w:val="006A7245"/>
    <w:rsid w:val="006A7C53"/>
    <w:rsid w:val="006B0032"/>
    <w:rsid w:val="006B076E"/>
    <w:rsid w:val="006B0826"/>
    <w:rsid w:val="006B0B15"/>
    <w:rsid w:val="006B1A0E"/>
    <w:rsid w:val="006B1CCE"/>
    <w:rsid w:val="006B2352"/>
    <w:rsid w:val="006B29BC"/>
    <w:rsid w:val="006B2ADF"/>
    <w:rsid w:val="006B2C1B"/>
    <w:rsid w:val="006B3A3A"/>
    <w:rsid w:val="006B3A80"/>
    <w:rsid w:val="006B45E0"/>
    <w:rsid w:val="006B55DC"/>
    <w:rsid w:val="006B61DD"/>
    <w:rsid w:val="006B63A5"/>
    <w:rsid w:val="006B64FA"/>
    <w:rsid w:val="006B718A"/>
    <w:rsid w:val="006B754E"/>
    <w:rsid w:val="006B78D1"/>
    <w:rsid w:val="006B7A3F"/>
    <w:rsid w:val="006B7A9E"/>
    <w:rsid w:val="006C03A1"/>
    <w:rsid w:val="006C0426"/>
    <w:rsid w:val="006C07B3"/>
    <w:rsid w:val="006C08AD"/>
    <w:rsid w:val="006C0E38"/>
    <w:rsid w:val="006C0EB2"/>
    <w:rsid w:val="006C1515"/>
    <w:rsid w:val="006C1918"/>
    <w:rsid w:val="006C2727"/>
    <w:rsid w:val="006C2991"/>
    <w:rsid w:val="006C29F0"/>
    <w:rsid w:val="006C2AAC"/>
    <w:rsid w:val="006C3387"/>
    <w:rsid w:val="006C39B8"/>
    <w:rsid w:val="006C3D66"/>
    <w:rsid w:val="006C4817"/>
    <w:rsid w:val="006C4D34"/>
    <w:rsid w:val="006C4D44"/>
    <w:rsid w:val="006C4F53"/>
    <w:rsid w:val="006C5130"/>
    <w:rsid w:val="006C5712"/>
    <w:rsid w:val="006C594A"/>
    <w:rsid w:val="006C5976"/>
    <w:rsid w:val="006C5EA0"/>
    <w:rsid w:val="006C6254"/>
    <w:rsid w:val="006C6A0F"/>
    <w:rsid w:val="006C6A83"/>
    <w:rsid w:val="006C6B00"/>
    <w:rsid w:val="006C6CED"/>
    <w:rsid w:val="006C6F08"/>
    <w:rsid w:val="006C7579"/>
    <w:rsid w:val="006C7592"/>
    <w:rsid w:val="006C78E9"/>
    <w:rsid w:val="006C7C9E"/>
    <w:rsid w:val="006C7F95"/>
    <w:rsid w:val="006D028B"/>
    <w:rsid w:val="006D0354"/>
    <w:rsid w:val="006D0359"/>
    <w:rsid w:val="006D09B5"/>
    <w:rsid w:val="006D0AA7"/>
    <w:rsid w:val="006D0B00"/>
    <w:rsid w:val="006D12FA"/>
    <w:rsid w:val="006D1C47"/>
    <w:rsid w:val="006D1FC2"/>
    <w:rsid w:val="006D26CF"/>
    <w:rsid w:val="006D2F41"/>
    <w:rsid w:val="006D306A"/>
    <w:rsid w:val="006D31B7"/>
    <w:rsid w:val="006D3595"/>
    <w:rsid w:val="006D3659"/>
    <w:rsid w:val="006D38AB"/>
    <w:rsid w:val="006D435A"/>
    <w:rsid w:val="006D45A1"/>
    <w:rsid w:val="006D487C"/>
    <w:rsid w:val="006D48FB"/>
    <w:rsid w:val="006D490F"/>
    <w:rsid w:val="006D4ACC"/>
    <w:rsid w:val="006D4D96"/>
    <w:rsid w:val="006D5119"/>
    <w:rsid w:val="006D57E2"/>
    <w:rsid w:val="006D5E54"/>
    <w:rsid w:val="006D6EB7"/>
    <w:rsid w:val="006D79E4"/>
    <w:rsid w:val="006D7BFE"/>
    <w:rsid w:val="006D7C62"/>
    <w:rsid w:val="006E000E"/>
    <w:rsid w:val="006E0123"/>
    <w:rsid w:val="006E01E8"/>
    <w:rsid w:val="006E05F9"/>
    <w:rsid w:val="006E1214"/>
    <w:rsid w:val="006E1360"/>
    <w:rsid w:val="006E1585"/>
    <w:rsid w:val="006E1A70"/>
    <w:rsid w:val="006E1B24"/>
    <w:rsid w:val="006E2064"/>
    <w:rsid w:val="006E2230"/>
    <w:rsid w:val="006E2686"/>
    <w:rsid w:val="006E2DD9"/>
    <w:rsid w:val="006E2F8E"/>
    <w:rsid w:val="006E316A"/>
    <w:rsid w:val="006E379B"/>
    <w:rsid w:val="006E3F42"/>
    <w:rsid w:val="006E4194"/>
    <w:rsid w:val="006E4571"/>
    <w:rsid w:val="006E4A82"/>
    <w:rsid w:val="006E502B"/>
    <w:rsid w:val="006E5105"/>
    <w:rsid w:val="006E5BB7"/>
    <w:rsid w:val="006E61E2"/>
    <w:rsid w:val="006E6571"/>
    <w:rsid w:val="006E6622"/>
    <w:rsid w:val="006E66EF"/>
    <w:rsid w:val="006E6CD9"/>
    <w:rsid w:val="006E6F12"/>
    <w:rsid w:val="006F00C0"/>
    <w:rsid w:val="006F0792"/>
    <w:rsid w:val="006F080B"/>
    <w:rsid w:val="006F0D5B"/>
    <w:rsid w:val="006F0FF1"/>
    <w:rsid w:val="006F108F"/>
    <w:rsid w:val="006F10A6"/>
    <w:rsid w:val="006F132B"/>
    <w:rsid w:val="006F13B9"/>
    <w:rsid w:val="006F25FB"/>
    <w:rsid w:val="006F2B54"/>
    <w:rsid w:val="006F2E04"/>
    <w:rsid w:val="006F35F0"/>
    <w:rsid w:val="006F3959"/>
    <w:rsid w:val="006F3D72"/>
    <w:rsid w:val="006F42DF"/>
    <w:rsid w:val="006F4FEA"/>
    <w:rsid w:val="006F55F6"/>
    <w:rsid w:val="006F56BC"/>
    <w:rsid w:val="006F5AF8"/>
    <w:rsid w:val="006F5C26"/>
    <w:rsid w:val="006F5CAD"/>
    <w:rsid w:val="006F603C"/>
    <w:rsid w:val="006F6162"/>
    <w:rsid w:val="006F6306"/>
    <w:rsid w:val="006F65B6"/>
    <w:rsid w:val="006F68C5"/>
    <w:rsid w:val="006F6A5C"/>
    <w:rsid w:val="006F6DFC"/>
    <w:rsid w:val="006F7272"/>
    <w:rsid w:val="006F77FE"/>
    <w:rsid w:val="007003F5"/>
    <w:rsid w:val="00700526"/>
    <w:rsid w:val="007007CC"/>
    <w:rsid w:val="00701153"/>
    <w:rsid w:val="0070115A"/>
    <w:rsid w:val="00701A2A"/>
    <w:rsid w:val="0070237A"/>
    <w:rsid w:val="0070251D"/>
    <w:rsid w:val="0070290A"/>
    <w:rsid w:val="00702A9C"/>
    <w:rsid w:val="00702D38"/>
    <w:rsid w:val="00702FFE"/>
    <w:rsid w:val="00703F6B"/>
    <w:rsid w:val="00704272"/>
    <w:rsid w:val="00705AFB"/>
    <w:rsid w:val="00705C2E"/>
    <w:rsid w:val="0070628D"/>
    <w:rsid w:val="00706A79"/>
    <w:rsid w:val="00706A7B"/>
    <w:rsid w:val="00706DF5"/>
    <w:rsid w:val="00706FFC"/>
    <w:rsid w:val="00707613"/>
    <w:rsid w:val="007079FC"/>
    <w:rsid w:val="00710F35"/>
    <w:rsid w:val="00711387"/>
    <w:rsid w:val="00711648"/>
    <w:rsid w:val="00711879"/>
    <w:rsid w:val="00711AF0"/>
    <w:rsid w:val="00711F46"/>
    <w:rsid w:val="007123F1"/>
    <w:rsid w:val="0071247F"/>
    <w:rsid w:val="007130B4"/>
    <w:rsid w:val="00713595"/>
    <w:rsid w:val="00713C5C"/>
    <w:rsid w:val="007145C2"/>
    <w:rsid w:val="00714E00"/>
    <w:rsid w:val="00714E3E"/>
    <w:rsid w:val="0071589D"/>
    <w:rsid w:val="00715EF5"/>
    <w:rsid w:val="00716018"/>
    <w:rsid w:val="007168F3"/>
    <w:rsid w:val="00716C39"/>
    <w:rsid w:val="00716CDD"/>
    <w:rsid w:val="00716EC9"/>
    <w:rsid w:val="00717503"/>
    <w:rsid w:val="007175C2"/>
    <w:rsid w:val="00717B55"/>
    <w:rsid w:val="00717E6C"/>
    <w:rsid w:val="0072004A"/>
    <w:rsid w:val="0072037E"/>
    <w:rsid w:val="00720660"/>
    <w:rsid w:val="00720916"/>
    <w:rsid w:val="00720B5E"/>
    <w:rsid w:val="00720BA0"/>
    <w:rsid w:val="0072129D"/>
    <w:rsid w:val="007212E9"/>
    <w:rsid w:val="007220C7"/>
    <w:rsid w:val="00722913"/>
    <w:rsid w:val="007230B6"/>
    <w:rsid w:val="00724126"/>
    <w:rsid w:val="007242A8"/>
    <w:rsid w:val="0072452C"/>
    <w:rsid w:val="0072478F"/>
    <w:rsid w:val="0072493E"/>
    <w:rsid w:val="00724A05"/>
    <w:rsid w:val="007251B4"/>
    <w:rsid w:val="00725969"/>
    <w:rsid w:val="0072604E"/>
    <w:rsid w:val="007267B6"/>
    <w:rsid w:val="007268D8"/>
    <w:rsid w:val="00726A3A"/>
    <w:rsid w:val="007271C9"/>
    <w:rsid w:val="00727939"/>
    <w:rsid w:val="00727BF4"/>
    <w:rsid w:val="00727CF2"/>
    <w:rsid w:val="00727F65"/>
    <w:rsid w:val="0073089F"/>
    <w:rsid w:val="00730A3B"/>
    <w:rsid w:val="00732061"/>
    <w:rsid w:val="007321EF"/>
    <w:rsid w:val="00732A5A"/>
    <w:rsid w:val="00732EFC"/>
    <w:rsid w:val="00733966"/>
    <w:rsid w:val="0073432F"/>
    <w:rsid w:val="007344DE"/>
    <w:rsid w:val="00734C96"/>
    <w:rsid w:val="00735037"/>
    <w:rsid w:val="00735A26"/>
    <w:rsid w:val="00735AB0"/>
    <w:rsid w:val="00735E03"/>
    <w:rsid w:val="00736133"/>
    <w:rsid w:val="00736868"/>
    <w:rsid w:val="00736926"/>
    <w:rsid w:val="007371EC"/>
    <w:rsid w:val="00737642"/>
    <w:rsid w:val="007376B6"/>
    <w:rsid w:val="00737AA0"/>
    <w:rsid w:val="00740470"/>
    <w:rsid w:val="00740FCC"/>
    <w:rsid w:val="007412E1"/>
    <w:rsid w:val="0074162C"/>
    <w:rsid w:val="0074165D"/>
    <w:rsid w:val="00741978"/>
    <w:rsid w:val="0074272D"/>
    <w:rsid w:val="0074291C"/>
    <w:rsid w:val="00742958"/>
    <w:rsid w:val="00742D02"/>
    <w:rsid w:val="007436E8"/>
    <w:rsid w:val="007438BB"/>
    <w:rsid w:val="007438D7"/>
    <w:rsid w:val="0074404D"/>
    <w:rsid w:val="00744221"/>
    <w:rsid w:val="00744898"/>
    <w:rsid w:val="00744979"/>
    <w:rsid w:val="007449D1"/>
    <w:rsid w:val="00744B3F"/>
    <w:rsid w:val="00744BA9"/>
    <w:rsid w:val="00745861"/>
    <w:rsid w:val="00745992"/>
    <w:rsid w:val="00745C09"/>
    <w:rsid w:val="0074623B"/>
    <w:rsid w:val="0074630D"/>
    <w:rsid w:val="00746A54"/>
    <w:rsid w:val="007471D0"/>
    <w:rsid w:val="0074745A"/>
    <w:rsid w:val="00747639"/>
    <w:rsid w:val="00747FAE"/>
    <w:rsid w:val="0075067F"/>
    <w:rsid w:val="007509D6"/>
    <w:rsid w:val="00750A14"/>
    <w:rsid w:val="007514C6"/>
    <w:rsid w:val="0075156D"/>
    <w:rsid w:val="00752153"/>
    <w:rsid w:val="0075224E"/>
    <w:rsid w:val="007526C7"/>
    <w:rsid w:val="00752844"/>
    <w:rsid w:val="00752E3A"/>
    <w:rsid w:val="007533B1"/>
    <w:rsid w:val="0075348F"/>
    <w:rsid w:val="00753622"/>
    <w:rsid w:val="00753757"/>
    <w:rsid w:val="00753B16"/>
    <w:rsid w:val="00754141"/>
    <w:rsid w:val="007548F5"/>
    <w:rsid w:val="00754BFA"/>
    <w:rsid w:val="00755626"/>
    <w:rsid w:val="00755939"/>
    <w:rsid w:val="00755A26"/>
    <w:rsid w:val="00755E81"/>
    <w:rsid w:val="0075612B"/>
    <w:rsid w:val="00756397"/>
    <w:rsid w:val="00756638"/>
    <w:rsid w:val="00757402"/>
    <w:rsid w:val="007575F9"/>
    <w:rsid w:val="007577B6"/>
    <w:rsid w:val="007578FB"/>
    <w:rsid w:val="00757FA6"/>
    <w:rsid w:val="007603C8"/>
    <w:rsid w:val="00760FD9"/>
    <w:rsid w:val="0076187A"/>
    <w:rsid w:val="007618A7"/>
    <w:rsid w:val="007624F9"/>
    <w:rsid w:val="00762789"/>
    <w:rsid w:val="00762790"/>
    <w:rsid w:val="007628AD"/>
    <w:rsid w:val="00762A96"/>
    <w:rsid w:val="00762B64"/>
    <w:rsid w:val="00762DE3"/>
    <w:rsid w:val="00762E54"/>
    <w:rsid w:val="00763C33"/>
    <w:rsid w:val="007640EA"/>
    <w:rsid w:val="00764A6C"/>
    <w:rsid w:val="00765911"/>
    <w:rsid w:val="00765B3B"/>
    <w:rsid w:val="00765F56"/>
    <w:rsid w:val="00766347"/>
    <w:rsid w:val="00766729"/>
    <w:rsid w:val="00766A72"/>
    <w:rsid w:val="0076721E"/>
    <w:rsid w:val="00767630"/>
    <w:rsid w:val="007677FA"/>
    <w:rsid w:val="00767933"/>
    <w:rsid w:val="00767A3E"/>
    <w:rsid w:val="00767D0B"/>
    <w:rsid w:val="00767E95"/>
    <w:rsid w:val="00767EC1"/>
    <w:rsid w:val="00770507"/>
    <w:rsid w:val="007708E2"/>
    <w:rsid w:val="00770A6C"/>
    <w:rsid w:val="00770B28"/>
    <w:rsid w:val="00770D0B"/>
    <w:rsid w:val="00770F99"/>
    <w:rsid w:val="007710F8"/>
    <w:rsid w:val="00771B41"/>
    <w:rsid w:val="007723DC"/>
    <w:rsid w:val="007731AB"/>
    <w:rsid w:val="007737FD"/>
    <w:rsid w:val="00773893"/>
    <w:rsid w:val="00773CAA"/>
    <w:rsid w:val="00774887"/>
    <w:rsid w:val="007749F3"/>
    <w:rsid w:val="00774B6A"/>
    <w:rsid w:val="00774F31"/>
    <w:rsid w:val="00775051"/>
    <w:rsid w:val="0077512B"/>
    <w:rsid w:val="0077544A"/>
    <w:rsid w:val="0077549E"/>
    <w:rsid w:val="00775D57"/>
    <w:rsid w:val="0077648E"/>
    <w:rsid w:val="00776A18"/>
    <w:rsid w:val="00776AB2"/>
    <w:rsid w:val="007771A2"/>
    <w:rsid w:val="0077741B"/>
    <w:rsid w:val="00777A84"/>
    <w:rsid w:val="00780EB6"/>
    <w:rsid w:val="007811C9"/>
    <w:rsid w:val="007816F0"/>
    <w:rsid w:val="00781A6E"/>
    <w:rsid w:val="00781CE9"/>
    <w:rsid w:val="007822A1"/>
    <w:rsid w:val="0078231D"/>
    <w:rsid w:val="007823C2"/>
    <w:rsid w:val="007823D6"/>
    <w:rsid w:val="007827DD"/>
    <w:rsid w:val="00782999"/>
    <w:rsid w:val="00782B52"/>
    <w:rsid w:val="00782FC5"/>
    <w:rsid w:val="0078349A"/>
    <w:rsid w:val="00784945"/>
    <w:rsid w:val="00784C41"/>
    <w:rsid w:val="00784D28"/>
    <w:rsid w:val="00786207"/>
    <w:rsid w:val="00786633"/>
    <w:rsid w:val="0078673B"/>
    <w:rsid w:val="00786772"/>
    <w:rsid w:val="007875FA"/>
    <w:rsid w:val="00787839"/>
    <w:rsid w:val="00787DF1"/>
    <w:rsid w:val="00790178"/>
    <w:rsid w:val="007903B0"/>
    <w:rsid w:val="00790595"/>
    <w:rsid w:val="0079078C"/>
    <w:rsid w:val="0079082B"/>
    <w:rsid w:val="007918C5"/>
    <w:rsid w:val="00791C01"/>
    <w:rsid w:val="00791EA4"/>
    <w:rsid w:val="007920D5"/>
    <w:rsid w:val="00792490"/>
    <w:rsid w:val="007926DF"/>
    <w:rsid w:val="00792970"/>
    <w:rsid w:val="0079360C"/>
    <w:rsid w:val="00793979"/>
    <w:rsid w:val="00793EA5"/>
    <w:rsid w:val="00794EB4"/>
    <w:rsid w:val="00794EF5"/>
    <w:rsid w:val="00794FDC"/>
    <w:rsid w:val="00795448"/>
    <w:rsid w:val="00795487"/>
    <w:rsid w:val="00795953"/>
    <w:rsid w:val="007960B9"/>
    <w:rsid w:val="00797375"/>
    <w:rsid w:val="0079748C"/>
    <w:rsid w:val="007A0085"/>
    <w:rsid w:val="007A09FB"/>
    <w:rsid w:val="007A0DAC"/>
    <w:rsid w:val="007A18F1"/>
    <w:rsid w:val="007A203C"/>
    <w:rsid w:val="007A2295"/>
    <w:rsid w:val="007A237D"/>
    <w:rsid w:val="007A25F5"/>
    <w:rsid w:val="007A343C"/>
    <w:rsid w:val="007A347E"/>
    <w:rsid w:val="007A36AB"/>
    <w:rsid w:val="007A36C5"/>
    <w:rsid w:val="007A3B11"/>
    <w:rsid w:val="007A45B4"/>
    <w:rsid w:val="007A4CFC"/>
    <w:rsid w:val="007A5092"/>
    <w:rsid w:val="007A515B"/>
    <w:rsid w:val="007A5294"/>
    <w:rsid w:val="007A54F3"/>
    <w:rsid w:val="007A59EB"/>
    <w:rsid w:val="007A601C"/>
    <w:rsid w:val="007A6059"/>
    <w:rsid w:val="007A6679"/>
    <w:rsid w:val="007A6AC2"/>
    <w:rsid w:val="007A6B1C"/>
    <w:rsid w:val="007A76A4"/>
    <w:rsid w:val="007A77D5"/>
    <w:rsid w:val="007A7E2D"/>
    <w:rsid w:val="007B0613"/>
    <w:rsid w:val="007B06DE"/>
    <w:rsid w:val="007B08CA"/>
    <w:rsid w:val="007B0A1E"/>
    <w:rsid w:val="007B0B14"/>
    <w:rsid w:val="007B0D07"/>
    <w:rsid w:val="007B0FD1"/>
    <w:rsid w:val="007B1178"/>
    <w:rsid w:val="007B1D79"/>
    <w:rsid w:val="007B1E48"/>
    <w:rsid w:val="007B1E51"/>
    <w:rsid w:val="007B2137"/>
    <w:rsid w:val="007B2315"/>
    <w:rsid w:val="007B236B"/>
    <w:rsid w:val="007B2707"/>
    <w:rsid w:val="007B3257"/>
    <w:rsid w:val="007B3BBC"/>
    <w:rsid w:val="007B3C99"/>
    <w:rsid w:val="007B3EC3"/>
    <w:rsid w:val="007B41A8"/>
    <w:rsid w:val="007B48ED"/>
    <w:rsid w:val="007B4B3D"/>
    <w:rsid w:val="007B501E"/>
    <w:rsid w:val="007B52A5"/>
    <w:rsid w:val="007B5827"/>
    <w:rsid w:val="007B5BAF"/>
    <w:rsid w:val="007B6290"/>
    <w:rsid w:val="007B6E04"/>
    <w:rsid w:val="007B6EFC"/>
    <w:rsid w:val="007B706F"/>
    <w:rsid w:val="007B7ECC"/>
    <w:rsid w:val="007C043D"/>
    <w:rsid w:val="007C0951"/>
    <w:rsid w:val="007C0CAE"/>
    <w:rsid w:val="007C0D64"/>
    <w:rsid w:val="007C104E"/>
    <w:rsid w:val="007C1198"/>
    <w:rsid w:val="007C1260"/>
    <w:rsid w:val="007C1BD8"/>
    <w:rsid w:val="007C1C12"/>
    <w:rsid w:val="007C217F"/>
    <w:rsid w:val="007C236A"/>
    <w:rsid w:val="007C2382"/>
    <w:rsid w:val="007C2478"/>
    <w:rsid w:val="007C259F"/>
    <w:rsid w:val="007C2E8F"/>
    <w:rsid w:val="007C34B5"/>
    <w:rsid w:val="007C3A62"/>
    <w:rsid w:val="007C40D1"/>
    <w:rsid w:val="007C5208"/>
    <w:rsid w:val="007C5D97"/>
    <w:rsid w:val="007C5D99"/>
    <w:rsid w:val="007C657B"/>
    <w:rsid w:val="007C6A9F"/>
    <w:rsid w:val="007C6B83"/>
    <w:rsid w:val="007C6D23"/>
    <w:rsid w:val="007C6F51"/>
    <w:rsid w:val="007C7A7E"/>
    <w:rsid w:val="007C7C32"/>
    <w:rsid w:val="007D08E7"/>
    <w:rsid w:val="007D0ACD"/>
    <w:rsid w:val="007D1412"/>
    <w:rsid w:val="007D14A5"/>
    <w:rsid w:val="007D1DC2"/>
    <w:rsid w:val="007D294A"/>
    <w:rsid w:val="007D2B06"/>
    <w:rsid w:val="007D2D88"/>
    <w:rsid w:val="007D2F77"/>
    <w:rsid w:val="007D3BA9"/>
    <w:rsid w:val="007D450C"/>
    <w:rsid w:val="007D5195"/>
    <w:rsid w:val="007D53BD"/>
    <w:rsid w:val="007D5767"/>
    <w:rsid w:val="007D6091"/>
    <w:rsid w:val="007D61FB"/>
    <w:rsid w:val="007D6290"/>
    <w:rsid w:val="007D712E"/>
    <w:rsid w:val="007D721C"/>
    <w:rsid w:val="007D7476"/>
    <w:rsid w:val="007D77BC"/>
    <w:rsid w:val="007D7BDA"/>
    <w:rsid w:val="007D7DB0"/>
    <w:rsid w:val="007D7DDB"/>
    <w:rsid w:val="007E0554"/>
    <w:rsid w:val="007E072E"/>
    <w:rsid w:val="007E0733"/>
    <w:rsid w:val="007E08F6"/>
    <w:rsid w:val="007E0ACD"/>
    <w:rsid w:val="007E0E1F"/>
    <w:rsid w:val="007E1001"/>
    <w:rsid w:val="007E10A7"/>
    <w:rsid w:val="007E10C3"/>
    <w:rsid w:val="007E16AE"/>
    <w:rsid w:val="007E19DC"/>
    <w:rsid w:val="007E1E78"/>
    <w:rsid w:val="007E270B"/>
    <w:rsid w:val="007E2774"/>
    <w:rsid w:val="007E2CE5"/>
    <w:rsid w:val="007E2F0F"/>
    <w:rsid w:val="007E2F28"/>
    <w:rsid w:val="007E305F"/>
    <w:rsid w:val="007E4364"/>
    <w:rsid w:val="007E46C1"/>
    <w:rsid w:val="007E474A"/>
    <w:rsid w:val="007E48E7"/>
    <w:rsid w:val="007E4F37"/>
    <w:rsid w:val="007E4F4B"/>
    <w:rsid w:val="007E55CD"/>
    <w:rsid w:val="007E5909"/>
    <w:rsid w:val="007E6239"/>
    <w:rsid w:val="007E6986"/>
    <w:rsid w:val="007E6D43"/>
    <w:rsid w:val="007E70E5"/>
    <w:rsid w:val="007E70F3"/>
    <w:rsid w:val="007E74A1"/>
    <w:rsid w:val="007E75AB"/>
    <w:rsid w:val="007F021C"/>
    <w:rsid w:val="007F038A"/>
    <w:rsid w:val="007F0831"/>
    <w:rsid w:val="007F1242"/>
    <w:rsid w:val="007F2419"/>
    <w:rsid w:val="007F276B"/>
    <w:rsid w:val="007F2C79"/>
    <w:rsid w:val="007F308B"/>
    <w:rsid w:val="007F36E7"/>
    <w:rsid w:val="007F3A13"/>
    <w:rsid w:val="007F4234"/>
    <w:rsid w:val="007F4320"/>
    <w:rsid w:val="007F4CD5"/>
    <w:rsid w:val="007F509B"/>
    <w:rsid w:val="007F54C5"/>
    <w:rsid w:val="007F67FD"/>
    <w:rsid w:val="007F681D"/>
    <w:rsid w:val="007F68F6"/>
    <w:rsid w:val="007F6976"/>
    <w:rsid w:val="007F70BE"/>
    <w:rsid w:val="007F7C54"/>
    <w:rsid w:val="007F7E7A"/>
    <w:rsid w:val="00800082"/>
    <w:rsid w:val="008007C0"/>
    <w:rsid w:val="0080178D"/>
    <w:rsid w:val="00802EEF"/>
    <w:rsid w:val="008035D4"/>
    <w:rsid w:val="008037BE"/>
    <w:rsid w:val="008038D5"/>
    <w:rsid w:val="0080429F"/>
    <w:rsid w:val="00804967"/>
    <w:rsid w:val="00804EA2"/>
    <w:rsid w:val="00804F6D"/>
    <w:rsid w:val="00805215"/>
    <w:rsid w:val="00805216"/>
    <w:rsid w:val="008059FA"/>
    <w:rsid w:val="00805D7A"/>
    <w:rsid w:val="00806394"/>
    <w:rsid w:val="00806FC5"/>
    <w:rsid w:val="00810D82"/>
    <w:rsid w:val="00811565"/>
    <w:rsid w:val="00811D05"/>
    <w:rsid w:val="0081236B"/>
    <w:rsid w:val="00812831"/>
    <w:rsid w:val="0081290F"/>
    <w:rsid w:val="0081296D"/>
    <w:rsid w:val="00812BED"/>
    <w:rsid w:val="00812CA6"/>
    <w:rsid w:val="00813318"/>
    <w:rsid w:val="00813E1B"/>
    <w:rsid w:val="00814E8E"/>
    <w:rsid w:val="008151B5"/>
    <w:rsid w:val="00815AFB"/>
    <w:rsid w:val="00815BA1"/>
    <w:rsid w:val="00815E12"/>
    <w:rsid w:val="00816300"/>
    <w:rsid w:val="00816680"/>
    <w:rsid w:val="008176D7"/>
    <w:rsid w:val="00817FD1"/>
    <w:rsid w:val="008204FC"/>
    <w:rsid w:val="00820592"/>
    <w:rsid w:val="0082131E"/>
    <w:rsid w:val="008215A2"/>
    <w:rsid w:val="00821951"/>
    <w:rsid w:val="008219BE"/>
    <w:rsid w:val="00821B04"/>
    <w:rsid w:val="00821E38"/>
    <w:rsid w:val="008222D9"/>
    <w:rsid w:val="008225BE"/>
    <w:rsid w:val="00822816"/>
    <w:rsid w:val="008228B2"/>
    <w:rsid w:val="00822A3B"/>
    <w:rsid w:val="00822BDD"/>
    <w:rsid w:val="00823A9F"/>
    <w:rsid w:val="00824065"/>
    <w:rsid w:val="008241AD"/>
    <w:rsid w:val="00824540"/>
    <w:rsid w:val="00824CF4"/>
    <w:rsid w:val="0082515A"/>
    <w:rsid w:val="0082582B"/>
    <w:rsid w:val="00825BEB"/>
    <w:rsid w:val="00825D53"/>
    <w:rsid w:val="00825D82"/>
    <w:rsid w:val="00825DFC"/>
    <w:rsid w:val="008262F4"/>
    <w:rsid w:val="0082677D"/>
    <w:rsid w:val="0082691A"/>
    <w:rsid w:val="00826CDE"/>
    <w:rsid w:val="00826F1E"/>
    <w:rsid w:val="008272DB"/>
    <w:rsid w:val="00827B8C"/>
    <w:rsid w:val="00827BD0"/>
    <w:rsid w:val="008303BC"/>
    <w:rsid w:val="00830802"/>
    <w:rsid w:val="0083095C"/>
    <w:rsid w:val="00830FDA"/>
    <w:rsid w:val="008317E4"/>
    <w:rsid w:val="00831CF2"/>
    <w:rsid w:val="00831D91"/>
    <w:rsid w:val="00831DE9"/>
    <w:rsid w:val="0083213D"/>
    <w:rsid w:val="008327D7"/>
    <w:rsid w:val="00832B46"/>
    <w:rsid w:val="00832FD8"/>
    <w:rsid w:val="0083429C"/>
    <w:rsid w:val="0083441F"/>
    <w:rsid w:val="00835401"/>
    <w:rsid w:val="00835503"/>
    <w:rsid w:val="008355F8"/>
    <w:rsid w:val="00836111"/>
    <w:rsid w:val="00836412"/>
    <w:rsid w:val="00836D9E"/>
    <w:rsid w:val="00837547"/>
    <w:rsid w:val="0083762B"/>
    <w:rsid w:val="00840296"/>
    <w:rsid w:val="008403B8"/>
    <w:rsid w:val="00840471"/>
    <w:rsid w:val="0084056A"/>
    <w:rsid w:val="00840636"/>
    <w:rsid w:val="008406D6"/>
    <w:rsid w:val="008409EF"/>
    <w:rsid w:val="00840A74"/>
    <w:rsid w:val="00840A76"/>
    <w:rsid w:val="00840E27"/>
    <w:rsid w:val="00840E84"/>
    <w:rsid w:val="00841BB3"/>
    <w:rsid w:val="00841C74"/>
    <w:rsid w:val="00842257"/>
    <w:rsid w:val="0084225C"/>
    <w:rsid w:val="00842418"/>
    <w:rsid w:val="00842BBB"/>
    <w:rsid w:val="00843B5D"/>
    <w:rsid w:val="00843CE4"/>
    <w:rsid w:val="00843E93"/>
    <w:rsid w:val="008453EE"/>
    <w:rsid w:val="0084594E"/>
    <w:rsid w:val="0084664C"/>
    <w:rsid w:val="00846746"/>
    <w:rsid w:val="00846D9C"/>
    <w:rsid w:val="0084788D"/>
    <w:rsid w:val="008479CA"/>
    <w:rsid w:val="00847FDD"/>
    <w:rsid w:val="0085050A"/>
    <w:rsid w:val="0085061A"/>
    <w:rsid w:val="00850A0C"/>
    <w:rsid w:val="008512D1"/>
    <w:rsid w:val="00851B98"/>
    <w:rsid w:val="00852436"/>
    <w:rsid w:val="0085247A"/>
    <w:rsid w:val="0085261F"/>
    <w:rsid w:val="00853291"/>
    <w:rsid w:val="008532B7"/>
    <w:rsid w:val="008533CE"/>
    <w:rsid w:val="00853661"/>
    <w:rsid w:val="008539CD"/>
    <w:rsid w:val="00853A3F"/>
    <w:rsid w:val="00854351"/>
    <w:rsid w:val="008543F9"/>
    <w:rsid w:val="008547A4"/>
    <w:rsid w:val="00854912"/>
    <w:rsid w:val="00854966"/>
    <w:rsid w:val="00855541"/>
    <w:rsid w:val="00855B04"/>
    <w:rsid w:val="00855BEF"/>
    <w:rsid w:val="0085632E"/>
    <w:rsid w:val="008564BE"/>
    <w:rsid w:val="0085703A"/>
    <w:rsid w:val="008577F0"/>
    <w:rsid w:val="00860170"/>
    <w:rsid w:val="0086029E"/>
    <w:rsid w:val="008609DC"/>
    <w:rsid w:val="00860EAC"/>
    <w:rsid w:val="00861C81"/>
    <w:rsid w:val="0086269F"/>
    <w:rsid w:val="008626A9"/>
    <w:rsid w:val="00862ABF"/>
    <w:rsid w:val="0086309D"/>
    <w:rsid w:val="008631D9"/>
    <w:rsid w:val="00863598"/>
    <w:rsid w:val="008638CB"/>
    <w:rsid w:val="00863A3B"/>
    <w:rsid w:val="00863B4D"/>
    <w:rsid w:val="00863BFA"/>
    <w:rsid w:val="00863F62"/>
    <w:rsid w:val="00863F69"/>
    <w:rsid w:val="0086483A"/>
    <w:rsid w:val="008650F6"/>
    <w:rsid w:val="00865266"/>
    <w:rsid w:val="00865351"/>
    <w:rsid w:val="008655B7"/>
    <w:rsid w:val="00865964"/>
    <w:rsid w:val="00865B1D"/>
    <w:rsid w:val="00865D1C"/>
    <w:rsid w:val="00866A50"/>
    <w:rsid w:val="008678A4"/>
    <w:rsid w:val="00867C07"/>
    <w:rsid w:val="00870246"/>
    <w:rsid w:val="00870330"/>
    <w:rsid w:val="00870615"/>
    <w:rsid w:val="008711E9"/>
    <w:rsid w:val="00871C2B"/>
    <w:rsid w:val="00872064"/>
    <w:rsid w:val="00872A98"/>
    <w:rsid w:val="008731CC"/>
    <w:rsid w:val="008731CD"/>
    <w:rsid w:val="008736C5"/>
    <w:rsid w:val="008736F7"/>
    <w:rsid w:val="00873C40"/>
    <w:rsid w:val="0087478C"/>
    <w:rsid w:val="00874A3D"/>
    <w:rsid w:val="00874C50"/>
    <w:rsid w:val="00875014"/>
    <w:rsid w:val="00875413"/>
    <w:rsid w:val="00875A18"/>
    <w:rsid w:val="00875CD3"/>
    <w:rsid w:val="00875E59"/>
    <w:rsid w:val="00876126"/>
    <w:rsid w:val="0087683A"/>
    <w:rsid w:val="0087707C"/>
    <w:rsid w:val="008770F2"/>
    <w:rsid w:val="008777A8"/>
    <w:rsid w:val="00877928"/>
    <w:rsid w:val="0087796C"/>
    <w:rsid w:val="00877A39"/>
    <w:rsid w:val="00877C64"/>
    <w:rsid w:val="00877DD7"/>
    <w:rsid w:val="00880173"/>
    <w:rsid w:val="00880C33"/>
    <w:rsid w:val="00880FFC"/>
    <w:rsid w:val="00881180"/>
    <w:rsid w:val="008811D7"/>
    <w:rsid w:val="008811DF"/>
    <w:rsid w:val="00881420"/>
    <w:rsid w:val="0088170C"/>
    <w:rsid w:val="00881889"/>
    <w:rsid w:val="00881939"/>
    <w:rsid w:val="00881C03"/>
    <w:rsid w:val="008822D1"/>
    <w:rsid w:val="008829D2"/>
    <w:rsid w:val="00883640"/>
    <w:rsid w:val="0088373B"/>
    <w:rsid w:val="00883A5E"/>
    <w:rsid w:val="0088452C"/>
    <w:rsid w:val="008846A9"/>
    <w:rsid w:val="0088497D"/>
    <w:rsid w:val="00884A12"/>
    <w:rsid w:val="008856AB"/>
    <w:rsid w:val="0088578E"/>
    <w:rsid w:val="008858E6"/>
    <w:rsid w:val="0088594C"/>
    <w:rsid w:val="00885A7F"/>
    <w:rsid w:val="00886049"/>
    <w:rsid w:val="00886174"/>
    <w:rsid w:val="00886350"/>
    <w:rsid w:val="00886752"/>
    <w:rsid w:val="00886846"/>
    <w:rsid w:val="00886A4E"/>
    <w:rsid w:val="00887F0B"/>
    <w:rsid w:val="00890162"/>
    <w:rsid w:val="008901B6"/>
    <w:rsid w:val="00890736"/>
    <w:rsid w:val="00890BBE"/>
    <w:rsid w:val="00890C76"/>
    <w:rsid w:val="008914F7"/>
    <w:rsid w:val="008917E4"/>
    <w:rsid w:val="00892437"/>
    <w:rsid w:val="00892A53"/>
    <w:rsid w:val="00892F79"/>
    <w:rsid w:val="00893151"/>
    <w:rsid w:val="00893464"/>
    <w:rsid w:val="008934D7"/>
    <w:rsid w:val="008937E9"/>
    <w:rsid w:val="00893EDB"/>
    <w:rsid w:val="0089442A"/>
    <w:rsid w:val="00894680"/>
    <w:rsid w:val="00894F1A"/>
    <w:rsid w:val="008950F7"/>
    <w:rsid w:val="00895226"/>
    <w:rsid w:val="008952B6"/>
    <w:rsid w:val="008956EF"/>
    <w:rsid w:val="0089598D"/>
    <w:rsid w:val="00895B04"/>
    <w:rsid w:val="00895DE2"/>
    <w:rsid w:val="00896563"/>
    <w:rsid w:val="00896634"/>
    <w:rsid w:val="00896763"/>
    <w:rsid w:val="00896B6A"/>
    <w:rsid w:val="00896F34"/>
    <w:rsid w:val="0089704B"/>
    <w:rsid w:val="00897116"/>
    <w:rsid w:val="0089728C"/>
    <w:rsid w:val="00897AE2"/>
    <w:rsid w:val="00897B7E"/>
    <w:rsid w:val="008A05BB"/>
    <w:rsid w:val="008A0ABA"/>
    <w:rsid w:val="008A0C7E"/>
    <w:rsid w:val="008A1389"/>
    <w:rsid w:val="008A1A1C"/>
    <w:rsid w:val="008A1AFA"/>
    <w:rsid w:val="008A1D69"/>
    <w:rsid w:val="008A1D6D"/>
    <w:rsid w:val="008A30B2"/>
    <w:rsid w:val="008A33F7"/>
    <w:rsid w:val="008A3757"/>
    <w:rsid w:val="008A4232"/>
    <w:rsid w:val="008A45A6"/>
    <w:rsid w:val="008A46C0"/>
    <w:rsid w:val="008A4E0A"/>
    <w:rsid w:val="008A4EB5"/>
    <w:rsid w:val="008A501F"/>
    <w:rsid w:val="008A50D9"/>
    <w:rsid w:val="008A528F"/>
    <w:rsid w:val="008A54CC"/>
    <w:rsid w:val="008A5654"/>
    <w:rsid w:val="008A5D62"/>
    <w:rsid w:val="008A617A"/>
    <w:rsid w:val="008A6339"/>
    <w:rsid w:val="008A64F6"/>
    <w:rsid w:val="008A6A09"/>
    <w:rsid w:val="008A6B7D"/>
    <w:rsid w:val="008A7074"/>
    <w:rsid w:val="008A7135"/>
    <w:rsid w:val="008A7BA4"/>
    <w:rsid w:val="008B1118"/>
    <w:rsid w:val="008B15DC"/>
    <w:rsid w:val="008B1AB3"/>
    <w:rsid w:val="008B1C8C"/>
    <w:rsid w:val="008B23D9"/>
    <w:rsid w:val="008B24A2"/>
    <w:rsid w:val="008B24BD"/>
    <w:rsid w:val="008B28AC"/>
    <w:rsid w:val="008B2DB3"/>
    <w:rsid w:val="008B3085"/>
    <w:rsid w:val="008B30D1"/>
    <w:rsid w:val="008B30FA"/>
    <w:rsid w:val="008B33BC"/>
    <w:rsid w:val="008B3CED"/>
    <w:rsid w:val="008B3F6B"/>
    <w:rsid w:val="008B430B"/>
    <w:rsid w:val="008B4A2D"/>
    <w:rsid w:val="008B5275"/>
    <w:rsid w:val="008B5CAD"/>
    <w:rsid w:val="008B5D36"/>
    <w:rsid w:val="008B62D1"/>
    <w:rsid w:val="008B697D"/>
    <w:rsid w:val="008B6C6B"/>
    <w:rsid w:val="008B6F39"/>
    <w:rsid w:val="008B75CE"/>
    <w:rsid w:val="008B7DF4"/>
    <w:rsid w:val="008C0394"/>
    <w:rsid w:val="008C0938"/>
    <w:rsid w:val="008C0AE9"/>
    <w:rsid w:val="008C0FFB"/>
    <w:rsid w:val="008C1182"/>
    <w:rsid w:val="008C1438"/>
    <w:rsid w:val="008C148C"/>
    <w:rsid w:val="008C174E"/>
    <w:rsid w:val="008C178E"/>
    <w:rsid w:val="008C1C7A"/>
    <w:rsid w:val="008C2144"/>
    <w:rsid w:val="008C24BE"/>
    <w:rsid w:val="008C280E"/>
    <w:rsid w:val="008C2C80"/>
    <w:rsid w:val="008C2EAB"/>
    <w:rsid w:val="008C35F9"/>
    <w:rsid w:val="008C3E7D"/>
    <w:rsid w:val="008C445D"/>
    <w:rsid w:val="008C4A46"/>
    <w:rsid w:val="008C4E48"/>
    <w:rsid w:val="008C4E72"/>
    <w:rsid w:val="008C4E82"/>
    <w:rsid w:val="008C5020"/>
    <w:rsid w:val="008C541A"/>
    <w:rsid w:val="008C61D5"/>
    <w:rsid w:val="008C6C05"/>
    <w:rsid w:val="008C71E0"/>
    <w:rsid w:val="008C79B7"/>
    <w:rsid w:val="008C7C82"/>
    <w:rsid w:val="008C7E75"/>
    <w:rsid w:val="008C7EBE"/>
    <w:rsid w:val="008D0013"/>
    <w:rsid w:val="008D0341"/>
    <w:rsid w:val="008D0408"/>
    <w:rsid w:val="008D04E6"/>
    <w:rsid w:val="008D0709"/>
    <w:rsid w:val="008D0FB8"/>
    <w:rsid w:val="008D114A"/>
    <w:rsid w:val="008D14EC"/>
    <w:rsid w:val="008D22A8"/>
    <w:rsid w:val="008D2645"/>
    <w:rsid w:val="008D280A"/>
    <w:rsid w:val="008D2A74"/>
    <w:rsid w:val="008D357F"/>
    <w:rsid w:val="008D37FD"/>
    <w:rsid w:val="008D3B0D"/>
    <w:rsid w:val="008D45A7"/>
    <w:rsid w:val="008D52A4"/>
    <w:rsid w:val="008D538C"/>
    <w:rsid w:val="008D64A1"/>
    <w:rsid w:val="008D65EC"/>
    <w:rsid w:val="008D6A43"/>
    <w:rsid w:val="008D6AE8"/>
    <w:rsid w:val="008D6B99"/>
    <w:rsid w:val="008D6BDB"/>
    <w:rsid w:val="008D7468"/>
    <w:rsid w:val="008D78B9"/>
    <w:rsid w:val="008D7ADD"/>
    <w:rsid w:val="008E0402"/>
    <w:rsid w:val="008E0471"/>
    <w:rsid w:val="008E0902"/>
    <w:rsid w:val="008E101D"/>
    <w:rsid w:val="008E113C"/>
    <w:rsid w:val="008E11A5"/>
    <w:rsid w:val="008E1975"/>
    <w:rsid w:val="008E19C4"/>
    <w:rsid w:val="008E1FEA"/>
    <w:rsid w:val="008E20A4"/>
    <w:rsid w:val="008E2AA2"/>
    <w:rsid w:val="008E2C63"/>
    <w:rsid w:val="008E3812"/>
    <w:rsid w:val="008E4458"/>
    <w:rsid w:val="008E458F"/>
    <w:rsid w:val="008E480A"/>
    <w:rsid w:val="008E4D17"/>
    <w:rsid w:val="008E602A"/>
    <w:rsid w:val="008E6122"/>
    <w:rsid w:val="008E6461"/>
    <w:rsid w:val="008E6950"/>
    <w:rsid w:val="008E72D7"/>
    <w:rsid w:val="008E7585"/>
    <w:rsid w:val="008E7B90"/>
    <w:rsid w:val="008E7CC0"/>
    <w:rsid w:val="008F02CB"/>
    <w:rsid w:val="008F0422"/>
    <w:rsid w:val="008F0955"/>
    <w:rsid w:val="008F0AC3"/>
    <w:rsid w:val="008F129D"/>
    <w:rsid w:val="008F172E"/>
    <w:rsid w:val="008F1A0B"/>
    <w:rsid w:val="008F1C4F"/>
    <w:rsid w:val="008F1CD5"/>
    <w:rsid w:val="008F204F"/>
    <w:rsid w:val="008F2342"/>
    <w:rsid w:val="008F23A4"/>
    <w:rsid w:val="008F26F3"/>
    <w:rsid w:val="008F26FE"/>
    <w:rsid w:val="008F326D"/>
    <w:rsid w:val="008F43CD"/>
    <w:rsid w:val="008F4A46"/>
    <w:rsid w:val="008F4AD4"/>
    <w:rsid w:val="008F4C29"/>
    <w:rsid w:val="008F4C54"/>
    <w:rsid w:val="008F4CB1"/>
    <w:rsid w:val="008F5005"/>
    <w:rsid w:val="008F51FC"/>
    <w:rsid w:val="008F5293"/>
    <w:rsid w:val="008F587D"/>
    <w:rsid w:val="008F5C1E"/>
    <w:rsid w:val="008F5E57"/>
    <w:rsid w:val="008F6146"/>
    <w:rsid w:val="008F7241"/>
    <w:rsid w:val="008F76A1"/>
    <w:rsid w:val="008F792E"/>
    <w:rsid w:val="008F7A1D"/>
    <w:rsid w:val="008F7C55"/>
    <w:rsid w:val="00900A43"/>
    <w:rsid w:val="00900CC3"/>
    <w:rsid w:val="009011B9"/>
    <w:rsid w:val="0090133C"/>
    <w:rsid w:val="0090156A"/>
    <w:rsid w:val="00901A2C"/>
    <w:rsid w:val="00902114"/>
    <w:rsid w:val="009021AC"/>
    <w:rsid w:val="00902DDF"/>
    <w:rsid w:val="009031C0"/>
    <w:rsid w:val="00903B9F"/>
    <w:rsid w:val="00904540"/>
    <w:rsid w:val="00904597"/>
    <w:rsid w:val="009046D8"/>
    <w:rsid w:val="00905277"/>
    <w:rsid w:val="009056F0"/>
    <w:rsid w:val="00905BE3"/>
    <w:rsid w:val="0090676D"/>
    <w:rsid w:val="00906D8E"/>
    <w:rsid w:val="00907540"/>
    <w:rsid w:val="0090773E"/>
    <w:rsid w:val="00910689"/>
    <w:rsid w:val="009107A8"/>
    <w:rsid w:val="0091083B"/>
    <w:rsid w:val="00910C95"/>
    <w:rsid w:val="00910F94"/>
    <w:rsid w:val="009115AB"/>
    <w:rsid w:val="00911710"/>
    <w:rsid w:val="00911750"/>
    <w:rsid w:val="00911E3E"/>
    <w:rsid w:val="00911F5E"/>
    <w:rsid w:val="00912027"/>
    <w:rsid w:val="00912075"/>
    <w:rsid w:val="00912823"/>
    <w:rsid w:val="009128A0"/>
    <w:rsid w:val="009128C7"/>
    <w:rsid w:val="00912925"/>
    <w:rsid w:val="00912CD9"/>
    <w:rsid w:val="009133C1"/>
    <w:rsid w:val="009134C1"/>
    <w:rsid w:val="00913BD8"/>
    <w:rsid w:val="00913E89"/>
    <w:rsid w:val="00913F72"/>
    <w:rsid w:val="0091493B"/>
    <w:rsid w:val="0091494E"/>
    <w:rsid w:val="009151D5"/>
    <w:rsid w:val="0091557F"/>
    <w:rsid w:val="00915D34"/>
    <w:rsid w:val="0091640D"/>
    <w:rsid w:val="009166E8"/>
    <w:rsid w:val="009168AC"/>
    <w:rsid w:val="00916C39"/>
    <w:rsid w:val="00916C76"/>
    <w:rsid w:val="00916D81"/>
    <w:rsid w:val="009176FE"/>
    <w:rsid w:val="009177C6"/>
    <w:rsid w:val="009178B1"/>
    <w:rsid w:val="00917B08"/>
    <w:rsid w:val="009208E7"/>
    <w:rsid w:val="00920F00"/>
    <w:rsid w:val="00921451"/>
    <w:rsid w:val="009216FD"/>
    <w:rsid w:val="00921B34"/>
    <w:rsid w:val="00921C9C"/>
    <w:rsid w:val="00921E5C"/>
    <w:rsid w:val="00921EEE"/>
    <w:rsid w:val="009226E9"/>
    <w:rsid w:val="00922783"/>
    <w:rsid w:val="00922C41"/>
    <w:rsid w:val="00922CC5"/>
    <w:rsid w:val="00923056"/>
    <w:rsid w:val="00923159"/>
    <w:rsid w:val="00923A38"/>
    <w:rsid w:val="00923DC8"/>
    <w:rsid w:val="00923FFE"/>
    <w:rsid w:val="0092416C"/>
    <w:rsid w:val="009242C8"/>
    <w:rsid w:val="009246D1"/>
    <w:rsid w:val="009249AE"/>
    <w:rsid w:val="00925151"/>
    <w:rsid w:val="0092566A"/>
    <w:rsid w:val="00925857"/>
    <w:rsid w:val="00925993"/>
    <w:rsid w:val="00925F7C"/>
    <w:rsid w:val="00926274"/>
    <w:rsid w:val="009263DD"/>
    <w:rsid w:val="0092660F"/>
    <w:rsid w:val="00926828"/>
    <w:rsid w:val="00926F3B"/>
    <w:rsid w:val="009272D8"/>
    <w:rsid w:val="00927B5B"/>
    <w:rsid w:val="00927C09"/>
    <w:rsid w:val="00927E1F"/>
    <w:rsid w:val="00927FF4"/>
    <w:rsid w:val="009309CF"/>
    <w:rsid w:val="00930BE6"/>
    <w:rsid w:val="00930D63"/>
    <w:rsid w:val="00930D97"/>
    <w:rsid w:val="00932078"/>
    <w:rsid w:val="00932079"/>
    <w:rsid w:val="00932A96"/>
    <w:rsid w:val="00932F60"/>
    <w:rsid w:val="009331CE"/>
    <w:rsid w:val="00933B6D"/>
    <w:rsid w:val="0093409B"/>
    <w:rsid w:val="0093410B"/>
    <w:rsid w:val="00934274"/>
    <w:rsid w:val="00934A9A"/>
    <w:rsid w:val="00934B44"/>
    <w:rsid w:val="00934E37"/>
    <w:rsid w:val="009351DD"/>
    <w:rsid w:val="00935581"/>
    <w:rsid w:val="00935861"/>
    <w:rsid w:val="0093598F"/>
    <w:rsid w:val="00936612"/>
    <w:rsid w:val="009366C5"/>
    <w:rsid w:val="00936963"/>
    <w:rsid w:val="0093714F"/>
    <w:rsid w:val="00937754"/>
    <w:rsid w:val="00937E07"/>
    <w:rsid w:val="0094010A"/>
    <w:rsid w:val="00940121"/>
    <w:rsid w:val="009402F3"/>
    <w:rsid w:val="009406C9"/>
    <w:rsid w:val="00940754"/>
    <w:rsid w:val="00940941"/>
    <w:rsid w:val="00940F45"/>
    <w:rsid w:val="009411ED"/>
    <w:rsid w:val="0094141F"/>
    <w:rsid w:val="0094155C"/>
    <w:rsid w:val="00941834"/>
    <w:rsid w:val="00941B18"/>
    <w:rsid w:val="009425D7"/>
    <w:rsid w:val="0094286F"/>
    <w:rsid w:val="009429CE"/>
    <w:rsid w:val="00942FEA"/>
    <w:rsid w:val="0094308A"/>
    <w:rsid w:val="00943D98"/>
    <w:rsid w:val="00943F15"/>
    <w:rsid w:val="00944810"/>
    <w:rsid w:val="009458AF"/>
    <w:rsid w:val="0094590C"/>
    <w:rsid w:val="0094634C"/>
    <w:rsid w:val="0094656C"/>
    <w:rsid w:val="00946826"/>
    <w:rsid w:val="00946917"/>
    <w:rsid w:val="00946936"/>
    <w:rsid w:val="00947799"/>
    <w:rsid w:val="00947B1E"/>
    <w:rsid w:val="00947CB6"/>
    <w:rsid w:val="00947F82"/>
    <w:rsid w:val="00950105"/>
    <w:rsid w:val="00950106"/>
    <w:rsid w:val="0095044C"/>
    <w:rsid w:val="0095132D"/>
    <w:rsid w:val="0095173E"/>
    <w:rsid w:val="00951AAC"/>
    <w:rsid w:val="00951C98"/>
    <w:rsid w:val="00951D50"/>
    <w:rsid w:val="0095299E"/>
    <w:rsid w:val="00953572"/>
    <w:rsid w:val="00953963"/>
    <w:rsid w:val="0095465B"/>
    <w:rsid w:val="00954AEC"/>
    <w:rsid w:val="00954C1C"/>
    <w:rsid w:val="00955082"/>
    <w:rsid w:val="00955615"/>
    <w:rsid w:val="009556BE"/>
    <w:rsid w:val="00956085"/>
    <w:rsid w:val="009561BE"/>
    <w:rsid w:val="0095635A"/>
    <w:rsid w:val="00956403"/>
    <w:rsid w:val="0095649A"/>
    <w:rsid w:val="009569E5"/>
    <w:rsid w:val="00956E44"/>
    <w:rsid w:val="0095725C"/>
    <w:rsid w:val="0095726A"/>
    <w:rsid w:val="0096032F"/>
    <w:rsid w:val="009607B3"/>
    <w:rsid w:val="00960A3A"/>
    <w:rsid w:val="00960CF4"/>
    <w:rsid w:val="00961098"/>
    <w:rsid w:val="00961206"/>
    <w:rsid w:val="00961228"/>
    <w:rsid w:val="00961724"/>
    <w:rsid w:val="00961A0F"/>
    <w:rsid w:val="0096204F"/>
    <w:rsid w:val="0096254B"/>
    <w:rsid w:val="0096257A"/>
    <w:rsid w:val="00963125"/>
    <w:rsid w:val="009631BE"/>
    <w:rsid w:val="009631D6"/>
    <w:rsid w:val="0096427A"/>
    <w:rsid w:val="009643B4"/>
    <w:rsid w:val="00964400"/>
    <w:rsid w:val="00964564"/>
    <w:rsid w:val="00964575"/>
    <w:rsid w:val="00964678"/>
    <w:rsid w:val="00964E92"/>
    <w:rsid w:val="00964F93"/>
    <w:rsid w:val="00965139"/>
    <w:rsid w:val="00965319"/>
    <w:rsid w:val="00965344"/>
    <w:rsid w:val="009656E4"/>
    <w:rsid w:val="009658FD"/>
    <w:rsid w:val="00965B01"/>
    <w:rsid w:val="00965D35"/>
    <w:rsid w:val="00965E6E"/>
    <w:rsid w:val="00965E89"/>
    <w:rsid w:val="00966459"/>
    <w:rsid w:val="009669F3"/>
    <w:rsid w:val="00966A47"/>
    <w:rsid w:val="00967243"/>
    <w:rsid w:val="0096741F"/>
    <w:rsid w:val="0096760B"/>
    <w:rsid w:val="00967746"/>
    <w:rsid w:val="0096790A"/>
    <w:rsid w:val="00967D95"/>
    <w:rsid w:val="009708AB"/>
    <w:rsid w:val="00970D78"/>
    <w:rsid w:val="00971205"/>
    <w:rsid w:val="00971AC9"/>
    <w:rsid w:val="00971E33"/>
    <w:rsid w:val="00971F06"/>
    <w:rsid w:val="0097246F"/>
    <w:rsid w:val="00972576"/>
    <w:rsid w:val="00972751"/>
    <w:rsid w:val="00972C09"/>
    <w:rsid w:val="0097302B"/>
    <w:rsid w:val="00973045"/>
    <w:rsid w:val="009734F7"/>
    <w:rsid w:val="00973D53"/>
    <w:rsid w:val="00974205"/>
    <w:rsid w:val="0097428D"/>
    <w:rsid w:val="00974380"/>
    <w:rsid w:val="009747C4"/>
    <w:rsid w:val="00974CEC"/>
    <w:rsid w:val="00975414"/>
    <w:rsid w:val="00975ACE"/>
    <w:rsid w:val="00975E9F"/>
    <w:rsid w:val="009762C7"/>
    <w:rsid w:val="0097637D"/>
    <w:rsid w:val="009765B6"/>
    <w:rsid w:val="0097666F"/>
    <w:rsid w:val="009767E6"/>
    <w:rsid w:val="00976928"/>
    <w:rsid w:val="00976950"/>
    <w:rsid w:val="00976C14"/>
    <w:rsid w:val="009774CC"/>
    <w:rsid w:val="0097753C"/>
    <w:rsid w:val="0097796E"/>
    <w:rsid w:val="00977D21"/>
    <w:rsid w:val="00977D2C"/>
    <w:rsid w:val="009802A9"/>
    <w:rsid w:val="00980309"/>
    <w:rsid w:val="009803AB"/>
    <w:rsid w:val="00980655"/>
    <w:rsid w:val="00980D09"/>
    <w:rsid w:val="00980FAB"/>
    <w:rsid w:val="0098118B"/>
    <w:rsid w:val="00981975"/>
    <w:rsid w:val="00982130"/>
    <w:rsid w:val="009832AC"/>
    <w:rsid w:val="00983BC1"/>
    <w:rsid w:val="0098401B"/>
    <w:rsid w:val="009841F1"/>
    <w:rsid w:val="00984DEA"/>
    <w:rsid w:val="00984F1E"/>
    <w:rsid w:val="00985447"/>
    <w:rsid w:val="00985471"/>
    <w:rsid w:val="00985550"/>
    <w:rsid w:val="009855B6"/>
    <w:rsid w:val="009857EE"/>
    <w:rsid w:val="00986403"/>
    <w:rsid w:val="009865F7"/>
    <w:rsid w:val="00986776"/>
    <w:rsid w:val="00986B5B"/>
    <w:rsid w:val="0098785C"/>
    <w:rsid w:val="00987BB2"/>
    <w:rsid w:val="00990B15"/>
    <w:rsid w:val="00990C13"/>
    <w:rsid w:val="0099109E"/>
    <w:rsid w:val="009912A3"/>
    <w:rsid w:val="00992553"/>
    <w:rsid w:val="009926BC"/>
    <w:rsid w:val="009929C0"/>
    <w:rsid w:val="00992A20"/>
    <w:rsid w:val="00993172"/>
    <w:rsid w:val="009933F7"/>
    <w:rsid w:val="00993446"/>
    <w:rsid w:val="009937DB"/>
    <w:rsid w:val="00993CE9"/>
    <w:rsid w:val="00993DD2"/>
    <w:rsid w:val="00993EEE"/>
    <w:rsid w:val="0099413C"/>
    <w:rsid w:val="009943A9"/>
    <w:rsid w:val="00994515"/>
    <w:rsid w:val="00994755"/>
    <w:rsid w:val="009950E2"/>
    <w:rsid w:val="00995403"/>
    <w:rsid w:val="009956C7"/>
    <w:rsid w:val="009956D9"/>
    <w:rsid w:val="00995746"/>
    <w:rsid w:val="00996054"/>
    <w:rsid w:val="00996568"/>
    <w:rsid w:val="00996803"/>
    <w:rsid w:val="0099685D"/>
    <w:rsid w:val="00996F05"/>
    <w:rsid w:val="0099715B"/>
    <w:rsid w:val="009971AA"/>
    <w:rsid w:val="00997265"/>
    <w:rsid w:val="009977DF"/>
    <w:rsid w:val="0099782E"/>
    <w:rsid w:val="009979AC"/>
    <w:rsid w:val="00997A6E"/>
    <w:rsid w:val="00997E6D"/>
    <w:rsid w:val="009A024B"/>
    <w:rsid w:val="009A02B1"/>
    <w:rsid w:val="009A09E2"/>
    <w:rsid w:val="009A0AE0"/>
    <w:rsid w:val="009A12F5"/>
    <w:rsid w:val="009A16B1"/>
    <w:rsid w:val="009A1BF6"/>
    <w:rsid w:val="009A2520"/>
    <w:rsid w:val="009A31C3"/>
    <w:rsid w:val="009A3277"/>
    <w:rsid w:val="009A44F2"/>
    <w:rsid w:val="009A4BC5"/>
    <w:rsid w:val="009A4F16"/>
    <w:rsid w:val="009A4FA3"/>
    <w:rsid w:val="009A5291"/>
    <w:rsid w:val="009A5552"/>
    <w:rsid w:val="009A5903"/>
    <w:rsid w:val="009A5A95"/>
    <w:rsid w:val="009A5B3D"/>
    <w:rsid w:val="009A5D5A"/>
    <w:rsid w:val="009A6D53"/>
    <w:rsid w:val="009A6F66"/>
    <w:rsid w:val="009A6FB1"/>
    <w:rsid w:val="009A737C"/>
    <w:rsid w:val="009A74EC"/>
    <w:rsid w:val="009A7551"/>
    <w:rsid w:val="009A7E61"/>
    <w:rsid w:val="009A7F7B"/>
    <w:rsid w:val="009B01D4"/>
    <w:rsid w:val="009B0327"/>
    <w:rsid w:val="009B0436"/>
    <w:rsid w:val="009B0616"/>
    <w:rsid w:val="009B0885"/>
    <w:rsid w:val="009B0AFD"/>
    <w:rsid w:val="009B1297"/>
    <w:rsid w:val="009B17C5"/>
    <w:rsid w:val="009B1842"/>
    <w:rsid w:val="009B1945"/>
    <w:rsid w:val="009B1E01"/>
    <w:rsid w:val="009B201D"/>
    <w:rsid w:val="009B21E6"/>
    <w:rsid w:val="009B2430"/>
    <w:rsid w:val="009B2D2B"/>
    <w:rsid w:val="009B3443"/>
    <w:rsid w:val="009B3502"/>
    <w:rsid w:val="009B36FB"/>
    <w:rsid w:val="009B39B5"/>
    <w:rsid w:val="009B39D3"/>
    <w:rsid w:val="009B3E3D"/>
    <w:rsid w:val="009B48DB"/>
    <w:rsid w:val="009B4BB3"/>
    <w:rsid w:val="009B563B"/>
    <w:rsid w:val="009B56F2"/>
    <w:rsid w:val="009B5932"/>
    <w:rsid w:val="009B5EDF"/>
    <w:rsid w:val="009B6161"/>
    <w:rsid w:val="009B6E15"/>
    <w:rsid w:val="009B6FB2"/>
    <w:rsid w:val="009B7ABB"/>
    <w:rsid w:val="009C0138"/>
    <w:rsid w:val="009C06D9"/>
    <w:rsid w:val="009C0DC8"/>
    <w:rsid w:val="009C114A"/>
    <w:rsid w:val="009C1A8B"/>
    <w:rsid w:val="009C4550"/>
    <w:rsid w:val="009C4C1D"/>
    <w:rsid w:val="009C532E"/>
    <w:rsid w:val="009C5678"/>
    <w:rsid w:val="009C58F0"/>
    <w:rsid w:val="009C5972"/>
    <w:rsid w:val="009C5C36"/>
    <w:rsid w:val="009C5F08"/>
    <w:rsid w:val="009C6308"/>
    <w:rsid w:val="009C6DEC"/>
    <w:rsid w:val="009C6E14"/>
    <w:rsid w:val="009C700D"/>
    <w:rsid w:val="009C75D1"/>
    <w:rsid w:val="009D0DD3"/>
    <w:rsid w:val="009D0F7B"/>
    <w:rsid w:val="009D14DC"/>
    <w:rsid w:val="009D1959"/>
    <w:rsid w:val="009D203E"/>
    <w:rsid w:val="009D23B7"/>
    <w:rsid w:val="009D2482"/>
    <w:rsid w:val="009D2773"/>
    <w:rsid w:val="009D27C6"/>
    <w:rsid w:val="009D2822"/>
    <w:rsid w:val="009D296D"/>
    <w:rsid w:val="009D2CB2"/>
    <w:rsid w:val="009D2E46"/>
    <w:rsid w:val="009D3542"/>
    <w:rsid w:val="009D367A"/>
    <w:rsid w:val="009D36CB"/>
    <w:rsid w:val="009D398B"/>
    <w:rsid w:val="009D3B38"/>
    <w:rsid w:val="009D3D01"/>
    <w:rsid w:val="009D3E74"/>
    <w:rsid w:val="009D42D8"/>
    <w:rsid w:val="009D4AFD"/>
    <w:rsid w:val="009D4E00"/>
    <w:rsid w:val="009D4E26"/>
    <w:rsid w:val="009D4F25"/>
    <w:rsid w:val="009D4F64"/>
    <w:rsid w:val="009D4FF7"/>
    <w:rsid w:val="009D54EC"/>
    <w:rsid w:val="009D59D0"/>
    <w:rsid w:val="009D5D2F"/>
    <w:rsid w:val="009D61D3"/>
    <w:rsid w:val="009D6242"/>
    <w:rsid w:val="009D6665"/>
    <w:rsid w:val="009D6714"/>
    <w:rsid w:val="009D67EB"/>
    <w:rsid w:val="009D6C19"/>
    <w:rsid w:val="009D6E09"/>
    <w:rsid w:val="009D70DA"/>
    <w:rsid w:val="009D72F8"/>
    <w:rsid w:val="009D7785"/>
    <w:rsid w:val="009D789D"/>
    <w:rsid w:val="009D78C6"/>
    <w:rsid w:val="009D78D8"/>
    <w:rsid w:val="009D7BD0"/>
    <w:rsid w:val="009E0177"/>
    <w:rsid w:val="009E041E"/>
    <w:rsid w:val="009E0422"/>
    <w:rsid w:val="009E04D0"/>
    <w:rsid w:val="009E0D09"/>
    <w:rsid w:val="009E10E0"/>
    <w:rsid w:val="009E11B3"/>
    <w:rsid w:val="009E14FD"/>
    <w:rsid w:val="009E18BD"/>
    <w:rsid w:val="009E1E13"/>
    <w:rsid w:val="009E1F36"/>
    <w:rsid w:val="009E1FE7"/>
    <w:rsid w:val="009E26EA"/>
    <w:rsid w:val="009E2D96"/>
    <w:rsid w:val="009E3126"/>
    <w:rsid w:val="009E34D7"/>
    <w:rsid w:val="009E3924"/>
    <w:rsid w:val="009E3A27"/>
    <w:rsid w:val="009E4425"/>
    <w:rsid w:val="009E5591"/>
    <w:rsid w:val="009E57A2"/>
    <w:rsid w:val="009E6421"/>
    <w:rsid w:val="009E6F5C"/>
    <w:rsid w:val="009F024B"/>
    <w:rsid w:val="009F04F3"/>
    <w:rsid w:val="009F0628"/>
    <w:rsid w:val="009F0BA6"/>
    <w:rsid w:val="009F10E5"/>
    <w:rsid w:val="009F14D5"/>
    <w:rsid w:val="009F1830"/>
    <w:rsid w:val="009F1AB3"/>
    <w:rsid w:val="009F225C"/>
    <w:rsid w:val="009F22EF"/>
    <w:rsid w:val="009F2F96"/>
    <w:rsid w:val="009F31F7"/>
    <w:rsid w:val="009F3C59"/>
    <w:rsid w:val="009F428B"/>
    <w:rsid w:val="009F4477"/>
    <w:rsid w:val="009F46B2"/>
    <w:rsid w:val="009F4E2F"/>
    <w:rsid w:val="009F58D3"/>
    <w:rsid w:val="009F5FF2"/>
    <w:rsid w:val="009F6ACB"/>
    <w:rsid w:val="009F6E2D"/>
    <w:rsid w:val="009F7732"/>
    <w:rsid w:val="009F78BE"/>
    <w:rsid w:val="009FA7FD"/>
    <w:rsid w:val="00A00447"/>
    <w:rsid w:val="00A00880"/>
    <w:rsid w:val="00A00F7B"/>
    <w:rsid w:val="00A00FAD"/>
    <w:rsid w:val="00A01369"/>
    <w:rsid w:val="00A014AA"/>
    <w:rsid w:val="00A01540"/>
    <w:rsid w:val="00A018A4"/>
    <w:rsid w:val="00A01E0D"/>
    <w:rsid w:val="00A02589"/>
    <w:rsid w:val="00A026C6"/>
    <w:rsid w:val="00A0270E"/>
    <w:rsid w:val="00A0273B"/>
    <w:rsid w:val="00A02A49"/>
    <w:rsid w:val="00A034C5"/>
    <w:rsid w:val="00A03566"/>
    <w:rsid w:val="00A04140"/>
    <w:rsid w:val="00A04468"/>
    <w:rsid w:val="00A04683"/>
    <w:rsid w:val="00A050D3"/>
    <w:rsid w:val="00A052BF"/>
    <w:rsid w:val="00A05B2E"/>
    <w:rsid w:val="00A0633E"/>
    <w:rsid w:val="00A066CA"/>
    <w:rsid w:val="00A06975"/>
    <w:rsid w:val="00A06C4C"/>
    <w:rsid w:val="00A06CEE"/>
    <w:rsid w:val="00A06E32"/>
    <w:rsid w:val="00A06FE4"/>
    <w:rsid w:val="00A07251"/>
    <w:rsid w:val="00A07DD8"/>
    <w:rsid w:val="00A10017"/>
    <w:rsid w:val="00A10116"/>
    <w:rsid w:val="00A103F9"/>
    <w:rsid w:val="00A10471"/>
    <w:rsid w:val="00A10B14"/>
    <w:rsid w:val="00A10D69"/>
    <w:rsid w:val="00A10DBF"/>
    <w:rsid w:val="00A10EE2"/>
    <w:rsid w:val="00A116DC"/>
    <w:rsid w:val="00A11842"/>
    <w:rsid w:val="00A1185A"/>
    <w:rsid w:val="00A11B97"/>
    <w:rsid w:val="00A11D3A"/>
    <w:rsid w:val="00A12041"/>
    <w:rsid w:val="00A1209A"/>
    <w:rsid w:val="00A128D3"/>
    <w:rsid w:val="00A12943"/>
    <w:rsid w:val="00A12A2C"/>
    <w:rsid w:val="00A1323C"/>
    <w:rsid w:val="00A136B1"/>
    <w:rsid w:val="00A13C1D"/>
    <w:rsid w:val="00A13D29"/>
    <w:rsid w:val="00A13FED"/>
    <w:rsid w:val="00A14285"/>
    <w:rsid w:val="00A148D2"/>
    <w:rsid w:val="00A1496E"/>
    <w:rsid w:val="00A14CCE"/>
    <w:rsid w:val="00A151CE"/>
    <w:rsid w:val="00A15257"/>
    <w:rsid w:val="00A1566C"/>
    <w:rsid w:val="00A15E95"/>
    <w:rsid w:val="00A15F3A"/>
    <w:rsid w:val="00A16414"/>
    <w:rsid w:val="00A16C43"/>
    <w:rsid w:val="00A17274"/>
    <w:rsid w:val="00A1760B"/>
    <w:rsid w:val="00A176DE"/>
    <w:rsid w:val="00A17AC1"/>
    <w:rsid w:val="00A2025E"/>
    <w:rsid w:val="00A20725"/>
    <w:rsid w:val="00A2080B"/>
    <w:rsid w:val="00A2137F"/>
    <w:rsid w:val="00A21F03"/>
    <w:rsid w:val="00A22149"/>
    <w:rsid w:val="00A22477"/>
    <w:rsid w:val="00A228C8"/>
    <w:rsid w:val="00A23488"/>
    <w:rsid w:val="00A23546"/>
    <w:rsid w:val="00A237D0"/>
    <w:rsid w:val="00A23939"/>
    <w:rsid w:val="00A23C53"/>
    <w:rsid w:val="00A23E65"/>
    <w:rsid w:val="00A23FBB"/>
    <w:rsid w:val="00A24C6E"/>
    <w:rsid w:val="00A24F6F"/>
    <w:rsid w:val="00A251C7"/>
    <w:rsid w:val="00A25352"/>
    <w:rsid w:val="00A258DA"/>
    <w:rsid w:val="00A25CA4"/>
    <w:rsid w:val="00A25D14"/>
    <w:rsid w:val="00A263B3"/>
    <w:rsid w:val="00A2663C"/>
    <w:rsid w:val="00A26C70"/>
    <w:rsid w:val="00A26DD6"/>
    <w:rsid w:val="00A27062"/>
    <w:rsid w:val="00A27DE6"/>
    <w:rsid w:val="00A304E1"/>
    <w:rsid w:val="00A306A1"/>
    <w:rsid w:val="00A309CB"/>
    <w:rsid w:val="00A30C62"/>
    <w:rsid w:val="00A30E3E"/>
    <w:rsid w:val="00A313AC"/>
    <w:rsid w:val="00A313B5"/>
    <w:rsid w:val="00A317D7"/>
    <w:rsid w:val="00A317F7"/>
    <w:rsid w:val="00A317FC"/>
    <w:rsid w:val="00A3184E"/>
    <w:rsid w:val="00A31D6A"/>
    <w:rsid w:val="00A32370"/>
    <w:rsid w:val="00A323F3"/>
    <w:rsid w:val="00A3250D"/>
    <w:rsid w:val="00A326BC"/>
    <w:rsid w:val="00A32809"/>
    <w:rsid w:val="00A32A64"/>
    <w:rsid w:val="00A32C59"/>
    <w:rsid w:val="00A32CA0"/>
    <w:rsid w:val="00A32E19"/>
    <w:rsid w:val="00A33CB2"/>
    <w:rsid w:val="00A3423F"/>
    <w:rsid w:val="00A346CD"/>
    <w:rsid w:val="00A34AAE"/>
    <w:rsid w:val="00A34D7E"/>
    <w:rsid w:val="00A35422"/>
    <w:rsid w:val="00A3548F"/>
    <w:rsid w:val="00A35B77"/>
    <w:rsid w:val="00A35D09"/>
    <w:rsid w:val="00A360C7"/>
    <w:rsid w:val="00A36764"/>
    <w:rsid w:val="00A368B9"/>
    <w:rsid w:val="00A36D07"/>
    <w:rsid w:val="00A3701E"/>
    <w:rsid w:val="00A3709F"/>
    <w:rsid w:val="00A37462"/>
    <w:rsid w:val="00A37E57"/>
    <w:rsid w:val="00A40B80"/>
    <w:rsid w:val="00A41B8F"/>
    <w:rsid w:val="00A421EA"/>
    <w:rsid w:val="00A42362"/>
    <w:rsid w:val="00A423E8"/>
    <w:rsid w:val="00A42DB3"/>
    <w:rsid w:val="00A42F57"/>
    <w:rsid w:val="00A437E2"/>
    <w:rsid w:val="00A44CB4"/>
    <w:rsid w:val="00A44F9A"/>
    <w:rsid w:val="00A4501E"/>
    <w:rsid w:val="00A4511C"/>
    <w:rsid w:val="00A451EF"/>
    <w:rsid w:val="00A4534D"/>
    <w:rsid w:val="00A454CC"/>
    <w:rsid w:val="00A457C3"/>
    <w:rsid w:val="00A4672E"/>
    <w:rsid w:val="00A46D8F"/>
    <w:rsid w:val="00A46E3A"/>
    <w:rsid w:val="00A474E7"/>
    <w:rsid w:val="00A47837"/>
    <w:rsid w:val="00A47892"/>
    <w:rsid w:val="00A47EFB"/>
    <w:rsid w:val="00A50516"/>
    <w:rsid w:val="00A505C4"/>
    <w:rsid w:val="00A50859"/>
    <w:rsid w:val="00A50DD8"/>
    <w:rsid w:val="00A5135D"/>
    <w:rsid w:val="00A5146E"/>
    <w:rsid w:val="00A51A7A"/>
    <w:rsid w:val="00A51EBB"/>
    <w:rsid w:val="00A51EF7"/>
    <w:rsid w:val="00A52E1C"/>
    <w:rsid w:val="00A530F7"/>
    <w:rsid w:val="00A53404"/>
    <w:rsid w:val="00A53835"/>
    <w:rsid w:val="00A53DEE"/>
    <w:rsid w:val="00A53EDD"/>
    <w:rsid w:val="00A546B1"/>
    <w:rsid w:val="00A54A2C"/>
    <w:rsid w:val="00A54C82"/>
    <w:rsid w:val="00A54EA7"/>
    <w:rsid w:val="00A55583"/>
    <w:rsid w:val="00A55618"/>
    <w:rsid w:val="00A5562F"/>
    <w:rsid w:val="00A55916"/>
    <w:rsid w:val="00A55E8D"/>
    <w:rsid w:val="00A56255"/>
    <w:rsid w:val="00A569CB"/>
    <w:rsid w:val="00A56F0F"/>
    <w:rsid w:val="00A5761E"/>
    <w:rsid w:val="00A57D06"/>
    <w:rsid w:val="00A60185"/>
    <w:rsid w:val="00A61011"/>
    <w:rsid w:val="00A6123A"/>
    <w:rsid w:val="00A61A79"/>
    <w:rsid w:val="00A61ABA"/>
    <w:rsid w:val="00A61D6C"/>
    <w:rsid w:val="00A61F33"/>
    <w:rsid w:val="00A62388"/>
    <w:rsid w:val="00A62542"/>
    <w:rsid w:val="00A62877"/>
    <w:rsid w:val="00A62ABE"/>
    <w:rsid w:val="00A62D96"/>
    <w:rsid w:val="00A62FA8"/>
    <w:rsid w:val="00A637D4"/>
    <w:rsid w:val="00A63867"/>
    <w:rsid w:val="00A63EEC"/>
    <w:rsid w:val="00A640A2"/>
    <w:rsid w:val="00A6419B"/>
    <w:rsid w:val="00A64409"/>
    <w:rsid w:val="00A6454B"/>
    <w:rsid w:val="00A649D3"/>
    <w:rsid w:val="00A64BB8"/>
    <w:rsid w:val="00A64C3F"/>
    <w:rsid w:val="00A650B2"/>
    <w:rsid w:val="00A65437"/>
    <w:rsid w:val="00A65548"/>
    <w:rsid w:val="00A657F3"/>
    <w:rsid w:val="00A65F2E"/>
    <w:rsid w:val="00A65F58"/>
    <w:rsid w:val="00A66136"/>
    <w:rsid w:val="00A664C0"/>
    <w:rsid w:val="00A666A0"/>
    <w:rsid w:val="00A66739"/>
    <w:rsid w:val="00A66868"/>
    <w:rsid w:val="00A66A58"/>
    <w:rsid w:val="00A66E9D"/>
    <w:rsid w:val="00A6714E"/>
    <w:rsid w:val="00A6761D"/>
    <w:rsid w:val="00A678D2"/>
    <w:rsid w:val="00A6791A"/>
    <w:rsid w:val="00A70339"/>
    <w:rsid w:val="00A71350"/>
    <w:rsid w:val="00A71701"/>
    <w:rsid w:val="00A71798"/>
    <w:rsid w:val="00A71998"/>
    <w:rsid w:val="00A7218E"/>
    <w:rsid w:val="00A721AB"/>
    <w:rsid w:val="00A72D1D"/>
    <w:rsid w:val="00A73096"/>
    <w:rsid w:val="00A73116"/>
    <w:rsid w:val="00A7337E"/>
    <w:rsid w:val="00A73486"/>
    <w:rsid w:val="00A737D1"/>
    <w:rsid w:val="00A73AAC"/>
    <w:rsid w:val="00A73DE3"/>
    <w:rsid w:val="00A74492"/>
    <w:rsid w:val="00A744BC"/>
    <w:rsid w:val="00A7472F"/>
    <w:rsid w:val="00A751F0"/>
    <w:rsid w:val="00A7554F"/>
    <w:rsid w:val="00A76007"/>
    <w:rsid w:val="00A76333"/>
    <w:rsid w:val="00A766AB"/>
    <w:rsid w:val="00A767BB"/>
    <w:rsid w:val="00A76A7D"/>
    <w:rsid w:val="00A76C16"/>
    <w:rsid w:val="00A76DC0"/>
    <w:rsid w:val="00A77205"/>
    <w:rsid w:val="00A77374"/>
    <w:rsid w:val="00A7794C"/>
    <w:rsid w:val="00A77CD8"/>
    <w:rsid w:val="00A807E3"/>
    <w:rsid w:val="00A8090E"/>
    <w:rsid w:val="00A81388"/>
    <w:rsid w:val="00A81A07"/>
    <w:rsid w:val="00A81DB9"/>
    <w:rsid w:val="00A8249B"/>
    <w:rsid w:val="00A8287B"/>
    <w:rsid w:val="00A82DD2"/>
    <w:rsid w:val="00A8327C"/>
    <w:rsid w:val="00A83585"/>
    <w:rsid w:val="00A8481A"/>
    <w:rsid w:val="00A8487A"/>
    <w:rsid w:val="00A84A84"/>
    <w:rsid w:val="00A85087"/>
    <w:rsid w:val="00A85395"/>
    <w:rsid w:val="00A85C2D"/>
    <w:rsid w:val="00A86529"/>
    <w:rsid w:val="00A866BA"/>
    <w:rsid w:val="00A86BEB"/>
    <w:rsid w:val="00A8720F"/>
    <w:rsid w:val="00A87A8F"/>
    <w:rsid w:val="00A87B03"/>
    <w:rsid w:val="00A901DA"/>
    <w:rsid w:val="00A902FA"/>
    <w:rsid w:val="00A90824"/>
    <w:rsid w:val="00A909AC"/>
    <w:rsid w:val="00A90AD1"/>
    <w:rsid w:val="00A90CEB"/>
    <w:rsid w:val="00A90E08"/>
    <w:rsid w:val="00A911C4"/>
    <w:rsid w:val="00A91202"/>
    <w:rsid w:val="00A912D6"/>
    <w:rsid w:val="00A915C5"/>
    <w:rsid w:val="00A919B4"/>
    <w:rsid w:val="00A91A0C"/>
    <w:rsid w:val="00A91D14"/>
    <w:rsid w:val="00A91D83"/>
    <w:rsid w:val="00A91E05"/>
    <w:rsid w:val="00A920BB"/>
    <w:rsid w:val="00A924ED"/>
    <w:rsid w:val="00A92AF9"/>
    <w:rsid w:val="00A93281"/>
    <w:rsid w:val="00A93755"/>
    <w:rsid w:val="00A944F9"/>
    <w:rsid w:val="00A946FD"/>
    <w:rsid w:val="00A948BC"/>
    <w:rsid w:val="00A94E9E"/>
    <w:rsid w:val="00A9560B"/>
    <w:rsid w:val="00A958A8"/>
    <w:rsid w:val="00A96446"/>
    <w:rsid w:val="00A96868"/>
    <w:rsid w:val="00A96878"/>
    <w:rsid w:val="00A96D7E"/>
    <w:rsid w:val="00A96DF9"/>
    <w:rsid w:val="00A97188"/>
    <w:rsid w:val="00A97999"/>
    <w:rsid w:val="00AA01DA"/>
    <w:rsid w:val="00AA0772"/>
    <w:rsid w:val="00AA07DC"/>
    <w:rsid w:val="00AA09A7"/>
    <w:rsid w:val="00AA111F"/>
    <w:rsid w:val="00AA122F"/>
    <w:rsid w:val="00AA130C"/>
    <w:rsid w:val="00AA1377"/>
    <w:rsid w:val="00AA14CE"/>
    <w:rsid w:val="00AA1DCF"/>
    <w:rsid w:val="00AA1E3C"/>
    <w:rsid w:val="00AA28F5"/>
    <w:rsid w:val="00AA2A87"/>
    <w:rsid w:val="00AA3321"/>
    <w:rsid w:val="00AA3624"/>
    <w:rsid w:val="00AA3C6C"/>
    <w:rsid w:val="00AA5556"/>
    <w:rsid w:val="00AA587C"/>
    <w:rsid w:val="00AA5BF6"/>
    <w:rsid w:val="00AA5C0D"/>
    <w:rsid w:val="00AA67B0"/>
    <w:rsid w:val="00AA6FA7"/>
    <w:rsid w:val="00AA7756"/>
    <w:rsid w:val="00AA77A8"/>
    <w:rsid w:val="00AA7894"/>
    <w:rsid w:val="00AB01D0"/>
    <w:rsid w:val="00AB1E59"/>
    <w:rsid w:val="00AB1EBD"/>
    <w:rsid w:val="00AB2B5B"/>
    <w:rsid w:val="00AB2C3C"/>
    <w:rsid w:val="00AB332A"/>
    <w:rsid w:val="00AB3639"/>
    <w:rsid w:val="00AB3765"/>
    <w:rsid w:val="00AB40FC"/>
    <w:rsid w:val="00AB422C"/>
    <w:rsid w:val="00AB46EA"/>
    <w:rsid w:val="00AB4BF6"/>
    <w:rsid w:val="00AB4E70"/>
    <w:rsid w:val="00AB5137"/>
    <w:rsid w:val="00AB5228"/>
    <w:rsid w:val="00AB564B"/>
    <w:rsid w:val="00AB5D81"/>
    <w:rsid w:val="00AB5F37"/>
    <w:rsid w:val="00AB606C"/>
    <w:rsid w:val="00AB6113"/>
    <w:rsid w:val="00AB676B"/>
    <w:rsid w:val="00AB688C"/>
    <w:rsid w:val="00AB6CFA"/>
    <w:rsid w:val="00AB707F"/>
    <w:rsid w:val="00AB712B"/>
    <w:rsid w:val="00AB72C5"/>
    <w:rsid w:val="00AB7587"/>
    <w:rsid w:val="00AB7677"/>
    <w:rsid w:val="00AB78D4"/>
    <w:rsid w:val="00AB7C23"/>
    <w:rsid w:val="00AC0528"/>
    <w:rsid w:val="00AC12A6"/>
    <w:rsid w:val="00AC12C9"/>
    <w:rsid w:val="00AC1388"/>
    <w:rsid w:val="00AC1501"/>
    <w:rsid w:val="00AC1778"/>
    <w:rsid w:val="00AC1A16"/>
    <w:rsid w:val="00AC2101"/>
    <w:rsid w:val="00AC21A8"/>
    <w:rsid w:val="00AC24D0"/>
    <w:rsid w:val="00AC327E"/>
    <w:rsid w:val="00AC34D0"/>
    <w:rsid w:val="00AC3B70"/>
    <w:rsid w:val="00AC41AB"/>
    <w:rsid w:val="00AC4604"/>
    <w:rsid w:val="00AC4661"/>
    <w:rsid w:val="00AC4B9B"/>
    <w:rsid w:val="00AC54B2"/>
    <w:rsid w:val="00AC5574"/>
    <w:rsid w:val="00AC57FB"/>
    <w:rsid w:val="00AC6090"/>
    <w:rsid w:val="00AC60B5"/>
    <w:rsid w:val="00AC6718"/>
    <w:rsid w:val="00AC697F"/>
    <w:rsid w:val="00AC6C39"/>
    <w:rsid w:val="00AC6CFC"/>
    <w:rsid w:val="00AC7245"/>
    <w:rsid w:val="00AC7263"/>
    <w:rsid w:val="00AD05D9"/>
    <w:rsid w:val="00AD1973"/>
    <w:rsid w:val="00AD22FF"/>
    <w:rsid w:val="00AD2754"/>
    <w:rsid w:val="00AD2835"/>
    <w:rsid w:val="00AD2DEB"/>
    <w:rsid w:val="00AD311B"/>
    <w:rsid w:val="00AD3292"/>
    <w:rsid w:val="00AD32EF"/>
    <w:rsid w:val="00AD3731"/>
    <w:rsid w:val="00AD445A"/>
    <w:rsid w:val="00AD48BA"/>
    <w:rsid w:val="00AD5482"/>
    <w:rsid w:val="00AD5D6F"/>
    <w:rsid w:val="00AD64C8"/>
    <w:rsid w:val="00AD64F9"/>
    <w:rsid w:val="00AD6608"/>
    <w:rsid w:val="00AD6ABF"/>
    <w:rsid w:val="00AD6CE3"/>
    <w:rsid w:val="00AD71D0"/>
    <w:rsid w:val="00AD7308"/>
    <w:rsid w:val="00AD7396"/>
    <w:rsid w:val="00AD772B"/>
    <w:rsid w:val="00AD79A4"/>
    <w:rsid w:val="00AD7F36"/>
    <w:rsid w:val="00AE04B4"/>
    <w:rsid w:val="00AE0F4A"/>
    <w:rsid w:val="00AE20BB"/>
    <w:rsid w:val="00AE2174"/>
    <w:rsid w:val="00AE21FD"/>
    <w:rsid w:val="00AE24E7"/>
    <w:rsid w:val="00AE26E3"/>
    <w:rsid w:val="00AE388B"/>
    <w:rsid w:val="00AE3899"/>
    <w:rsid w:val="00AE3A10"/>
    <w:rsid w:val="00AE3B8C"/>
    <w:rsid w:val="00AE3C21"/>
    <w:rsid w:val="00AE3CE9"/>
    <w:rsid w:val="00AE3D03"/>
    <w:rsid w:val="00AE3DF9"/>
    <w:rsid w:val="00AE3F99"/>
    <w:rsid w:val="00AE43C8"/>
    <w:rsid w:val="00AE441A"/>
    <w:rsid w:val="00AE460B"/>
    <w:rsid w:val="00AE4A11"/>
    <w:rsid w:val="00AE4F68"/>
    <w:rsid w:val="00AE5FB1"/>
    <w:rsid w:val="00AE634A"/>
    <w:rsid w:val="00AE63D2"/>
    <w:rsid w:val="00AE66D8"/>
    <w:rsid w:val="00AE7448"/>
    <w:rsid w:val="00AE7602"/>
    <w:rsid w:val="00AF021A"/>
    <w:rsid w:val="00AF05F4"/>
    <w:rsid w:val="00AF07A0"/>
    <w:rsid w:val="00AF0883"/>
    <w:rsid w:val="00AF103E"/>
    <w:rsid w:val="00AF10B6"/>
    <w:rsid w:val="00AF14F1"/>
    <w:rsid w:val="00AF175C"/>
    <w:rsid w:val="00AF177F"/>
    <w:rsid w:val="00AF1959"/>
    <w:rsid w:val="00AF1BAB"/>
    <w:rsid w:val="00AF1BB3"/>
    <w:rsid w:val="00AF1E6F"/>
    <w:rsid w:val="00AF2345"/>
    <w:rsid w:val="00AF3CCE"/>
    <w:rsid w:val="00AF3ED4"/>
    <w:rsid w:val="00AF4926"/>
    <w:rsid w:val="00AF5657"/>
    <w:rsid w:val="00AF5C59"/>
    <w:rsid w:val="00AF627E"/>
    <w:rsid w:val="00AF6290"/>
    <w:rsid w:val="00AF6564"/>
    <w:rsid w:val="00AF6D24"/>
    <w:rsid w:val="00AF6E67"/>
    <w:rsid w:val="00AF7054"/>
    <w:rsid w:val="00AF734F"/>
    <w:rsid w:val="00AF7B3F"/>
    <w:rsid w:val="00AF7D80"/>
    <w:rsid w:val="00AFFD2F"/>
    <w:rsid w:val="00B00532"/>
    <w:rsid w:val="00B00626"/>
    <w:rsid w:val="00B006F8"/>
    <w:rsid w:val="00B00E5B"/>
    <w:rsid w:val="00B01150"/>
    <w:rsid w:val="00B014AA"/>
    <w:rsid w:val="00B0158A"/>
    <w:rsid w:val="00B01973"/>
    <w:rsid w:val="00B0197D"/>
    <w:rsid w:val="00B01D0C"/>
    <w:rsid w:val="00B01E7F"/>
    <w:rsid w:val="00B02E9D"/>
    <w:rsid w:val="00B03041"/>
    <w:rsid w:val="00B035E6"/>
    <w:rsid w:val="00B04459"/>
    <w:rsid w:val="00B04FFC"/>
    <w:rsid w:val="00B053E9"/>
    <w:rsid w:val="00B05425"/>
    <w:rsid w:val="00B06442"/>
    <w:rsid w:val="00B0649F"/>
    <w:rsid w:val="00B070B8"/>
    <w:rsid w:val="00B07380"/>
    <w:rsid w:val="00B073E1"/>
    <w:rsid w:val="00B0757F"/>
    <w:rsid w:val="00B07833"/>
    <w:rsid w:val="00B07A75"/>
    <w:rsid w:val="00B100E6"/>
    <w:rsid w:val="00B10844"/>
    <w:rsid w:val="00B10C10"/>
    <w:rsid w:val="00B10DB6"/>
    <w:rsid w:val="00B11177"/>
    <w:rsid w:val="00B117EC"/>
    <w:rsid w:val="00B1217E"/>
    <w:rsid w:val="00B1219B"/>
    <w:rsid w:val="00B12367"/>
    <w:rsid w:val="00B12859"/>
    <w:rsid w:val="00B12C06"/>
    <w:rsid w:val="00B12E64"/>
    <w:rsid w:val="00B13037"/>
    <w:rsid w:val="00B13379"/>
    <w:rsid w:val="00B13C23"/>
    <w:rsid w:val="00B1465B"/>
    <w:rsid w:val="00B146F4"/>
    <w:rsid w:val="00B148B9"/>
    <w:rsid w:val="00B14CB7"/>
    <w:rsid w:val="00B14D74"/>
    <w:rsid w:val="00B154B9"/>
    <w:rsid w:val="00B156EE"/>
    <w:rsid w:val="00B15F2E"/>
    <w:rsid w:val="00B15F34"/>
    <w:rsid w:val="00B161CE"/>
    <w:rsid w:val="00B1658A"/>
    <w:rsid w:val="00B16705"/>
    <w:rsid w:val="00B16921"/>
    <w:rsid w:val="00B16CAB"/>
    <w:rsid w:val="00B16E8A"/>
    <w:rsid w:val="00B1705B"/>
    <w:rsid w:val="00B1731A"/>
    <w:rsid w:val="00B17355"/>
    <w:rsid w:val="00B173CD"/>
    <w:rsid w:val="00B174B9"/>
    <w:rsid w:val="00B17C06"/>
    <w:rsid w:val="00B17CD7"/>
    <w:rsid w:val="00B203B8"/>
    <w:rsid w:val="00B20698"/>
    <w:rsid w:val="00B206F0"/>
    <w:rsid w:val="00B208F2"/>
    <w:rsid w:val="00B20B2C"/>
    <w:rsid w:val="00B21B9C"/>
    <w:rsid w:val="00B2234B"/>
    <w:rsid w:val="00B2244E"/>
    <w:rsid w:val="00B22660"/>
    <w:rsid w:val="00B22A53"/>
    <w:rsid w:val="00B2366D"/>
    <w:rsid w:val="00B23CB6"/>
    <w:rsid w:val="00B23D39"/>
    <w:rsid w:val="00B23ECC"/>
    <w:rsid w:val="00B24936"/>
    <w:rsid w:val="00B255E5"/>
    <w:rsid w:val="00B257F3"/>
    <w:rsid w:val="00B25BCD"/>
    <w:rsid w:val="00B25F28"/>
    <w:rsid w:val="00B260F7"/>
    <w:rsid w:val="00B264E4"/>
    <w:rsid w:val="00B2661E"/>
    <w:rsid w:val="00B26F94"/>
    <w:rsid w:val="00B274A5"/>
    <w:rsid w:val="00B27627"/>
    <w:rsid w:val="00B301D2"/>
    <w:rsid w:val="00B304B0"/>
    <w:rsid w:val="00B30538"/>
    <w:rsid w:val="00B30A94"/>
    <w:rsid w:val="00B30FE2"/>
    <w:rsid w:val="00B31760"/>
    <w:rsid w:val="00B31805"/>
    <w:rsid w:val="00B31CA7"/>
    <w:rsid w:val="00B31E2E"/>
    <w:rsid w:val="00B3274E"/>
    <w:rsid w:val="00B32DBC"/>
    <w:rsid w:val="00B335F5"/>
    <w:rsid w:val="00B3364D"/>
    <w:rsid w:val="00B33793"/>
    <w:rsid w:val="00B348C0"/>
    <w:rsid w:val="00B34D5B"/>
    <w:rsid w:val="00B34DBC"/>
    <w:rsid w:val="00B34FA2"/>
    <w:rsid w:val="00B34FA3"/>
    <w:rsid w:val="00B35306"/>
    <w:rsid w:val="00B3532C"/>
    <w:rsid w:val="00B359C9"/>
    <w:rsid w:val="00B35BC1"/>
    <w:rsid w:val="00B35C58"/>
    <w:rsid w:val="00B35E92"/>
    <w:rsid w:val="00B36239"/>
    <w:rsid w:val="00B36293"/>
    <w:rsid w:val="00B36519"/>
    <w:rsid w:val="00B366A2"/>
    <w:rsid w:val="00B3676A"/>
    <w:rsid w:val="00B3676C"/>
    <w:rsid w:val="00B36840"/>
    <w:rsid w:val="00B36853"/>
    <w:rsid w:val="00B37D20"/>
    <w:rsid w:val="00B40522"/>
    <w:rsid w:val="00B4076A"/>
    <w:rsid w:val="00B40F11"/>
    <w:rsid w:val="00B4110F"/>
    <w:rsid w:val="00B41215"/>
    <w:rsid w:val="00B41261"/>
    <w:rsid w:val="00B41269"/>
    <w:rsid w:val="00B4132E"/>
    <w:rsid w:val="00B415A4"/>
    <w:rsid w:val="00B41948"/>
    <w:rsid w:val="00B424EA"/>
    <w:rsid w:val="00B42CFA"/>
    <w:rsid w:val="00B42EA3"/>
    <w:rsid w:val="00B43244"/>
    <w:rsid w:val="00B43F52"/>
    <w:rsid w:val="00B44515"/>
    <w:rsid w:val="00B44822"/>
    <w:rsid w:val="00B44C2D"/>
    <w:rsid w:val="00B44D51"/>
    <w:rsid w:val="00B44E56"/>
    <w:rsid w:val="00B44E95"/>
    <w:rsid w:val="00B44F9C"/>
    <w:rsid w:val="00B45015"/>
    <w:rsid w:val="00B453E5"/>
    <w:rsid w:val="00B454E7"/>
    <w:rsid w:val="00B46053"/>
    <w:rsid w:val="00B46193"/>
    <w:rsid w:val="00B46B0A"/>
    <w:rsid w:val="00B4778F"/>
    <w:rsid w:val="00B5027B"/>
    <w:rsid w:val="00B50361"/>
    <w:rsid w:val="00B50556"/>
    <w:rsid w:val="00B50594"/>
    <w:rsid w:val="00B50EB1"/>
    <w:rsid w:val="00B50EB8"/>
    <w:rsid w:val="00B510D5"/>
    <w:rsid w:val="00B51602"/>
    <w:rsid w:val="00B519DD"/>
    <w:rsid w:val="00B51BED"/>
    <w:rsid w:val="00B51D51"/>
    <w:rsid w:val="00B52875"/>
    <w:rsid w:val="00B52AE1"/>
    <w:rsid w:val="00B52E2A"/>
    <w:rsid w:val="00B53181"/>
    <w:rsid w:val="00B532C7"/>
    <w:rsid w:val="00B5338D"/>
    <w:rsid w:val="00B5347E"/>
    <w:rsid w:val="00B5380D"/>
    <w:rsid w:val="00B53BBC"/>
    <w:rsid w:val="00B53DC6"/>
    <w:rsid w:val="00B53F1F"/>
    <w:rsid w:val="00B5445F"/>
    <w:rsid w:val="00B54596"/>
    <w:rsid w:val="00B54678"/>
    <w:rsid w:val="00B5479C"/>
    <w:rsid w:val="00B55A6A"/>
    <w:rsid w:val="00B55E31"/>
    <w:rsid w:val="00B55F19"/>
    <w:rsid w:val="00B562D8"/>
    <w:rsid w:val="00B56AE2"/>
    <w:rsid w:val="00B56DF0"/>
    <w:rsid w:val="00B56E7C"/>
    <w:rsid w:val="00B575E5"/>
    <w:rsid w:val="00B5770B"/>
    <w:rsid w:val="00B57E55"/>
    <w:rsid w:val="00B57EAF"/>
    <w:rsid w:val="00B6124C"/>
    <w:rsid w:val="00B61FC1"/>
    <w:rsid w:val="00B628C7"/>
    <w:rsid w:val="00B62ECE"/>
    <w:rsid w:val="00B6303D"/>
    <w:rsid w:val="00B63323"/>
    <w:rsid w:val="00B6354D"/>
    <w:rsid w:val="00B63D2D"/>
    <w:rsid w:val="00B648A2"/>
    <w:rsid w:val="00B64A21"/>
    <w:rsid w:val="00B64BAD"/>
    <w:rsid w:val="00B64BC2"/>
    <w:rsid w:val="00B64F3D"/>
    <w:rsid w:val="00B652D7"/>
    <w:rsid w:val="00B65E02"/>
    <w:rsid w:val="00B6609A"/>
    <w:rsid w:val="00B665C9"/>
    <w:rsid w:val="00B665D1"/>
    <w:rsid w:val="00B66960"/>
    <w:rsid w:val="00B66B75"/>
    <w:rsid w:val="00B67C27"/>
    <w:rsid w:val="00B704C5"/>
    <w:rsid w:val="00B70527"/>
    <w:rsid w:val="00B71991"/>
    <w:rsid w:val="00B723D8"/>
    <w:rsid w:val="00B72791"/>
    <w:rsid w:val="00B72E9D"/>
    <w:rsid w:val="00B730F3"/>
    <w:rsid w:val="00B734AA"/>
    <w:rsid w:val="00B7376D"/>
    <w:rsid w:val="00B7385C"/>
    <w:rsid w:val="00B73A1C"/>
    <w:rsid w:val="00B7449C"/>
    <w:rsid w:val="00B744AC"/>
    <w:rsid w:val="00B74708"/>
    <w:rsid w:val="00B75345"/>
    <w:rsid w:val="00B758CC"/>
    <w:rsid w:val="00B76293"/>
    <w:rsid w:val="00B76417"/>
    <w:rsid w:val="00B76A85"/>
    <w:rsid w:val="00B76DBF"/>
    <w:rsid w:val="00B76E59"/>
    <w:rsid w:val="00B770F1"/>
    <w:rsid w:val="00B772B3"/>
    <w:rsid w:val="00B80099"/>
    <w:rsid w:val="00B80694"/>
    <w:rsid w:val="00B80D7E"/>
    <w:rsid w:val="00B80DC6"/>
    <w:rsid w:val="00B80F6A"/>
    <w:rsid w:val="00B811B1"/>
    <w:rsid w:val="00B81725"/>
    <w:rsid w:val="00B817F5"/>
    <w:rsid w:val="00B81865"/>
    <w:rsid w:val="00B81DB5"/>
    <w:rsid w:val="00B82586"/>
    <w:rsid w:val="00B825CF"/>
    <w:rsid w:val="00B826FA"/>
    <w:rsid w:val="00B8276E"/>
    <w:rsid w:val="00B82CD8"/>
    <w:rsid w:val="00B82DBE"/>
    <w:rsid w:val="00B83003"/>
    <w:rsid w:val="00B83591"/>
    <w:rsid w:val="00B8397A"/>
    <w:rsid w:val="00B83A49"/>
    <w:rsid w:val="00B83CD0"/>
    <w:rsid w:val="00B83DFB"/>
    <w:rsid w:val="00B849E3"/>
    <w:rsid w:val="00B84D91"/>
    <w:rsid w:val="00B851F9"/>
    <w:rsid w:val="00B852F0"/>
    <w:rsid w:val="00B853B3"/>
    <w:rsid w:val="00B860C7"/>
    <w:rsid w:val="00B86B88"/>
    <w:rsid w:val="00B86E36"/>
    <w:rsid w:val="00B86E83"/>
    <w:rsid w:val="00B8702B"/>
    <w:rsid w:val="00B876A8"/>
    <w:rsid w:val="00B87AA8"/>
    <w:rsid w:val="00B90C00"/>
    <w:rsid w:val="00B912D1"/>
    <w:rsid w:val="00B9205F"/>
    <w:rsid w:val="00B92B5E"/>
    <w:rsid w:val="00B92D2C"/>
    <w:rsid w:val="00B92FDE"/>
    <w:rsid w:val="00B93460"/>
    <w:rsid w:val="00B934D4"/>
    <w:rsid w:val="00B93B5B"/>
    <w:rsid w:val="00B947A0"/>
    <w:rsid w:val="00B94A63"/>
    <w:rsid w:val="00B94BDD"/>
    <w:rsid w:val="00B94D66"/>
    <w:rsid w:val="00B9551D"/>
    <w:rsid w:val="00B95E91"/>
    <w:rsid w:val="00B968B3"/>
    <w:rsid w:val="00B970F2"/>
    <w:rsid w:val="00B974C1"/>
    <w:rsid w:val="00B97EE6"/>
    <w:rsid w:val="00BA040A"/>
    <w:rsid w:val="00BA0427"/>
    <w:rsid w:val="00BA0929"/>
    <w:rsid w:val="00BA0FF8"/>
    <w:rsid w:val="00BA16E2"/>
    <w:rsid w:val="00BA1796"/>
    <w:rsid w:val="00BA1B15"/>
    <w:rsid w:val="00BA1C9F"/>
    <w:rsid w:val="00BA1DB2"/>
    <w:rsid w:val="00BA243F"/>
    <w:rsid w:val="00BA2CCA"/>
    <w:rsid w:val="00BA3625"/>
    <w:rsid w:val="00BA38F3"/>
    <w:rsid w:val="00BA3B2A"/>
    <w:rsid w:val="00BA4C32"/>
    <w:rsid w:val="00BA56E0"/>
    <w:rsid w:val="00BA5910"/>
    <w:rsid w:val="00BA5E1C"/>
    <w:rsid w:val="00BA63DF"/>
    <w:rsid w:val="00BA6A08"/>
    <w:rsid w:val="00BA727A"/>
    <w:rsid w:val="00BA7875"/>
    <w:rsid w:val="00BA7C7C"/>
    <w:rsid w:val="00BA7D37"/>
    <w:rsid w:val="00BA7F71"/>
    <w:rsid w:val="00BB00F9"/>
    <w:rsid w:val="00BB0209"/>
    <w:rsid w:val="00BB031D"/>
    <w:rsid w:val="00BB0589"/>
    <w:rsid w:val="00BB079D"/>
    <w:rsid w:val="00BB0968"/>
    <w:rsid w:val="00BB0CFA"/>
    <w:rsid w:val="00BB147E"/>
    <w:rsid w:val="00BB14F0"/>
    <w:rsid w:val="00BB19D1"/>
    <w:rsid w:val="00BB1B6C"/>
    <w:rsid w:val="00BB2583"/>
    <w:rsid w:val="00BB2932"/>
    <w:rsid w:val="00BB2AA4"/>
    <w:rsid w:val="00BB2DCF"/>
    <w:rsid w:val="00BB3039"/>
    <w:rsid w:val="00BB3CFB"/>
    <w:rsid w:val="00BB4DD8"/>
    <w:rsid w:val="00BB636B"/>
    <w:rsid w:val="00BB67F2"/>
    <w:rsid w:val="00BB6A8D"/>
    <w:rsid w:val="00BB6AFF"/>
    <w:rsid w:val="00BB6DBA"/>
    <w:rsid w:val="00BB72AF"/>
    <w:rsid w:val="00BB79A2"/>
    <w:rsid w:val="00BB7B17"/>
    <w:rsid w:val="00BC0EF8"/>
    <w:rsid w:val="00BC0F80"/>
    <w:rsid w:val="00BC18C1"/>
    <w:rsid w:val="00BC1AC6"/>
    <w:rsid w:val="00BC1CC4"/>
    <w:rsid w:val="00BC214E"/>
    <w:rsid w:val="00BC22A3"/>
    <w:rsid w:val="00BC23C3"/>
    <w:rsid w:val="00BC25FF"/>
    <w:rsid w:val="00BC28F5"/>
    <w:rsid w:val="00BC2BE5"/>
    <w:rsid w:val="00BC2C59"/>
    <w:rsid w:val="00BC2E8D"/>
    <w:rsid w:val="00BC3F61"/>
    <w:rsid w:val="00BC4D3D"/>
    <w:rsid w:val="00BC5086"/>
    <w:rsid w:val="00BC5240"/>
    <w:rsid w:val="00BC5640"/>
    <w:rsid w:val="00BC588D"/>
    <w:rsid w:val="00BC59F2"/>
    <w:rsid w:val="00BC5B32"/>
    <w:rsid w:val="00BC64A1"/>
    <w:rsid w:val="00BC69A6"/>
    <w:rsid w:val="00BC6EA3"/>
    <w:rsid w:val="00BC6F53"/>
    <w:rsid w:val="00BC7251"/>
    <w:rsid w:val="00BC7D70"/>
    <w:rsid w:val="00BC7FC3"/>
    <w:rsid w:val="00BD019F"/>
    <w:rsid w:val="00BD04B0"/>
    <w:rsid w:val="00BD064D"/>
    <w:rsid w:val="00BD0E3E"/>
    <w:rsid w:val="00BD1126"/>
    <w:rsid w:val="00BD17DA"/>
    <w:rsid w:val="00BD1EF9"/>
    <w:rsid w:val="00BD23E4"/>
    <w:rsid w:val="00BD29BF"/>
    <w:rsid w:val="00BD2C41"/>
    <w:rsid w:val="00BD2E37"/>
    <w:rsid w:val="00BD2EEA"/>
    <w:rsid w:val="00BD37F8"/>
    <w:rsid w:val="00BD382E"/>
    <w:rsid w:val="00BD39B3"/>
    <w:rsid w:val="00BD3B4A"/>
    <w:rsid w:val="00BD4108"/>
    <w:rsid w:val="00BD43BB"/>
    <w:rsid w:val="00BD4416"/>
    <w:rsid w:val="00BD4CB5"/>
    <w:rsid w:val="00BD4E15"/>
    <w:rsid w:val="00BD5113"/>
    <w:rsid w:val="00BD5127"/>
    <w:rsid w:val="00BD5ED5"/>
    <w:rsid w:val="00BD651E"/>
    <w:rsid w:val="00BD79BA"/>
    <w:rsid w:val="00BE0EFF"/>
    <w:rsid w:val="00BE196E"/>
    <w:rsid w:val="00BE1A53"/>
    <w:rsid w:val="00BE1AF5"/>
    <w:rsid w:val="00BE2200"/>
    <w:rsid w:val="00BE2744"/>
    <w:rsid w:val="00BE29C7"/>
    <w:rsid w:val="00BE418F"/>
    <w:rsid w:val="00BE441D"/>
    <w:rsid w:val="00BE4C5E"/>
    <w:rsid w:val="00BE5147"/>
    <w:rsid w:val="00BE517C"/>
    <w:rsid w:val="00BE52EE"/>
    <w:rsid w:val="00BE57F4"/>
    <w:rsid w:val="00BE5F8C"/>
    <w:rsid w:val="00BE6488"/>
    <w:rsid w:val="00BE662E"/>
    <w:rsid w:val="00BE6BC2"/>
    <w:rsid w:val="00BE6EF1"/>
    <w:rsid w:val="00BE6EF5"/>
    <w:rsid w:val="00BE721B"/>
    <w:rsid w:val="00BE7322"/>
    <w:rsid w:val="00BE7CBE"/>
    <w:rsid w:val="00BE7E3F"/>
    <w:rsid w:val="00BF03F6"/>
    <w:rsid w:val="00BF066C"/>
    <w:rsid w:val="00BF089B"/>
    <w:rsid w:val="00BF0991"/>
    <w:rsid w:val="00BF0B73"/>
    <w:rsid w:val="00BF0C0B"/>
    <w:rsid w:val="00BF0D4D"/>
    <w:rsid w:val="00BF11D9"/>
    <w:rsid w:val="00BF181D"/>
    <w:rsid w:val="00BF1A47"/>
    <w:rsid w:val="00BF2DE8"/>
    <w:rsid w:val="00BF3162"/>
    <w:rsid w:val="00BF396C"/>
    <w:rsid w:val="00BF4137"/>
    <w:rsid w:val="00BF42D5"/>
    <w:rsid w:val="00BF444D"/>
    <w:rsid w:val="00BF448B"/>
    <w:rsid w:val="00BF44AE"/>
    <w:rsid w:val="00BF4C69"/>
    <w:rsid w:val="00BF623A"/>
    <w:rsid w:val="00BF640E"/>
    <w:rsid w:val="00BF7268"/>
    <w:rsid w:val="00BF7746"/>
    <w:rsid w:val="00BF7B50"/>
    <w:rsid w:val="00C00314"/>
    <w:rsid w:val="00C00357"/>
    <w:rsid w:val="00C0044A"/>
    <w:rsid w:val="00C00CEF"/>
    <w:rsid w:val="00C01191"/>
    <w:rsid w:val="00C0165A"/>
    <w:rsid w:val="00C018DC"/>
    <w:rsid w:val="00C01953"/>
    <w:rsid w:val="00C02206"/>
    <w:rsid w:val="00C02A3D"/>
    <w:rsid w:val="00C03088"/>
    <w:rsid w:val="00C0316C"/>
    <w:rsid w:val="00C03236"/>
    <w:rsid w:val="00C0327E"/>
    <w:rsid w:val="00C03369"/>
    <w:rsid w:val="00C035F1"/>
    <w:rsid w:val="00C03B96"/>
    <w:rsid w:val="00C040CF"/>
    <w:rsid w:val="00C04372"/>
    <w:rsid w:val="00C044A3"/>
    <w:rsid w:val="00C04A10"/>
    <w:rsid w:val="00C05473"/>
    <w:rsid w:val="00C056B8"/>
    <w:rsid w:val="00C05A5A"/>
    <w:rsid w:val="00C06043"/>
    <w:rsid w:val="00C06166"/>
    <w:rsid w:val="00C0694A"/>
    <w:rsid w:val="00C06DE7"/>
    <w:rsid w:val="00C0704F"/>
    <w:rsid w:val="00C076B3"/>
    <w:rsid w:val="00C07C86"/>
    <w:rsid w:val="00C10792"/>
    <w:rsid w:val="00C10B40"/>
    <w:rsid w:val="00C10C7A"/>
    <w:rsid w:val="00C11244"/>
    <w:rsid w:val="00C11B9E"/>
    <w:rsid w:val="00C11C2F"/>
    <w:rsid w:val="00C11F91"/>
    <w:rsid w:val="00C124B3"/>
    <w:rsid w:val="00C124EF"/>
    <w:rsid w:val="00C12622"/>
    <w:rsid w:val="00C12974"/>
    <w:rsid w:val="00C1390D"/>
    <w:rsid w:val="00C13E5F"/>
    <w:rsid w:val="00C13F92"/>
    <w:rsid w:val="00C151E2"/>
    <w:rsid w:val="00C15371"/>
    <w:rsid w:val="00C15438"/>
    <w:rsid w:val="00C156F2"/>
    <w:rsid w:val="00C1572E"/>
    <w:rsid w:val="00C15DE8"/>
    <w:rsid w:val="00C1645D"/>
    <w:rsid w:val="00C16506"/>
    <w:rsid w:val="00C165E5"/>
    <w:rsid w:val="00C16936"/>
    <w:rsid w:val="00C16DEE"/>
    <w:rsid w:val="00C173AC"/>
    <w:rsid w:val="00C1776F"/>
    <w:rsid w:val="00C17A80"/>
    <w:rsid w:val="00C17A9C"/>
    <w:rsid w:val="00C2038C"/>
    <w:rsid w:val="00C207E3"/>
    <w:rsid w:val="00C20E28"/>
    <w:rsid w:val="00C221F7"/>
    <w:rsid w:val="00C225A7"/>
    <w:rsid w:val="00C2266D"/>
    <w:rsid w:val="00C2288C"/>
    <w:rsid w:val="00C2293C"/>
    <w:rsid w:val="00C22CD5"/>
    <w:rsid w:val="00C2324C"/>
    <w:rsid w:val="00C23776"/>
    <w:rsid w:val="00C23A0E"/>
    <w:rsid w:val="00C23D30"/>
    <w:rsid w:val="00C23E25"/>
    <w:rsid w:val="00C24E0E"/>
    <w:rsid w:val="00C24EF5"/>
    <w:rsid w:val="00C25091"/>
    <w:rsid w:val="00C25382"/>
    <w:rsid w:val="00C25417"/>
    <w:rsid w:val="00C254E0"/>
    <w:rsid w:val="00C257D2"/>
    <w:rsid w:val="00C25933"/>
    <w:rsid w:val="00C259C9"/>
    <w:rsid w:val="00C25B97"/>
    <w:rsid w:val="00C25D70"/>
    <w:rsid w:val="00C26108"/>
    <w:rsid w:val="00C261B2"/>
    <w:rsid w:val="00C277D3"/>
    <w:rsid w:val="00C27EDA"/>
    <w:rsid w:val="00C300F6"/>
    <w:rsid w:val="00C30423"/>
    <w:rsid w:val="00C3093C"/>
    <w:rsid w:val="00C31212"/>
    <w:rsid w:val="00C31DE8"/>
    <w:rsid w:val="00C324D9"/>
    <w:rsid w:val="00C32A13"/>
    <w:rsid w:val="00C32B3D"/>
    <w:rsid w:val="00C32C9B"/>
    <w:rsid w:val="00C33161"/>
    <w:rsid w:val="00C332CB"/>
    <w:rsid w:val="00C337E7"/>
    <w:rsid w:val="00C33ACD"/>
    <w:rsid w:val="00C341E0"/>
    <w:rsid w:val="00C34334"/>
    <w:rsid w:val="00C343D8"/>
    <w:rsid w:val="00C344A8"/>
    <w:rsid w:val="00C34B86"/>
    <w:rsid w:val="00C34DE8"/>
    <w:rsid w:val="00C34FDC"/>
    <w:rsid w:val="00C35770"/>
    <w:rsid w:val="00C35C63"/>
    <w:rsid w:val="00C3680C"/>
    <w:rsid w:val="00C3685F"/>
    <w:rsid w:val="00C368D8"/>
    <w:rsid w:val="00C36AE7"/>
    <w:rsid w:val="00C371DB"/>
    <w:rsid w:val="00C379B5"/>
    <w:rsid w:val="00C4010F"/>
    <w:rsid w:val="00C4029A"/>
    <w:rsid w:val="00C4037B"/>
    <w:rsid w:val="00C40784"/>
    <w:rsid w:val="00C40801"/>
    <w:rsid w:val="00C40EEB"/>
    <w:rsid w:val="00C4154E"/>
    <w:rsid w:val="00C41A71"/>
    <w:rsid w:val="00C42F5F"/>
    <w:rsid w:val="00C432A2"/>
    <w:rsid w:val="00C43665"/>
    <w:rsid w:val="00C43FCD"/>
    <w:rsid w:val="00C4469B"/>
    <w:rsid w:val="00C44705"/>
    <w:rsid w:val="00C44BBD"/>
    <w:rsid w:val="00C44C1D"/>
    <w:rsid w:val="00C4509F"/>
    <w:rsid w:val="00C454FC"/>
    <w:rsid w:val="00C45F9E"/>
    <w:rsid w:val="00C46804"/>
    <w:rsid w:val="00C46A90"/>
    <w:rsid w:val="00C472A5"/>
    <w:rsid w:val="00C47498"/>
    <w:rsid w:val="00C478E7"/>
    <w:rsid w:val="00C4794B"/>
    <w:rsid w:val="00C47D2C"/>
    <w:rsid w:val="00C47DF9"/>
    <w:rsid w:val="00C47E5A"/>
    <w:rsid w:val="00C502CA"/>
    <w:rsid w:val="00C51619"/>
    <w:rsid w:val="00C5247E"/>
    <w:rsid w:val="00C52AE1"/>
    <w:rsid w:val="00C52F9E"/>
    <w:rsid w:val="00C53863"/>
    <w:rsid w:val="00C53974"/>
    <w:rsid w:val="00C540BB"/>
    <w:rsid w:val="00C5458B"/>
    <w:rsid w:val="00C54772"/>
    <w:rsid w:val="00C547CD"/>
    <w:rsid w:val="00C55818"/>
    <w:rsid w:val="00C5583B"/>
    <w:rsid w:val="00C559F3"/>
    <w:rsid w:val="00C55AE0"/>
    <w:rsid w:val="00C55D08"/>
    <w:rsid w:val="00C56404"/>
    <w:rsid w:val="00C56895"/>
    <w:rsid w:val="00C56D96"/>
    <w:rsid w:val="00C56F20"/>
    <w:rsid w:val="00C5726D"/>
    <w:rsid w:val="00C57737"/>
    <w:rsid w:val="00C5781D"/>
    <w:rsid w:val="00C5798F"/>
    <w:rsid w:val="00C57DA7"/>
    <w:rsid w:val="00C6075B"/>
    <w:rsid w:val="00C6086B"/>
    <w:rsid w:val="00C609A2"/>
    <w:rsid w:val="00C609AC"/>
    <w:rsid w:val="00C60EFD"/>
    <w:rsid w:val="00C60F15"/>
    <w:rsid w:val="00C6101B"/>
    <w:rsid w:val="00C615D3"/>
    <w:rsid w:val="00C61A17"/>
    <w:rsid w:val="00C61B0D"/>
    <w:rsid w:val="00C61F77"/>
    <w:rsid w:val="00C62DD9"/>
    <w:rsid w:val="00C630F5"/>
    <w:rsid w:val="00C63321"/>
    <w:rsid w:val="00C639CB"/>
    <w:rsid w:val="00C647BD"/>
    <w:rsid w:val="00C64866"/>
    <w:rsid w:val="00C65039"/>
    <w:rsid w:val="00C65B27"/>
    <w:rsid w:val="00C662A3"/>
    <w:rsid w:val="00C669FD"/>
    <w:rsid w:val="00C66A8A"/>
    <w:rsid w:val="00C66EA5"/>
    <w:rsid w:val="00C670E5"/>
    <w:rsid w:val="00C6751E"/>
    <w:rsid w:val="00C675E5"/>
    <w:rsid w:val="00C67699"/>
    <w:rsid w:val="00C67A0A"/>
    <w:rsid w:val="00C67D02"/>
    <w:rsid w:val="00C70467"/>
    <w:rsid w:val="00C705B9"/>
    <w:rsid w:val="00C70AE8"/>
    <w:rsid w:val="00C71428"/>
    <w:rsid w:val="00C71F56"/>
    <w:rsid w:val="00C72900"/>
    <w:rsid w:val="00C72956"/>
    <w:rsid w:val="00C72E02"/>
    <w:rsid w:val="00C72EEE"/>
    <w:rsid w:val="00C7322F"/>
    <w:rsid w:val="00C733CC"/>
    <w:rsid w:val="00C73491"/>
    <w:rsid w:val="00C73650"/>
    <w:rsid w:val="00C73947"/>
    <w:rsid w:val="00C73BEC"/>
    <w:rsid w:val="00C7417D"/>
    <w:rsid w:val="00C7466E"/>
    <w:rsid w:val="00C746FF"/>
    <w:rsid w:val="00C74D4C"/>
    <w:rsid w:val="00C74EB4"/>
    <w:rsid w:val="00C7566C"/>
    <w:rsid w:val="00C75C38"/>
    <w:rsid w:val="00C75CCC"/>
    <w:rsid w:val="00C75CD5"/>
    <w:rsid w:val="00C7650E"/>
    <w:rsid w:val="00C76D5C"/>
    <w:rsid w:val="00C773CE"/>
    <w:rsid w:val="00C773DB"/>
    <w:rsid w:val="00C774B2"/>
    <w:rsid w:val="00C775C6"/>
    <w:rsid w:val="00C801E3"/>
    <w:rsid w:val="00C80A37"/>
    <w:rsid w:val="00C81A23"/>
    <w:rsid w:val="00C82362"/>
    <w:rsid w:val="00C8261B"/>
    <w:rsid w:val="00C82E69"/>
    <w:rsid w:val="00C82F0B"/>
    <w:rsid w:val="00C835AE"/>
    <w:rsid w:val="00C83AC9"/>
    <w:rsid w:val="00C83BE4"/>
    <w:rsid w:val="00C83D30"/>
    <w:rsid w:val="00C83E79"/>
    <w:rsid w:val="00C83EE1"/>
    <w:rsid w:val="00C8414C"/>
    <w:rsid w:val="00C844A9"/>
    <w:rsid w:val="00C84EFC"/>
    <w:rsid w:val="00C85324"/>
    <w:rsid w:val="00C85567"/>
    <w:rsid w:val="00C8559F"/>
    <w:rsid w:val="00C859D3"/>
    <w:rsid w:val="00C859D5"/>
    <w:rsid w:val="00C85B0E"/>
    <w:rsid w:val="00C85DA3"/>
    <w:rsid w:val="00C8643F"/>
    <w:rsid w:val="00C864CB"/>
    <w:rsid w:val="00C86931"/>
    <w:rsid w:val="00C86A3B"/>
    <w:rsid w:val="00C86A5C"/>
    <w:rsid w:val="00C86DAA"/>
    <w:rsid w:val="00C8791A"/>
    <w:rsid w:val="00C90B59"/>
    <w:rsid w:val="00C90BF4"/>
    <w:rsid w:val="00C910A5"/>
    <w:rsid w:val="00C9130C"/>
    <w:rsid w:val="00C91C48"/>
    <w:rsid w:val="00C925E5"/>
    <w:rsid w:val="00C92716"/>
    <w:rsid w:val="00C92C40"/>
    <w:rsid w:val="00C92F66"/>
    <w:rsid w:val="00C93011"/>
    <w:rsid w:val="00C93A63"/>
    <w:rsid w:val="00C940A0"/>
    <w:rsid w:val="00C944CE"/>
    <w:rsid w:val="00C947DF"/>
    <w:rsid w:val="00C95146"/>
    <w:rsid w:val="00C958DA"/>
    <w:rsid w:val="00C95F15"/>
    <w:rsid w:val="00C968D1"/>
    <w:rsid w:val="00C971E7"/>
    <w:rsid w:val="00C97499"/>
    <w:rsid w:val="00C975CF"/>
    <w:rsid w:val="00C97B4A"/>
    <w:rsid w:val="00CA0400"/>
    <w:rsid w:val="00CA07A9"/>
    <w:rsid w:val="00CA14D9"/>
    <w:rsid w:val="00CA1837"/>
    <w:rsid w:val="00CA25A1"/>
    <w:rsid w:val="00CA26AC"/>
    <w:rsid w:val="00CA27F0"/>
    <w:rsid w:val="00CA284A"/>
    <w:rsid w:val="00CA2A23"/>
    <w:rsid w:val="00CA2AB9"/>
    <w:rsid w:val="00CA2B84"/>
    <w:rsid w:val="00CA2DB8"/>
    <w:rsid w:val="00CA3258"/>
    <w:rsid w:val="00CA353A"/>
    <w:rsid w:val="00CA3C5D"/>
    <w:rsid w:val="00CA400D"/>
    <w:rsid w:val="00CA4141"/>
    <w:rsid w:val="00CA43B7"/>
    <w:rsid w:val="00CA5392"/>
    <w:rsid w:val="00CA5801"/>
    <w:rsid w:val="00CA581B"/>
    <w:rsid w:val="00CA5AAB"/>
    <w:rsid w:val="00CA5B53"/>
    <w:rsid w:val="00CA680A"/>
    <w:rsid w:val="00CA6814"/>
    <w:rsid w:val="00CA6C65"/>
    <w:rsid w:val="00CA6F77"/>
    <w:rsid w:val="00CA729B"/>
    <w:rsid w:val="00CA7DF0"/>
    <w:rsid w:val="00CA7DFF"/>
    <w:rsid w:val="00CB0107"/>
    <w:rsid w:val="00CB0670"/>
    <w:rsid w:val="00CB09C4"/>
    <w:rsid w:val="00CB0A55"/>
    <w:rsid w:val="00CB1449"/>
    <w:rsid w:val="00CB1576"/>
    <w:rsid w:val="00CB16AD"/>
    <w:rsid w:val="00CB1998"/>
    <w:rsid w:val="00CB1CB4"/>
    <w:rsid w:val="00CB1F26"/>
    <w:rsid w:val="00CB2277"/>
    <w:rsid w:val="00CB23ED"/>
    <w:rsid w:val="00CB248B"/>
    <w:rsid w:val="00CB2534"/>
    <w:rsid w:val="00CB3679"/>
    <w:rsid w:val="00CB4D30"/>
    <w:rsid w:val="00CB54AA"/>
    <w:rsid w:val="00CB5AE2"/>
    <w:rsid w:val="00CB5B28"/>
    <w:rsid w:val="00CB5DD7"/>
    <w:rsid w:val="00CB6910"/>
    <w:rsid w:val="00CB6930"/>
    <w:rsid w:val="00CB6BB5"/>
    <w:rsid w:val="00CB7810"/>
    <w:rsid w:val="00CB7B96"/>
    <w:rsid w:val="00CC0158"/>
    <w:rsid w:val="00CC0687"/>
    <w:rsid w:val="00CC1B72"/>
    <w:rsid w:val="00CC1C16"/>
    <w:rsid w:val="00CC1E1F"/>
    <w:rsid w:val="00CC1FE7"/>
    <w:rsid w:val="00CC20AD"/>
    <w:rsid w:val="00CC2590"/>
    <w:rsid w:val="00CC2C5A"/>
    <w:rsid w:val="00CC3CD3"/>
    <w:rsid w:val="00CC5188"/>
    <w:rsid w:val="00CC51BE"/>
    <w:rsid w:val="00CC675C"/>
    <w:rsid w:val="00CC6DB4"/>
    <w:rsid w:val="00CC7536"/>
    <w:rsid w:val="00CC781B"/>
    <w:rsid w:val="00CC7B0C"/>
    <w:rsid w:val="00CD17A3"/>
    <w:rsid w:val="00CD20B5"/>
    <w:rsid w:val="00CD20D9"/>
    <w:rsid w:val="00CD3834"/>
    <w:rsid w:val="00CD38CD"/>
    <w:rsid w:val="00CD3D3E"/>
    <w:rsid w:val="00CD4074"/>
    <w:rsid w:val="00CD589D"/>
    <w:rsid w:val="00CD5AFD"/>
    <w:rsid w:val="00CD6244"/>
    <w:rsid w:val="00CD64E1"/>
    <w:rsid w:val="00CD6B4D"/>
    <w:rsid w:val="00CD6BC3"/>
    <w:rsid w:val="00CD7238"/>
    <w:rsid w:val="00CD7697"/>
    <w:rsid w:val="00CD7FA7"/>
    <w:rsid w:val="00CE080B"/>
    <w:rsid w:val="00CE0ED3"/>
    <w:rsid w:val="00CE1552"/>
    <w:rsid w:val="00CE15AE"/>
    <w:rsid w:val="00CE2120"/>
    <w:rsid w:val="00CE2398"/>
    <w:rsid w:val="00CE2AF7"/>
    <w:rsid w:val="00CE330C"/>
    <w:rsid w:val="00CE3A2B"/>
    <w:rsid w:val="00CE43C3"/>
    <w:rsid w:val="00CE45C2"/>
    <w:rsid w:val="00CE4E91"/>
    <w:rsid w:val="00CE4F98"/>
    <w:rsid w:val="00CE5083"/>
    <w:rsid w:val="00CE51A7"/>
    <w:rsid w:val="00CE5601"/>
    <w:rsid w:val="00CE5700"/>
    <w:rsid w:val="00CE5960"/>
    <w:rsid w:val="00CE5D8D"/>
    <w:rsid w:val="00CE5D93"/>
    <w:rsid w:val="00CE698E"/>
    <w:rsid w:val="00CE6F4E"/>
    <w:rsid w:val="00CE7B74"/>
    <w:rsid w:val="00CF0068"/>
    <w:rsid w:val="00CF00D5"/>
    <w:rsid w:val="00CF00F4"/>
    <w:rsid w:val="00CF09BC"/>
    <w:rsid w:val="00CF0D03"/>
    <w:rsid w:val="00CF1378"/>
    <w:rsid w:val="00CF1932"/>
    <w:rsid w:val="00CF1E9D"/>
    <w:rsid w:val="00CF211C"/>
    <w:rsid w:val="00CF222E"/>
    <w:rsid w:val="00CF2791"/>
    <w:rsid w:val="00CF2FD0"/>
    <w:rsid w:val="00CF3158"/>
    <w:rsid w:val="00CF3186"/>
    <w:rsid w:val="00CF363D"/>
    <w:rsid w:val="00CF3699"/>
    <w:rsid w:val="00CF3DA2"/>
    <w:rsid w:val="00CF3E96"/>
    <w:rsid w:val="00CF46AD"/>
    <w:rsid w:val="00CF472F"/>
    <w:rsid w:val="00CF4D60"/>
    <w:rsid w:val="00CF55CD"/>
    <w:rsid w:val="00CF5601"/>
    <w:rsid w:val="00CF5848"/>
    <w:rsid w:val="00CF60D7"/>
    <w:rsid w:val="00CF6B0D"/>
    <w:rsid w:val="00D00774"/>
    <w:rsid w:val="00D014DF"/>
    <w:rsid w:val="00D015AE"/>
    <w:rsid w:val="00D0189E"/>
    <w:rsid w:val="00D01A4E"/>
    <w:rsid w:val="00D01DC7"/>
    <w:rsid w:val="00D01F70"/>
    <w:rsid w:val="00D020A0"/>
    <w:rsid w:val="00D02A5A"/>
    <w:rsid w:val="00D02AC7"/>
    <w:rsid w:val="00D03049"/>
    <w:rsid w:val="00D03188"/>
    <w:rsid w:val="00D031ED"/>
    <w:rsid w:val="00D03265"/>
    <w:rsid w:val="00D03498"/>
    <w:rsid w:val="00D034DE"/>
    <w:rsid w:val="00D03A89"/>
    <w:rsid w:val="00D03E6E"/>
    <w:rsid w:val="00D042CF"/>
    <w:rsid w:val="00D0434E"/>
    <w:rsid w:val="00D0487A"/>
    <w:rsid w:val="00D04C95"/>
    <w:rsid w:val="00D04CCC"/>
    <w:rsid w:val="00D04D02"/>
    <w:rsid w:val="00D04D7E"/>
    <w:rsid w:val="00D04EF9"/>
    <w:rsid w:val="00D052FA"/>
    <w:rsid w:val="00D053EE"/>
    <w:rsid w:val="00D05A3F"/>
    <w:rsid w:val="00D06451"/>
    <w:rsid w:val="00D0656F"/>
    <w:rsid w:val="00D06D77"/>
    <w:rsid w:val="00D07541"/>
    <w:rsid w:val="00D110E1"/>
    <w:rsid w:val="00D110E5"/>
    <w:rsid w:val="00D1116F"/>
    <w:rsid w:val="00D117FB"/>
    <w:rsid w:val="00D11D3E"/>
    <w:rsid w:val="00D12399"/>
    <w:rsid w:val="00D126F3"/>
    <w:rsid w:val="00D12A93"/>
    <w:rsid w:val="00D12E4E"/>
    <w:rsid w:val="00D13059"/>
    <w:rsid w:val="00D130C3"/>
    <w:rsid w:val="00D13385"/>
    <w:rsid w:val="00D13B06"/>
    <w:rsid w:val="00D13C77"/>
    <w:rsid w:val="00D13CE3"/>
    <w:rsid w:val="00D14917"/>
    <w:rsid w:val="00D15273"/>
    <w:rsid w:val="00D15D09"/>
    <w:rsid w:val="00D16164"/>
    <w:rsid w:val="00D16188"/>
    <w:rsid w:val="00D1634A"/>
    <w:rsid w:val="00D16637"/>
    <w:rsid w:val="00D167D4"/>
    <w:rsid w:val="00D16921"/>
    <w:rsid w:val="00D16DA1"/>
    <w:rsid w:val="00D16F24"/>
    <w:rsid w:val="00D17931"/>
    <w:rsid w:val="00D17C85"/>
    <w:rsid w:val="00D200CC"/>
    <w:rsid w:val="00D20674"/>
    <w:rsid w:val="00D20690"/>
    <w:rsid w:val="00D2083C"/>
    <w:rsid w:val="00D20947"/>
    <w:rsid w:val="00D20ACE"/>
    <w:rsid w:val="00D20E94"/>
    <w:rsid w:val="00D21702"/>
    <w:rsid w:val="00D21B93"/>
    <w:rsid w:val="00D22051"/>
    <w:rsid w:val="00D22406"/>
    <w:rsid w:val="00D2246A"/>
    <w:rsid w:val="00D22912"/>
    <w:rsid w:val="00D22A9F"/>
    <w:rsid w:val="00D22EF8"/>
    <w:rsid w:val="00D2328C"/>
    <w:rsid w:val="00D23902"/>
    <w:rsid w:val="00D23A41"/>
    <w:rsid w:val="00D23AFF"/>
    <w:rsid w:val="00D25245"/>
    <w:rsid w:val="00D2587B"/>
    <w:rsid w:val="00D25B7F"/>
    <w:rsid w:val="00D25FD8"/>
    <w:rsid w:val="00D26FFC"/>
    <w:rsid w:val="00D272BE"/>
    <w:rsid w:val="00D27511"/>
    <w:rsid w:val="00D27AA2"/>
    <w:rsid w:val="00D27BC2"/>
    <w:rsid w:val="00D27D53"/>
    <w:rsid w:val="00D3089A"/>
    <w:rsid w:val="00D30C58"/>
    <w:rsid w:val="00D318E5"/>
    <w:rsid w:val="00D32F71"/>
    <w:rsid w:val="00D338F6"/>
    <w:rsid w:val="00D33A63"/>
    <w:rsid w:val="00D33E6C"/>
    <w:rsid w:val="00D33FBA"/>
    <w:rsid w:val="00D34169"/>
    <w:rsid w:val="00D342CB"/>
    <w:rsid w:val="00D34377"/>
    <w:rsid w:val="00D346A2"/>
    <w:rsid w:val="00D347A7"/>
    <w:rsid w:val="00D34DD7"/>
    <w:rsid w:val="00D35248"/>
    <w:rsid w:val="00D3528F"/>
    <w:rsid w:val="00D352D4"/>
    <w:rsid w:val="00D35537"/>
    <w:rsid w:val="00D35CD3"/>
    <w:rsid w:val="00D36B2B"/>
    <w:rsid w:val="00D36E2C"/>
    <w:rsid w:val="00D37465"/>
    <w:rsid w:val="00D37E1E"/>
    <w:rsid w:val="00D4000B"/>
    <w:rsid w:val="00D40DFF"/>
    <w:rsid w:val="00D41978"/>
    <w:rsid w:val="00D41BA6"/>
    <w:rsid w:val="00D41CB7"/>
    <w:rsid w:val="00D41CEB"/>
    <w:rsid w:val="00D41E44"/>
    <w:rsid w:val="00D422DF"/>
    <w:rsid w:val="00D426F9"/>
    <w:rsid w:val="00D427F0"/>
    <w:rsid w:val="00D428B9"/>
    <w:rsid w:val="00D43061"/>
    <w:rsid w:val="00D435E2"/>
    <w:rsid w:val="00D43DB2"/>
    <w:rsid w:val="00D442FD"/>
    <w:rsid w:val="00D44A8E"/>
    <w:rsid w:val="00D45743"/>
    <w:rsid w:val="00D45ACC"/>
    <w:rsid w:val="00D45BF7"/>
    <w:rsid w:val="00D45FF5"/>
    <w:rsid w:val="00D460DD"/>
    <w:rsid w:val="00D46674"/>
    <w:rsid w:val="00D46809"/>
    <w:rsid w:val="00D46B04"/>
    <w:rsid w:val="00D46FB3"/>
    <w:rsid w:val="00D470BD"/>
    <w:rsid w:val="00D47DA2"/>
    <w:rsid w:val="00D47EDA"/>
    <w:rsid w:val="00D5024F"/>
    <w:rsid w:val="00D50FCE"/>
    <w:rsid w:val="00D51278"/>
    <w:rsid w:val="00D523DB"/>
    <w:rsid w:val="00D52799"/>
    <w:rsid w:val="00D52897"/>
    <w:rsid w:val="00D52AB7"/>
    <w:rsid w:val="00D53210"/>
    <w:rsid w:val="00D53566"/>
    <w:rsid w:val="00D535D8"/>
    <w:rsid w:val="00D539E7"/>
    <w:rsid w:val="00D53C31"/>
    <w:rsid w:val="00D53D04"/>
    <w:rsid w:val="00D5432D"/>
    <w:rsid w:val="00D54ABA"/>
    <w:rsid w:val="00D5573D"/>
    <w:rsid w:val="00D55AA2"/>
    <w:rsid w:val="00D56035"/>
    <w:rsid w:val="00D560DA"/>
    <w:rsid w:val="00D56136"/>
    <w:rsid w:val="00D577B1"/>
    <w:rsid w:val="00D57D7D"/>
    <w:rsid w:val="00D57E5D"/>
    <w:rsid w:val="00D57F2E"/>
    <w:rsid w:val="00D601DC"/>
    <w:rsid w:val="00D60845"/>
    <w:rsid w:val="00D60905"/>
    <w:rsid w:val="00D60A8B"/>
    <w:rsid w:val="00D60AC6"/>
    <w:rsid w:val="00D60CE2"/>
    <w:rsid w:val="00D61283"/>
    <w:rsid w:val="00D619E5"/>
    <w:rsid w:val="00D62DFB"/>
    <w:rsid w:val="00D62E05"/>
    <w:rsid w:val="00D62E5F"/>
    <w:rsid w:val="00D62EED"/>
    <w:rsid w:val="00D64CB0"/>
    <w:rsid w:val="00D64DDB"/>
    <w:rsid w:val="00D6506B"/>
    <w:rsid w:val="00D6538E"/>
    <w:rsid w:val="00D65519"/>
    <w:rsid w:val="00D65702"/>
    <w:rsid w:val="00D65B8D"/>
    <w:rsid w:val="00D661A6"/>
    <w:rsid w:val="00D66433"/>
    <w:rsid w:val="00D664E4"/>
    <w:rsid w:val="00D66C9E"/>
    <w:rsid w:val="00D66D8F"/>
    <w:rsid w:val="00D67073"/>
    <w:rsid w:val="00D67461"/>
    <w:rsid w:val="00D675EF"/>
    <w:rsid w:val="00D67CB1"/>
    <w:rsid w:val="00D67EBF"/>
    <w:rsid w:val="00D700F1"/>
    <w:rsid w:val="00D70212"/>
    <w:rsid w:val="00D70A21"/>
    <w:rsid w:val="00D71009"/>
    <w:rsid w:val="00D71319"/>
    <w:rsid w:val="00D71741"/>
    <w:rsid w:val="00D71AF0"/>
    <w:rsid w:val="00D71D73"/>
    <w:rsid w:val="00D72308"/>
    <w:rsid w:val="00D72607"/>
    <w:rsid w:val="00D72AD5"/>
    <w:rsid w:val="00D72F30"/>
    <w:rsid w:val="00D73640"/>
    <w:rsid w:val="00D73963"/>
    <w:rsid w:val="00D740EB"/>
    <w:rsid w:val="00D74274"/>
    <w:rsid w:val="00D752A6"/>
    <w:rsid w:val="00D75D5B"/>
    <w:rsid w:val="00D75DDF"/>
    <w:rsid w:val="00D76030"/>
    <w:rsid w:val="00D76235"/>
    <w:rsid w:val="00D767F4"/>
    <w:rsid w:val="00D76865"/>
    <w:rsid w:val="00D774B5"/>
    <w:rsid w:val="00D77587"/>
    <w:rsid w:val="00D776B8"/>
    <w:rsid w:val="00D77788"/>
    <w:rsid w:val="00D80628"/>
    <w:rsid w:val="00D80652"/>
    <w:rsid w:val="00D80667"/>
    <w:rsid w:val="00D808DE"/>
    <w:rsid w:val="00D80A0D"/>
    <w:rsid w:val="00D814B9"/>
    <w:rsid w:val="00D81899"/>
    <w:rsid w:val="00D8212C"/>
    <w:rsid w:val="00D82359"/>
    <w:rsid w:val="00D82461"/>
    <w:rsid w:val="00D8251A"/>
    <w:rsid w:val="00D8280F"/>
    <w:rsid w:val="00D82875"/>
    <w:rsid w:val="00D83939"/>
    <w:rsid w:val="00D83ECC"/>
    <w:rsid w:val="00D8415E"/>
    <w:rsid w:val="00D8473C"/>
    <w:rsid w:val="00D848A4"/>
    <w:rsid w:val="00D849E1"/>
    <w:rsid w:val="00D85CEE"/>
    <w:rsid w:val="00D85F29"/>
    <w:rsid w:val="00D863DD"/>
    <w:rsid w:val="00D867F8"/>
    <w:rsid w:val="00D86DD6"/>
    <w:rsid w:val="00D8732C"/>
    <w:rsid w:val="00D87A2B"/>
    <w:rsid w:val="00D90060"/>
    <w:rsid w:val="00D903A3"/>
    <w:rsid w:val="00D905A6"/>
    <w:rsid w:val="00D9083F"/>
    <w:rsid w:val="00D90C72"/>
    <w:rsid w:val="00D9151C"/>
    <w:rsid w:val="00D91531"/>
    <w:rsid w:val="00D915B3"/>
    <w:rsid w:val="00D91F73"/>
    <w:rsid w:val="00D925A0"/>
    <w:rsid w:val="00D928C9"/>
    <w:rsid w:val="00D92E0E"/>
    <w:rsid w:val="00D92EBA"/>
    <w:rsid w:val="00D93C30"/>
    <w:rsid w:val="00D94356"/>
    <w:rsid w:val="00D9487F"/>
    <w:rsid w:val="00D949B2"/>
    <w:rsid w:val="00D94A98"/>
    <w:rsid w:val="00D94C8F"/>
    <w:rsid w:val="00D94DB5"/>
    <w:rsid w:val="00D95048"/>
    <w:rsid w:val="00D95B18"/>
    <w:rsid w:val="00D95E44"/>
    <w:rsid w:val="00D96AB7"/>
    <w:rsid w:val="00D96AC7"/>
    <w:rsid w:val="00D96C4D"/>
    <w:rsid w:val="00D96CD9"/>
    <w:rsid w:val="00D9720B"/>
    <w:rsid w:val="00D9735E"/>
    <w:rsid w:val="00D97617"/>
    <w:rsid w:val="00D97A52"/>
    <w:rsid w:val="00D97C6E"/>
    <w:rsid w:val="00DA0399"/>
    <w:rsid w:val="00DA056B"/>
    <w:rsid w:val="00DA18D1"/>
    <w:rsid w:val="00DA1FE2"/>
    <w:rsid w:val="00DA2842"/>
    <w:rsid w:val="00DA2C5F"/>
    <w:rsid w:val="00DA2E0C"/>
    <w:rsid w:val="00DA305D"/>
    <w:rsid w:val="00DA3E75"/>
    <w:rsid w:val="00DA457B"/>
    <w:rsid w:val="00DA4CD1"/>
    <w:rsid w:val="00DA4EFF"/>
    <w:rsid w:val="00DA4F6B"/>
    <w:rsid w:val="00DA5640"/>
    <w:rsid w:val="00DA5A07"/>
    <w:rsid w:val="00DA5D32"/>
    <w:rsid w:val="00DB0769"/>
    <w:rsid w:val="00DB0A34"/>
    <w:rsid w:val="00DB0B8B"/>
    <w:rsid w:val="00DB0F65"/>
    <w:rsid w:val="00DB1590"/>
    <w:rsid w:val="00DB1AF2"/>
    <w:rsid w:val="00DB30CA"/>
    <w:rsid w:val="00DB316E"/>
    <w:rsid w:val="00DB31F1"/>
    <w:rsid w:val="00DB32A5"/>
    <w:rsid w:val="00DB3D1D"/>
    <w:rsid w:val="00DB40BF"/>
    <w:rsid w:val="00DB4498"/>
    <w:rsid w:val="00DB49D2"/>
    <w:rsid w:val="00DB5012"/>
    <w:rsid w:val="00DB534B"/>
    <w:rsid w:val="00DB5782"/>
    <w:rsid w:val="00DB579A"/>
    <w:rsid w:val="00DB58F3"/>
    <w:rsid w:val="00DB5CDA"/>
    <w:rsid w:val="00DB5E84"/>
    <w:rsid w:val="00DB6369"/>
    <w:rsid w:val="00DB63B2"/>
    <w:rsid w:val="00DB6F53"/>
    <w:rsid w:val="00DB70FF"/>
    <w:rsid w:val="00DB71FD"/>
    <w:rsid w:val="00DB79FE"/>
    <w:rsid w:val="00DB7E88"/>
    <w:rsid w:val="00DC01B1"/>
    <w:rsid w:val="00DC0F74"/>
    <w:rsid w:val="00DC11ED"/>
    <w:rsid w:val="00DC1251"/>
    <w:rsid w:val="00DC26C3"/>
    <w:rsid w:val="00DC2AA5"/>
    <w:rsid w:val="00DC2CA2"/>
    <w:rsid w:val="00DC2CEB"/>
    <w:rsid w:val="00DC33BB"/>
    <w:rsid w:val="00DC37D4"/>
    <w:rsid w:val="00DC546A"/>
    <w:rsid w:val="00DC5670"/>
    <w:rsid w:val="00DC64F6"/>
    <w:rsid w:val="00DC65BB"/>
    <w:rsid w:val="00DC6A3E"/>
    <w:rsid w:val="00DC74B1"/>
    <w:rsid w:val="00DC75DE"/>
    <w:rsid w:val="00DC7ABD"/>
    <w:rsid w:val="00DC7B6A"/>
    <w:rsid w:val="00DD016F"/>
    <w:rsid w:val="00DD0441"/>
    <w:rsid w:val="00DD0594"/>
    <w:rsid w:val="00DD0C09"/>
    <w:rsid w:val="00DD0E42"/>
    <w:rsid w:val="00DD1536"/>
    <w:rsid w:val="00DD1F95"/>
    <w:rsid w:val="00DD24AC"/>
    <w:rsid w:val="00DD26B4"/>
    <w:rsid w:val="00DD2E88"/>
    <w:rsid w:val="00DD2F90"/>
    <w:rsid w:val="00DD33D0"/>
    <w:rsid w:val="00DD44DB"/>
    <w:rsid w:val="00DD4704"/>
    <w:rsid w:val="00DD480C"/>
    <w:rsid w:val="00DD48D3"/>
    <w:rsid w:val="00DD4B82"/>
    <w:rsid w:val="00DD4F99"/>
    <w:rsid w:val="00DD4FFF"/>
    <w:rsid w:val="00DD52D7"/>
    <w:rsid w:val="00DD53BD"/>
    <w:rsid w:val="00DD5497"/>
    <w:rsid w:val="00DD5B50"/>
    <w:rsid w:val="00DD5BA8"/>
    <w:rsid w:val="00DD5EE9"/>
    <w:rsid w:val="00DD6300"/>
    <w:rsid w:val="00DD6439"/>
    <w:rsid w:val="00DD6879"/>
    <w:rsid w:val="00DD6D11"/>
    <w:rsid w:val="00DD7112"/>
    <w:rsid w:val="00DD71F1"/>
    <w:rsid w:val="00DD7327"/>
    <w:rsid w:val="00DD73F6"/>
    <w:rsid w:val="00DD79A6"/>
    <w:rsid w:val="00DD7E26"/>
    <w:rsid w:val="00DE0173"/>
    <w:rsid w:val="00DE0248"/>
    <w:rsid w:val="00DE03E2"/>
    <w:rsid w:val="00DE050D"/>
    <w:rsid w:val="00DE0869"/>
    <w:rsid w:val="00DE0EA8"/>
    <w:rsid w:val="00DE1327"/>
    <w:rsid w:val="00DE14C0"/>
    <w:rsid w:val="00DE21B9"/>
    <w:rsid w:val="00DE25FE"/>
    <w:rsid w:val="00DE2F5E"/>
    <w:rsid w:val="00DE371F"/>
    <w:rsid w:val="00DE3C91"/>
    <w:rsid w:val="00DE44B1"/>
    <w:rsid w:val="00DE48A2"/>
    <w:rsid w:val="00DE4AB7"/>
    <w:rsid w:val="00DE4DEC"/>
    <w:rsid w:val="00DE51C1"/>
    <w:rsid w:val="00DE566E"/>
    <w:rsid w:val="00DE57D2"/>
    <w:rsid w:val="00DE58E0"/>
    <w:rsid w:val="00DE5B80"/>
    <w:rsid w:val="00DE5F02"/>
    <w:rsid w:val="00DE6309"/>
    <w:rsid w:val="00DE68D5"/>
    <w:rsid w:val="00DE6A82"/>
    <w:rsid w:val="00DE6ACE"/>
    <w:rsid w:val="00DE6CCD"/>
    <w:rsid w:val="00DE74CF"/>
    <w:rsid w:val="00DE7952"/>
    <w:rsid w:val="00DE7B7E"/>
    <w:rsid w:val="00DE7F3A"/>
    <w:rsid w:val="00DF013F"/>
    <w:rsid w:val="00DF022E"/>
    <w:rsid w:val="00DF06A3"/>
    <w:rsid w:val="00DF13B3"/>
    <w:rsid w:val="00DF13BA"/>
    <w:rsid w:val="00DF197F"/>
    <w:rsid w:val="00DF1B1D"/>
    <w:rsid w:val="00DF2139"/>
    <w:rsid w:val="00DF217C"/>
    <w:rsid w:val="00DF2315"/>
    <w:rsid w:val="00DF2514"/>
    <w:rsid w:val="00DF290F"/>
    <w:rsid w:val="00DF3618"/>
    <w:rsid w:val="00DF3DFF"/>
    <w:rsid w:val="00DF58E8"/>
    <w:rsid w:val="00DF5CEF"/>
    <w:rsid w:val="00DF5E9C"/>
    <w:rsid w:val="00DF6027"/>
    <w:rsid w:val="00DF6368"/>
    <w:rsid w:val="00DF69C4"/>
    <w:rsid w:val="00DF7957"/>
    <w:rsid w:val="00DF7A24"/>
    <w:rsid w:val="00DF7B3E"/>
    <w:rsid w:val="00DF7E54"/>
    <w:rsid w:val="00E005B9"/>
    <w:rsid w:val="00E00830"/>
    <w:rsid w:val="00E00ADD"/>
    <w:rsid w:val="00E00C38"/>
    <w:rsid w:val="00E00EF5"/>
    <w:rsid w:val="00E012FF"/>
    <w:rsid w:val="00E01CCE"/>
    <w:rsid w:val="00E01FE8"/>
    <w:rsid w:val="00E02002"/>
    <w:rsid w:val="00E02429"/>
    <w:rsid w:val="00E02B79"/>
    <w:rsid w:val="00E02DF3"/>
    <w:rsid w:val="00E0379F"/>
    <w:rsid w:val="00E03802"/>
    <w:rsid w:val="00E03EFF"/>
    <w:rsid w:val="00E049F0"/>
    <w:rsid w:val="00E04A0C"/>
    <w:rsid w:val="00E04BC7"/>
    <w:rsid w:val="00E04ECE"/>
    <w:rsid w:val="00E05055"/>
    <w:rsid w:val="00E0532D"/>
    <w:rsid w:val="00E0544A"/>
    <w:rsid w:val="00E05ECF"/>
    <w:rsid w:val="00E060C3"/>
    <w:rsid w:val="00E061A5"/>
    <w:rsid w:val="00E0669C"/>
    <w:rsid w:val="00E06CD3"/>
    <w:rsid w:val="00E06F77"/>
    <w:rsid w:val="00E0714C"/>
    <w:rsid w:val="00E0730A"/>
    <w:rsid w:val="00E07DB1"/>
    <w:rsid w:val="00E10885"/>
    <w:rsid w:val="00E11536"/>
    <w:rsid w:val="00E116F7"/>
    <w:rsid w:val="00E11A8A"/>
    <w:rsid w:val="00E12A96"/>
    <w:rsid w:val="00E12B61"/>
    <w:rsid w:val="00E12D27"/>
    <w:rsid w:val="00E1385B"/>
    <w:rsid w:val="00E14359"/>
    <w:rsid w:val="00E147B3"/>
    <w:rsid w:val="00E147C8"/>
    <w:rsid w:val="00E14BEB"/>
    <w:rsid w:val="00E1554B"/>
    <w:rsid w:val="00E15691"/>
    <w:rsid w:val="00E15B7D"/>
    <w:rsid w:val="00E15D6F"/>
    <w:rsid w:val="00E164D0"/>
    <w:rsid w:val="00E16895"/>
    <w:rsid w:val="00E16A8D"/>
    <w:rsid w:val="00E16CBB"/>
    <w:rsid w:val="00E16D12"/>
    <w:rsid w:val="00E16E94"/>
    <w:rsid w:val="00E17393"/>
    <w:rsid w:val="00E1750C"/>
    <w:rsid w:val="00E17580"/>
    <w:rsid w:val="00E1782B"/>
    <w:rsid w:val="00E17A8F"/>
    <w:rsid w:val="00E17BB4"/>
    <w:rsid w:val="00E204E1"/>
    <w:rsid w:val="00E205CF"/>
    <w:rsid w:val="00E20D08"/>
    <w:rsid w:val="00E20FA4"/>
    <w:rsid w:val="00E20FC4"/>
    <w:rsid w:val="00E21433"/>
    <w:rsid w:val="00E21571"/>
    <w:rsid w:val="00E2195B"/>
    <w:rsid w:val="00E21990"/>
    <w:rsid w:val="00E21AF6"/>
    <w:rsid w:val="00E2283F"/>
    <w:rsid w:val="00E22AEC"/>
    <w:rsid w:val="00E22C0F"/>
    <w:rsid w:val="00E231CE"/>
    <w:rsid w:val="00E2332C"/>
    <w:rsid w:val="00E2345D"/>
    <w:rsid w:val="00E235DB"/>
    <w:rsid w:val="00E248E1"/>
    <w:rsid w:val="00E24B56"/>
    <w:rsid w:val="00E252DF"/>
    <w:rsid w:val="00E25BBA"/>
    <w:rsid w:val="00E26170"/>
    <w:rsid w:val="00E268CE"/>
    <w:rsid w:val="00E26FBF"/>
    <w:rsid w:val="00E27002"/>
    <w:rsid w:val="00E272FB"/>
    <w:rsid w:val="00E27D10"/>
    <w:rsid w:val="00E30034"/>
    <w:rsid w:val="00E303E8"/>
    <w:rsid w:val="00E30D34"/>
    <w:rsid w:val="00E30DD0"/>
    <w:rsid w:val="00E3177B"/>
    <w:rsid w:val="00E31C73"/>
    <w:rsid w:val="00E32011"/>
    <w:rsid w:val="00E320E7"/>
    <w:rsid w:val="00E32159"/>
    <w:rsid w:val="00E32411"/>
    <w:rsid w:val="00E32516"/>
    <w:rsid w:val="00E327B3"/>
    <w:rsid w:val="00E32967"/>
    <w:rsid w:val="00E33A90"/>
    <w:rsid w:val="00E33E0D"/>
    <w:rsid w:val="00E341CA"/>
    <w:rsid w:val="00E3446D"/>
    <w:rsid w:val="00E35B63"/>
    <w:rsid w:val="00E36063"/>
    <w:rsid w:val="00E3644B"/>
    <w:rsid w:val="00E36A40"/>
    <w:rsid w:val="00E373AE"/>
    <w:rsid w:val="00E408DB"/>
    <w:rsid w:val="00E40D0E"/>
    <w:rsid w:val="00E40D84"/>
    <w:rsid w:val="00E40E6B"/>
    <w:rsid w:val="00E41B81"/>
    <w:rsid w:val="00E41DDE"/>
    <w:rsid w:val="00E4217B"/>
    <w:rsid w:val="00E423B8"/>
    <w:rsid w:val="00E42902"/>
    <w:rsid w:val="00E42AD3"/>
    <w:rsid w:val="00E42E9E"/>
    <w:rsid w:val="00E43977"/>
    <w:rsid w:val="00E4430C"/>
    <w:rsid w:val="00E44350"/>
    <w:rsid w:val="00E44C46"/>
    <w:rsid w:val="00E44F7D"/>
    <w:rsid w:val="00E456D0"/>
    <w:rsid w:val="00E45752"/>
    <w:rsid w:val="00E46A03"/>
    <w:rsid w:val="00E46A46"/>
    <w:rsid w:val="00E46D8B"/>
    <w:rsid w:val="00E475E4"/>
    <w:rsid w:val="00E500F9"/>
    <w:rsid w:val="00E50B7F"/>
    <w:rsid w:val="00E50F58"/>
    <w:rsid w:val="00E51F7C"/>
    <w:rsid w:val="00E52093"/>
    <w:rsid w:val="00E522CE"/>
    <w:rsid w:val="00E526B2"/>
    <w:rsid w:val="00E52B0D"/>
    <w:rsid w:val="00E53531"/>
    <w:rsid w:val="00E53A89"/>
    <w:rsid w:val="00E54106"/>
    <w:rsid w:val="00E54186"/>
    <w:rsid w:val="00E54521"/>
    <w:rsid w:val="00E54670"/>
    <w:rsid w:val="00E54D73"/>
    <w:rsid w:val="00E55050"/>
    <w:rsid w:val="00E553FF"/>
    <w:rsid w:val="00E55584"/>
    <w:rsid w:val="00E556BC"/>
    <w:rsid w:val="00E5589E"/>
    <w:rsid w:val="00E558E4"/>
    <w:rsid w:val="00E55B5F"/>
    <w:rsid w:val="00E567BE"/>
    <w:rsid w:val="00E5691C"/>
    <w:rsid w:val="00E56A66"/>
    <w:rsid w:val="00E573FB"/>
    <w:rsid w:val="00E5767E"/>
    <w:rsid w:val="00E578F2"/>
    <w:rsid w:val="00E57F06"/>
    <w:rsid w:val="00E610A9"/>
    <w:rsid w:val="00E6130A"/>
    <w:rsid w:val="00E615CC"/>
    <w:rsid w:val="00E61620"/>
    <w:rsid w:val="00E61E94"/>
    <w:rsid w:val="00E6244D"/>
    <w:rsid w:val="00E6257A"/>
    <w:rsid w:val="00E62685"/>
    <w:rsid w:val="00E62861"/>
    <w:rsid w:val="00E62C72"/>
    <w:rsid w:val="00E62C7D"/>
    <w:rsid w:val="00E62EAE"/>
    <w:rsid w:val="00E63115"/>
    <w:rsid w:val="00E631CE"/>
    <w:rsid w:val="00E6335A"/>
    <w:rsid w:val="00E63662"/>
    <w:rsid w:val="00E63E40"/>
    <w:rsid w:val="00E63F3D"/>
    <w:rsid w:val="00E643AA"/>
    <w:rsid w:val="00E64990"/>
    <w:rsid w:val="00E65922"/>
    <w:rsid w:val="00E6629E"/>
    <w:rsid w:val="00E6640D"/>
    <w:rsid w:val="00E664EE"/>
    <w:rsid w:val="00E667DE"/>
    <w:rsid w:val="00E66880"/>
    <w:rsid w:val="00E6698F"/>
    <w:rsid w:val="00E66D1D"/>
    <w:rsid w:val="00E66FD0"/>
    <w:rsid w:val="00E67065"/>
    <w:rsid w:val="00E67487"/>
    <w:rsid w:val="00E679D9"/>
    <w:rsid w:val="00E70832"/>
    <w:rsid w:val="00E70905"/>
    <w:rsid w:val="00E70948"/>
    <w:rsid w:val="00E717E9"/>
    <w:rsid w:val="00E7188E"/>
    <w:rsid w:val="00E72C7A"/>
    <w:rsid w:val="00E7361C"/>
    <w:rsid w:val="00E73EF5"/>
    <w:rsid w:val="00E74420"/>
    <w:rsid w:val="00E7447D"/>
    <w:rsid w:val="00E74752"/>
    <w:rsid w:val="00E748F6"/>
    <w:rsid w:val="00E74D49"/>
    <w:rsid w:val="00E753A4"/>
    <w:rsid w:val="00E7546D"/>
    <w:rsid w:val="00E756B4"/>
    <w:rsid w:val="00E757F6"/>
    <w:rsid w:val="00E75D6A"/>
    <w:rsid w:val="00E76579"/>
    <w:rsid w:val="00E7683C"/>
    <w:rsid w:val="00E76E59"/>
    <w:rsid w:val="00E76F45"/>
    <w:rsid w:val="00E77197"/>
    <w:rsid w:val="00E80396"/>
    <w:rsid w:val="00E80565"/>
    <w:rsid w:val="00E8096B"/>
    <w:rsid w:val="00E80BF7"/>
    <w:rsid w:val="00E80EED"/>
    <w:rsid w:val="00E813AF"/>
    <w:rsid w:val="00E81562"/>
    <w:rsid w:val="00E81D9F"/>
    <w:rsid w:val="00E824CB"/>
    <w:rsid w:val="00E831E3"/>
    <w:rsid w:val="00E8359B"/>
    <w:rsid w:val="00E83694"/>
    <w:rsid w:val="00E838A7"/>
    <w:rsid w:val="00E83A50"/>
    <w:rsid w:val="00E847CF"/>
    <w:rsid w:val="00E84A20"/>
    <w:rsid w:val="00E84E1A"/>
    <w:rsid w:val="00E84F23"/>
    <w:rsid w:val="00E85012"/>
    <w:rsid w:val="00E851C7"/>
    <w:rsid w:val="00E85314"/>
    <w:rsid w:val="00E85534"/>
    <w:rsid w:val="00E85970"/>
    <w:rsid w:val="00E85A78"/>
    <w:rsid w:val="00E85BDF"/>
    <w:rsid w:val="00E85E9D"/>
    <w:rsid w:val="00E86290"/>
    <w:rsid w:val="00E86E4A"/>
    <w:rsid w:val="00E86E99"/>
    <w:rsid w:val="00E87108"/>
    <w:rsid w:val="00E87A6E"/>
    <w:rsid w:val="00E901AA"/>
    <w:rsid w:val="00E901F3"/>
    <w:rsid w:val="00E902AB"/>
    <w:rsid w:val="00E90755"/>
    <w:rsid w:val="00E90A0B"/>
    <w:rsid w:val="00E9135A"/>
    <w:rsid w:val="00E91958"/>
    <w:rsid w:val="00E92290"/>
    <w:rsid w:val="00E9286F"/>
    <w:rsid w:val="00E92894"/>
    <w:rsid w:val="00E92931"/>
    <w:rsid w:val="00E92A0D"/>
    <w:rsid w:val="00E92CB2"/>
    <w:rsid w:val="00E9325A"/>
    <w:rsid w:val="00E937A4"/>
    <w:rsid w:val="00E93B53"/>
    <w:rsid w:val="00E93F0A"/>
    <w:rsid w:val="00E93F7B"/>
    <w:rsid w:val="00E93FDA"/>
    <w:rsid w:val="00E94209"/>
    <w:rsid w:val="00E943AF"/>
    <w:rsid w:val="00E94809"/>
    <w:rsid w:val="00E94BB8"/>
    <w:rsid w:val="00E9505C"/>
    <w:rsid w:val="00E9535F"/>
    <w:rsid w:val="00E95614"/>
    <w:rsid w:val="00E95C0F"/>
    <w:rsid w:val="00E95E29"/>
    <w:rsid w:val="00E9617A"/>
    <w:rsid w:val="00E96482"/>
    <w:rsid w:val="00E9787A"/>
    <w:rsid w:val="00EA0576"/>
    <w:rsid w:val="00EA09D6"/>
    <w:rsid w:val="00EA0D31"/>
    <w:rsid w:val="00EA218D"/>
    <w:rsid w:val="00EA2329"/>
    <w:rsid w:val="00EA253C"/>
    <w:rsid w:val="00EA263C"/>
    <w:rsid w:val="00EA27A7"/>
    <w:rsid w:val="00EA3066"/>
    <w:rsid w:val="00EA31CD"/>
    <w:rsid w:val="00EA32A7"/>
    <w:rsid w:val="00EA34F2"/>
    <w:rsid w:val="00EA38B5"/>
    <w:rsid w:val="00EA3EBF"/>
    <w:rsid w:val="00EA41E8"/>
    <w:rsid w:val="00EA4285"/>
    <w:rsid w:val="00EA4452"/>
    <w:rsid w:val="00EA46E4"/>
    <w:rsid w:val="00EA487C"/>
    <w:rsid w:val="00EA4B9C"/>
    <w:rsid w:val="00EA52BD"/>
    <w:rsid w:val="00EA52BF"/>
    <w:rsid w:val="00EA5767"/>
    <w:rsid w:val="00EA59F8"/>
    <w:rsid w:val="00EA67EA"/>
    <w:rsid w:val="00EA68DA"/>
    <w:rsid w:val="00EA6B5E"/>
    <w:rsid w:val="00EA762B"/>
    <w:rsid w:val="00EA7A1A"/>
    <w:rsid w:val="00EB0552"/>
    <w:rsid w:val="00EB0823"/>
    <w:rsid w:val="00EB1550"/>
    <w:rsid w:val="00EB16A2"/>
    <w:rsid w:val="00EB18EF"/>
    <w:rsid w:val="00EB1CF7"/>
    <w:rsid w:val="00EB20FF"/>
    <w:rsid w:val="00EB2D1A"/>
    <w:rsid w:val="00EB2E1F"/>
    <w:rsid w:val="00EB2EC2"/>
    <w:rsid w:val="00EB2EC5"/>
    <w:rsid w:val="00EB2EE0"/>
    <w:rsid w:val="00EB3175"/>
    <w:rsid w:val="00EB32C1"/>
    <w:rsid w:val="00EB38B6"/>
    <w:rsid w:val="00EB391E"/>
    <w:rsid w:val="00EB46E3"/>
    <w:rsid w:val="00EB513D"/>
    <w:rsid w:val="00EB54FA"/>
    <w:rsid w:val="00EB5B6F"/>
    <w:rsid w:val="00EB5CFF"/>
    <w:rsid w:val="00EB5FEE"/>
    <w:rsid w:val="00EB6287"/>
    <w:rsid w:val="00EB6CD8"/>
    <w:rsid w:val="00EB71E2"/>
    <w:rsid w:val="00EB7BCD"/>
    <w:rsid w:val="00EB7DDB"/>
    <w:rsid w:val="00EC034F"/>
    <w:rsid w:val="00EC0446"/>
    <w:rsid w:val="00EC0817"/>
    <w:rsid w:val="00EC16F0"/>
    <w:rsid w:val="00EC1AD2"/>
    <w:rsid w:val="00EC2B0D"/>
    <w:rsid w:val="00EC2B26"/>
    <w:rsid w:val="00EC2D0B"/>
    <w:rsid w:val="00EC2D2F"/>
    <w:rsid w:val="00EC2F80"/>
    <w:rsid w:val="00EC3161"/>
    <w:rsid w:val="00EC34A7"/>
    <w:rsid w:val="00EC3718"/>
    <w:rsid w:val="00EC3CA4"/>
    <w:rsid w:val="00EC3D30"/>
    <w:rsid w:val="00EC4017"/>
    <w:rsid w:val="00EC428C"/>
    <w:rsid w:val="00EC4311"/>
    <w:rsid w:val="00EC4730"/>
    <w:rsid w:val="00EC5051"/>
    <w:rsid w:val="00EC51EA"/>
    <w:rsid w:val="00EC524C"/>
    <w:rsid w:val="00EC52E9"/>
    <w:rsid w:val="00EC59F9"/>
    <w:rsid w:val="00EC629A"/>
    <w:rsid w:val="00EC6487"/>
    <w:rsid w:val="00EC65E0"/>
    <w:rsid w:val="00EC6B7C"/>
    <w:rsid w:val="00EC6D4E"/>
    <w:rsid w:val="00EC6ED4"/>
    <w:rsid w:val="00EC7387"/>
    <w:rsid w:val="00ED00FE"/>
    <w:rsid w:val="00ED0169"/>
    <w:rsid w:val="00ED06AA"/>
    <w:rsid w:val="00ED12F6"/>
    <w:rsid w:val="00ED1596"/>
    <w:rsid w:val="00ED2445"/>
    <w:rsid w:val="00ED2A49"/>
    <w:rsid w:val="00ED348F"/>
    <w:rsid w:val="00ED3795"/>
    <w:rsid w:val="00ED3836"/>
    <w:rsid w:val="00ED3C76"/>
    <w:rsid w:val="00ED4BFB"/>
    <w:rsid w:val="00ED5B14"/>
    <w:rsid w:val="00ED5FE3"/>
    <w:rsid w:val="00ED6203"/>
    <w:rsid w:val="00ED645B"/>
    <w:rsid w:val="00ED6499"/>
    <w:rsid w:val="00ED6A9B"/>
    <w:rsid w:val="00ED6D35"/>
    <w:rsid w:val="00ED7C03"/>
    <w:rsid w:val="00EE045A"/>
    <w:rsid w:val="00EE0805"/>
    <w:rsid w:val="00EE1D64"/>
    <w:rsid w:val="00EE1EDA"/>
    <w:rsid w:val="00EE21D2"/>
    <w:rsid w:val="00EE22D4"/>
    <w:rsid w:val="00EE2772"/>
    <w:rsid w:val="00EE3289"/>
    <w:rsid w:val="00EE3CBF"/>
    <w:rsid w:val="00EE439E"/>
    <w:rsid w:val="00EE4AA5"/>
    <w:rsid w:val="00EE53E1"/>
    <w:rsid w:val="00EE568D"/>
    <w:rsid w:val="00EE5847"/>
    <w:rsid w:val="00EE5975"/>
    <w:rsid w:val="00EE5AB3"/>
    <w:rsid w:val="00EE5B1E"/>
    <w:rsid w:val="00EE5D18"/>
    <w:rsid w:val="00EE6709"/>
    <w:rsid w:val="00EE67FC"/>
    <w:rsid w:val="00EE6A28"/>
    <w:rsid w:val="00EE6B70"/>
    <w:rsid w:val="00EE6E0E"/>
    <w:rsid w:val="00EE74DE"/>
    <w:rsid w:val="00EE7D1E"/>
    <w:rsid w:val="00EE7D50"/>
    <w:rsid w:val="00EF00C9"/>
    <w:rsid w:val="00EF079C"/>
    <w:rsid w:val="00EF0862"/>
    <w:rsid w:val="00EF08CE"/>
    <w:rsid w:val="00EF0C83"/>
    <w:rsid w:val="00EF0FC1"/>
    <w:rsid w:val="00EF1557"/>
    <w:rsid w:val="00EF21E1"/>
    <w:rsid w:val="00EF2509"/>
    <w:rsid w:val="00EF25ED"/>
    <w:rsid w:val="00EF2AA0"/>
    <w:rsid w:val="00EF2D38"/>
    <w:rsid w:val="00EF308B"/>
    <w:rsid w:val="00EF39CF"/>
    <w:rsid w:val="00EF3AC3"/>
    <w:rsid w:val="00EF3DE9"/>
    <w:rsid w:val="00EF403E"/>
    <w:rsid w:val="00EF4703"/>
    <w:rsid w:val="00EF494B"/>
    <w:rsid w:val="00EF4ED5"/>
    <w:rsid w:val="00EF538A"/>
    <w:rsid w:val="00EF53B5"/>
    <w:rsid w:val="00EF5712"/>
    <w:rsid w:val="00EF57B8"/>
    <w:rsid w:val="00EF5DA4"/>
    <w:rsid w:val="00EF5ED3"/>
    <w:rsid w:val="00EF6B95"/>
    <w:rsid w:val="00EF6BDB"/>
    <w:rsid w:val="00EF6E93"/>
    <w:rsid w:val="00F005FB"/>
    <w:rsid w:val="00F0065E"/>
    <w:rsid w:val="00F00C6D"/>
    <w:rsid w:val="00F011A7"/>
    <w:rsid w:val="00F0123E"/>
    <w:rsid w:val="00F014AA"/>
    <w:rsid w:val="00F01765"/>
    <w:rsid w:val="00F020AB"/>
    <w:rsid w:val="00F0210B"/>
    <w:rsid w:val="00F02C34"/>
    <w:rsid w:val="00F02E5F"/>
    <w:rsid w:val="00F039D4"/>
    <w:rsid w:val="00F03D20"/>
    <w:rsid w:val="00F04245"/>
    <w:rsid w:val="00F04741"/>
    <w:rsid w:val="00F05B6D"/>
    <w:rsid w:val="00F066B9"/>
    <w:rsid w:val="00F06834"/>
    <w:rsid w:val="00F06C72"/>
    <w:rsid w:val="00F06CCB"/>
    <w:rsid w:val="00F079DB"/>
    <w:rsid w:val="00F07D30"/>
    <w:rsid w:val="00F07D61"/>
    <w:rsid w:val="00F1049E"/>
    <w:rsid w:val="00F1064F"/>
    <w:rsid w:val="00F10BC4"/>
    <w:rsid w:val="00F10C93"/>
    <w:rsid w:val="00F110A6"/>
    <w:rsid w:val="00F11B53"/>
    <w:rsid w:val="00F12840"/>
    <w:rsid w:val="00F128C4"/>
    <w:rsid w:val="00F12C7B"/>
    <w:rsid w:val="00F13222"/>
    <w:rsid w:val="00F134BD"/>
    <w:rsid w:val="00F135F5"/>
    <w:rsid w:val="00F13645"/>
    <w:rsid w:val="00F13CF1"/>
    <w:rsid w:val="00F1404D"/>
    <w:rsid w:val="00F14314"/>
    <w:rsid w:val="00F1454D"/>
    <w:rsid w:val="00F145A7"/>
    <w:rsid w:val="00F146CF"/>
    <w:rsid w:val="00F15CEC"/>
    <w:rsid w:val="00F15D8D"/>
    <w:rsid w:val="00F16A23"/>
    <w:rsid w:val="00F16B36"/>
    <w:rsid w:val="00F16BAF"/>
    <w:rsid w:val="00F16F87"/>
    <w:rsid w:val="00F1723B"/>
    <w:rsid w:val="00F172BB"/>
    <w:rsid w:val="00F176BA"/>
    <w:rsid w:val="00F177BC"/>
    <w:rsid w:val="00F17F11"/>
    <w:rsid w:val="00F204EC"/>
    <w:rsid w:val="00F2086E"/>
    <w:rsid w:val="00F20A44"/>
    <w:rsid w:val="00F20CAF"/>
    <w:rsid w:val="00F21200"/>
    <w:rsid w:val="00F2123C"/>
    <w:rsid w:val="00F21ABD"/>
    <w:rsid w:val="00F21ACA"/>
    <w:rsid w:val="00F21B40"/>
    <w:rsid w:val="00F21FB7"/>
    <w:rsid w:val="00F21FE2"/>
    <w:rsid w:val="00F221DB"/>
    <w:rsid w:val="00F22A17"/>
    <w:rsid w:val="00F22B9B"/>
    <w:rsid w:val="00F231B5"/>
    <w:rsid w:val="00F232EC"/>
    <w:rsid w:val="00F23609"/>
    <w:rsid w:val="00F236F1"/>
    <w:rsid w:val="00F2397B"/>
    <w:rsid w:val="00F23A8B"/>
    <w:rsid w:val="00F23D1A"/>
    <w:rsid w:val="00F23FC1"/>
    <w:rsid w:val="00F24796"/>
    <w:rsid w:val="00F24DBF"/>
    <w:rsid w:val="00F2565D"/>
    <w:rsid w:val="00F25F53"/>
    <w:rsid w:val="00F26593"/>
    <w:rsid w:val="00F269A1"/>
    <w:rsid w:val="00F26E28"/>
    <w:rsid w:val="00F26E6E"/>
    <w:rsid w:val="00F26F0C"/>
    <w:rsid w:val="00F270FA"/>
    <w:rsid w:val="00F2D20B"/>
    <w:rsid w:val="00F30024"/>
    <w:rsid w:val="00F3035C"/>
    <w:rsid w:val="00F30BE4"/>
    <w:rsid w:val="00F30C1E"/>
    <w:rsid w:val="00F30E1E"/>
    <w:rsid w:val="00F3117C"/>
    <w:rsid w:val="00F31557"/>
    <w:rsid w:val="00F3165B"/>
    <w:rsid w:val="00F3190A"/>
    <w:rsid w:val="00F31AF3"/>
    <w:rsid w:val="00F31C1D"/>
    <w:rsid w:val="00F326D5"/>
    <w:rsid w:val="00F32908"/>
    <w:rsid w:val="00F32F63"/>
    <w:rsid w:val="00F3311B"/>
    <w:rsid w:val="00F3324F"/>
    <w:rsid w:val="00F3326B"/>
    <w:rsid w:val="00F33705"/>
    <w:rsid w:val="00F345DC"/>
    <w:rsid w:val="00F34A12"/>
    <w:rsid w:val="00F35181"/>
    <w:rsid w:val="00F354AC"/>
    <w:rsid w:val="00F35813"/>
    <w:rsid w:val="00F358F3"/>
    <w:rsid w:val="00F35A05"/>
    <w:rsid w:val="00F364AF"/>
    <w:rsid w:val="00F364E7"/>
    <w:rsid w:val="00F36AED"/>
    <w:rsid w:val="00F36D53"/>
    <w:rsid w:val="00F36E29"/>
    <w:rsid w:val="00F370C8"/>
    <w:rsid w:val="00F37782"/>
    <w:rsid w:val="00F37B73"/>
    <w:rsid w:val="00F37CC1"/>
    <w:rsid w:val="00F4052E"/>
    <w:rsid w:val="00F407DA"/>
    <w:rsid w:val="00F40999"/>
    <w:rsid w:val="00F40AD3"/>
    <w:rsid w:val="00F40ED2"/>
    <w:rsid w:val="00F40ED8"/>
    <w:rsid w:val="00F422F7"/>
    <w:rsid w:val="00F42BBF"/>
    <w:rsid w:val="00F42BE3"/>
    <w:rsid w:val="00F42E22"/>
    <w:rsid w:val="00F42F93"/>
    <w:rsid w:val="00F4306F"/>
    <w:rsid w:val="00F434F4"/>
    <w:rsid w:val="00F43BF7"/>
    <w:rsid w:val="00F4422C"/>
    <w:rsid w:val="00F44C1E"/>
    <w:rsid w:val="00F44CDA"/>
    <w:rsid w:val="00F45067"/>
    <w:rsid w:val="00F4507D"/>
    <w:rsid w:val="00F45419"/>
    <w:rsid w:val="00F45910"/>
    <w:rsid w:val="00F46366"/>
    <w:rsid w:val="00F464C9"/>
    <w:rsid w:val="00F46D2E"/>
    <w:rsid w:val="00F46E1C"/>
    <w:rsid w:val="00F46E4C"/>
    <w:rsid w:val="00F473BB"/>
    <w:rsid w:val="00F4758C"/>
    <w:rsid w:val="00F479E7"/>
    <w:rsid w:val="00F5056B"/>
    <w:rsid w:val="00F506D4"/>
    <w:rsid w:val="00F50F92"/>
    <w:rsid w:val="00F5156B"/>
    <w:rsid w:val="00F518E0"/>
    <w:rsid w:val="00F51949"/>
    <w:rsid w:val="00F51EFB"/>
    <w:rsid w:val="00F51FC5"/>
    <w:rsid w:val="00F52337"/>
    <w:rsid w:val="00F535F8"/>
    <w:rsid w:val="00F53618"/>
    <w:rsid w:val="00F5372C"/>
    <w:rsid w:val="00F537B8"/>
    <w:rsid w:val="00F537DF"/>
    <w:rsid w:val="00F53B92"/>
    <w:rsid w:val="00F53C8D"/>
    <w:rsid w:val="00F53EAD"/>
    <w:rsid w:val="00F541E8"/>
    <w:rsid w:val="00F5441E"/>
    <w:rsid w:val="00F5466A"/>
    <w:rsid w:val="00F54A30"/>
    <w:rsid w:val="00F54CC9"/>
    <w:rsid w:val="00F555F3"/>
    <w:rsid w:val="00F55B7B"/>
    <w:rsid w:val="00F56937"/>
    <w:rsid w:val="00F56C38"/>
    <w:rsid w:val="00F57373"/>
    <w:rsid w:val="00F579D7"/>
    <w:rsid w:val="00F6032E"/>
    <w:rsid w:val="00F60422"/>
    <w:rsid w:val="00F60483"/>
    <w:rsid w:val="00F60FE7"/>
    <w:rsid w:val="00F616F9"/>
    <w:rsid w:val="00F61920"/>
    <w:rsid w:val="00F62B9B"/>
    <w:rsid w:val="00F631EA"/>
    <w:rsid w:val="00F63229"/>
    <w:rsid w:val="00F63392"/>
    <w:rsid w:val="00F63548"/>
    <w:rsid w:val="00F639AC"/>
    <w:rsid w:val="00F63A72"/>
    <w:rsid w:val="00F6470B"/>
    <w:rsid w:val="00F6474B"/>
    <w:rsid w:val="00F648D2"/>
    <w:rsid w:val="00F64E03"/>
    <w:rsid w:val="00F64F56"/>
    <w:rsid w:val="00F65625"/>
    <w:rsid w:val="00F66177"/>
    <w:rsid w:val="00F663AF"/>
    <w:rsid w:val="00F666DA"/>
    <w:rsid w:val="00F66B9A"/>
    <w:rsid w:val="00F66DB9"/>
    <w:rsid w:val="00F67082"/>
    <w:rsid w:val="00F67209"/>
    <w:rsid w:val="00F67268"/>
    <w:rsid w:val="00F6757A"/>
    <w:rsid w:val="00F67959"/>
    <w:rsid w:val="00F67E2E"/>
    <w:rsid w:val="00F7062E"/>
    <w:rsid w:val="00F70727"/>
    <w:rsid w:val="00F70DEA"/>
    <w:rsid w:val="00F710E2"/>
    <w:rsid w:val="00F7113B"/>
    <w:rsid w:val="00F71799"/>
    <w:rsid w:val="00F71C48"/>
    <w:rsid w:val="00F72F6A"/>
    <w:rsid w:val="00F7305F"/>
    <w:rsid w:val="00F73511"/>
    <w:rsid w:val="00F73577"/>
    <w:rsid w:val="00F73918"/>
    <w:rsid w:val="00F7480F"/>
    <w:rsid w:val="00F7485C"/>
    <w:rsid w:val="00F74AC1"/>
    <w:rsid w:val="00F75157"/>
    <w:rsid w:val="00F756F3"/>
    <w:rsid w:val="00F758B4"/>
    <w:rsid w:val="00F758BA"/>
    <w:rsid w:val="00F76471"/>
    <w:rsid w:val="00F768D4"/>
    <w:rsid w:val="00F76E69"/>
    <w:rsid w:val="00F76E9A"/>
    <w:rsid w:val="00F7782E"/>
    <w:rsid w:val="00F77ADA"/>
    <w:rsid w:val="00F77D29"/>
    <w:rsid w:val="00F77FFC"/>
    <w:rsid w:val="00F80C51"/>
    <w:rsid w:val="00F80E86"/>
    <w:rsid w:val="00F81660"/>
    <w:rsid w:val="00F81794"/>
    <w:rsid w:val="00F818CE"/>
    <w:rsid w:val="00F82663"/>
    <w:rsid w:val="00F82713"/>
    <w:rsid w:val="00F827B4"/>
    <w:rsid w:val="00F82929"/>
    <w:rsid w:val="00F829A5"/>
    <w:rsid w:val="00F82A93"/>
    <w:rsid w:val="00F83223"/>
    <w:rsid w:val="00F83A18"/>
    <w:rsid w:val="00F83AC7"/>
    <w:rsid w:val="00F840A3"/>
    <w:rsid w:val="00F85333"/>
    <w:rsid w:val="00F854E1"/>
    <w:rsid w:val="00F856B8"/>
    <w:rsid w:val="00F85DE9"/>
    <w:rsid w:val="00F86045"/>
    <w:rsid w:val="00F86153"/>
    <w:rsid w:val="00F865C7"/>
    <w:rsid w:val="00F86A38"/>
    <w:rsid w:val="00F86A43"/>
    <w:rsid w:val="00F86BB3"/>
    <w:rsid w:val="00F875DF"/>
    <w:rsid w:val="00F87BCD"/>
    <w:rsid w:val="00F87DB9"/>
    <w:rsid w:val="00F906A5"/>
    <w:rsid w:val="00F9072F"/>
    <w:rsid w:val="00F917EF"/>
    <w:rsid w:val="00F920FB"/>
    <w:rsid w:val="00F92C02"/>
    <w:rsid w:val="00F93157"/>
    <w:rsid w:val="00F93C65"/>
    <w:rsid w:val="00F93EFE"/>
    <w:rsid w:val="00F940F2"/>
    <w:rsid w:val="00F945AF"/>
    <w:rsid w:val="00F94A73"/>
    <w:rsid w:val="00F94BDC"/>
    <w:rsid w:val="00F95257"/>
    <w:rsid w:val="00F95DF6"/>
    <w:rsid w:val="00F9650E"/>
    <w:rsid w:val="00F970AE"/>
    <w:rsid w:val="00F97143"/>
    <w:rsid w:val="00F971B4"/>
    <w:rsid w:val="00F972CF"/>
    <w:rsid w:val="00F97501"/>
    <w:rsid w:val="00F97535"/>
    <w:rsid w:val="00F9772A"/>
    <w:rsid w:val="00F977BD"/>
    <w:rsid w:val="00F97ADA"/>
    <w:rsid w:val="00F97ED6"/>
    <w:rsid w:val="00FA00B2"/>
    <w:rsid w:val="00FA0DE3"/>
    <w:rsid w:val="00FA1443"/>
    <w:rsid w:val="00FA1467"/>
    <w:rsid w:val="00FA1734"/>
    <w:rsid w:val="00FA194B"/>
    <w:rsid w:val="00FA1BEF"/>
    <w:rsid w:val="00FA2829"/>
    <w:rsid w:val="00FA359A"/>
    <w:rsid w:val="00FA35D7"/>
    <w:rsid w:val="00FA3D92"/>
    <w:rsid w:val="00FA4005"/>
    <w:rsid w:val="00FA47D6"/>
    <w:rsid w:val="00FA4912"/>
    <w:rsid w:val="00FA4FEB"/>
    <w:rsid w:val="00FA5074"/>
    <w:rsid w:val="00FA51CA"/>
    <w:rsid w:val="00FA57DC"/>
    <w:rsid w:val="00FA5A51"/>
    <w:rsid w:val="00FA5BFA"/>
    <w:rsid w:val="00FA5C8A"/>
    <w:rsid w:val="00FA61CF"/>
    <w:rsid w:val="00FA6266"/>
    <w:rsid w:val="00FA6E00"/>
    <w:rsid w:val="00FA7433"/>
    <w:rsid w:val="00FA74F1"/>
    <w:rsid w:val="00FA76F1"/>
    <w:rsid w:val="00FA7A0A"/>
    <w:rsid w:val="00FB0A1B"/>
    <w:rsid w:val="00FB11AC"/>
    <w:rsid w:val="00FB2327"/>
    <w:rsid w:val="00FB2432"/>
    <w:rsid w:val="00FB256E"/>
    <w:rsid w:val="00FB2BE4"/>
    <w:rsid w:val="00FB381B"/>
    <w:rsid w:val="00FB3B52"/>
    <w:rsid w:val="00FB3FC7"/>
    <w:rsid w:val="00FB4214"/>
    <w:rsid w:val="00FB456D"/>
    <w:rsid w:val="00FB4ADF"/>
    <w:rsid w:val="00FB4CCA"/>
    <w:rsid w:val="00FB4FB0"/>
    <w:rsid w:val="00FB52CC"/>
    <w:rsid w:val="00FB5700"/>
    <w:rsid w:val="00FB57AF"/>
    <w:rsid w:val="00FB580A"/>
    <w:rsid w:val="00FB5A5D"/>
    <w:rsid w:val="00FB5A8D"/>
    <w:rsid w:val="00FB5AF5"/>
    <w:rsid w:val="00FB5D17"/>
    <w:rsid w:val="00FB5D65"/>
    <w:rsid w:val="00FB5E2F"/>
    <w:rsid w:val="00FB5F7A"/>
    <w:rsid w:val="00FB635F"/>
    <w:rsid w:val="00FB6726"/>
    <w:rsid w:val="00FB68E6"/>
    <w:rsid w:val="00FB6B63"/>
    <w:rsid w:val="00FB6DDB"/>
    <w:rsid w:val="00FB6E85"/>
    <w:rsid w:val="00FB6EE4"/>
    <w:rsid w:val="00FB6FEC"/>
    <w:rsid w:val="00FB700F"/>
    <w:rsid w:val="00FB711A"/>
    <w:rsid w:val="00FB7D44"/>
    <w:rsid w:val="00FC01A7"/>
    <w:rsid w:val="00FC0798"/>
    <w:rsid w:val="00FC0A32"/>
    <w:rsid w:val="00FC0F9D"/>
    <w:rsid w:val="00FC109F"/>
    <w:rsid w:val="00FC1450"/>
    <w:rsid w:val="00FC1600"/>
    <w:rsid w:val="00FC2C29"/>
    <w:rsid w:val="00FC2ECE"/>
    <w:rsid w:val="00FC30F4"/>
    <w:rsid w:val="00FC311F"/>
    <w:rsid w:val="00FC3B9D"/>
    <w:rsid w:val="00FC3FD6"/>
    <w:rsid w:val="00FC4093"/>
    <w:rsid w:val="00FC46B7"/>
    <w:rsid w:val="00FC4722"/>
    <w:rsid w:val="00FC5184"/>
    <w:rsid w:val="00FC574F"/>
    <w:rsid w:val="00FC586F"/>
    <w:rsid w:val="00FC5AFB"/>
    <w:rsid w:val="00FC5ED9"/>
    <w:rsid w:val="00FC6C11"/>
    <w:rsid w:val="00FC71B8"/>
    <w:rsid w:val="00FC71DC"/>
    <w:rsid w:val="00FC768B"/>
    <w:rsid w:val="00FC7728"/>
    <w:rsid w:val="00FC7B01"/>
    <w:rsid w:val="00FC7EC4"/>
    <w:rsid w:val="00FD0513"/>
    <w:rsid w:val="00FD0FB3"/>
    <w:rsid w:val="00FD0FC2"/>
    <w:rsid w:val="00FD189B"/>
    <w:rsid w:val="00FD1979"/>
    <w:rsid w:val="00FD1A42"/>
    <w:rsid w:val="00FD1CCF"/>
    <w:rsid w:val="00FD1E06"/>
    <w:rsid w:val="00FD1F83"/>
    <w:rsid w:val="00FD21B2"/>
    <w:rsid w:val="00FD2752"/>
    <w:rsid w:val="00FD2AE6"/>
    <w:rsid w:val="00FD33C6"/>
    <w:rsid w:val="00FD37A5"/>
    <w:rsid w:val="00FD37F3"/>
    <w:rsid w:val="00FD3F4C"/>
    <w:rsid w:val="00FD3F5A"/>
    <w:rsid w:val="00FD4290"/>
    <w:rsid w:val="00FD4450"/>
    <w:rsid w:val="00FD4987"/>
    <w:rsid w:val="00FD4D4C"/>
    <w:rsid w:val="00FD510B"/>
    <w:rsid w:val="00FD5230"/>
    <w:rsid w:val="00FD53F5"/>
    <w:rsid w:val="00FD5ABF"/>
    <w:rsid w:val="00FD5B55"/>
    <w:rsid w:val="00FD5E5A"/>
    <w:rsid w:val="00FD6687"/>
    <w:rsid w:val="00FD66E9"/>
    <w:rsid w:val="00FD6AB5"/>
    <w:rsid w:val="00FD6B12"/>
    <w:rsid w:val="00FD6D70"/>
    <w:rsid w:val="00FD7024"/>
    <w:rsid w:val="00FD71FF"/>
    <w:rsid w:val="00FD74FA"/>
    <w:rsid w:val="00FD75D0"/>
    <w:rsid w:val="00FD7BDE"/>
    <w:rsid w:val="00FE02E5"/>
    <w:rsid w:val="00FE0404"/>
    <w:rsid w:val="00FE065F"/>
    <w:rsid w:val="00FE0775"/>
    <w:rsid w:val="00FE08FC"/>
    <w:rsid w:val="00FE10FB"/>
    <w:rsid w:val="00FE177A"/>
    <w:rsid w:val="00FE1C7E"/>
    <w:rsid w:val="00FE281E"/>
    <w:rsid w:val="00FE2C35"/>
    <w:rsid w:val="00FE3123"/>
    <w:rsid w:val="00FE3124"/>
    <w:rsid w:val="00FE34DF"/>
    <w:rsid w:val="00FE34E3"/>
    <w:rsid w:val="00FE3804"/>
    <w:rsid w:val="00FE44BE"/>
    <w:rsid w:val="00FE4D6C"/>
    <w:rsid w:val="00FE536C"/>
    <w:rsid w:val="00FE56CB"/>
    <w:rsid w:val="00FE5856"/>
    <w:rsid w:val="00FE5C30"/>
    <w:rsid w:val="00FE60CB"/>
    <w:rsid w:val="00FE65C3"/>
    <w:rsid w:val="00FE6B2A"/>
    <w:rsid w:val="00FE718D"/>
    <w:rsid w:val="00FE776A"/>
    <w:rsid w:val="00FF09A7"/>
    <w:rsid w:val="00FF0ACC"/>
    <w:rsid w:val="00FF0C2F"/>
    <w:rsid w:val="00FF1364"/>
    <w:rsid w:val="00FF292F"/>
    <w:rsid w:val="00FF369E"/>
    <w:rsid w:val="00FF39C7"/>
    <w:rsid w:val="00FF43AE"/>
    <w:rsid w:val="00FF451A"/>
    <w:rsid w:val="00FF478F"/>
    <w:rsid w:val="00FF47C5"/>
    <w:rsid w:val="00FF4B94"/>
    <w:rsid w:val="00FF5121"/>
    <w:rsid w:val="00FF5198"/>
    <w:rsid w:val="00FF52A0"/>
    <w:rsid w:val="00FF52B1"/>
    <w:rsid w:val="00FF5379"/>
    <w:rsid w:val="00FF54A3"/>
    <w:rsid w:val="00FF581C"/>
    <w:rsid w:val="00FF59A5"/>
    <w:rsid w:val="00FF5C3E"/>
    <w:rsid w:val="00FF633A"/>
    <w:rsid w:val="00FF65B6"/>
    <w:rsid w:val="00FF6811"/>
    <w:rsid w:val="00FF6F9A"/>
    <w:rsid w:val="00FF7178"/>
    <w:rsid w:val="00FF7778"/>
    <w:rsid w:val="00FF79A0"/>
    <w:rsid w:val="00FF7ED3"/>
    <w:rsid w:val="0127310E"/>
    <w:rsid w:val="012814A2"/>
    <w:rsid w:val="015834CF"/>
    <w:rsid w:val="0176C020"/>
    <w:rsid w:val="0195FCC3"/>
    <w:rsid w:val="01BFD075"/>
    <w:rsid w:val="01C1A4AB"/>
    <w:rsid w:val="01CD7031"/>
    <w:rsid w:val="01FBCDAF"/>
    <w:rsid w:val="0207ED13"/>
    <w:rsid w:val="02082008"/>
    <w:rsid w:val="024F401C"/>
    <w:rsid w:val="026DB7E2"/>
    <w:rsid w:val="02703440"/>
    <w:rsid w:val="02AFD3F3"/>
    <w:rsid w:val="02DBD68C"/>
    <w:rsid w:val="0318060B"/>
    <w:rsid w:val="03366FD5"/>
    <w:rsid w:val="035E63F6"/>
    <w:rsid w:val="0376EC6D"/>
    <w:rsid w:val="039B24BB"/>
    <w:rsid w:val="03AE66A9"/>
    <w:rsid w:val="03B943F4"/>
    <w:rsid w:val="03C17E0C"/>
    <w:rsid w:val="0430133C"/>
    <w:rsid w:val="043778ED"/>
    <w:rsid w:val="0471C12F"/>
    <w:rsid w:val="04AD6DA1"/>
    <w:rsid w:val="04B6AE4B"/>
    <w:rsid w:val="050FE32B"/>
    <w:rsid w:val="05155B55"/>
    <w:rsid w:val="051D5B95"/>
    <w:rsid w:val="051D61F2"/>
    <w:rsid w:val="05519B1F"/>
    <w:rsid w:val="0585775C"/>
    <w:rsid w:val="059B634E"/>
    <w:rsid w:val="05AF34F2"/>
    <w:rsid w:val="0660CA80"/>
    <w:rsid w:val="066F8544"/>
    <w:rsid w:val="06BB1946"/>
    <w:rsid w:val="06C170BE"/>
    <w:rsid w:val="06EB187A"/>
    <w:rsid w:val="06FFFB34"/>
    <w:rsid w:val="072923D2"/>
    <w:rsid w:val="07332559"/>
    <w:rsid w:val="07421C82"/>
    <w:rsid w:val="07834516"/>
    <w:rsid w:val="07969962"/>
    <w:rsid w:val="07D89720"/>
    <w:rsid w:val="07E4FC37"/>
    <w:rsid w:val="07E5EBB6"/>
    <w:rsid w:val="07F29C2D"/>
    <w:rsid w:val="08441AF6"/>
    <w:rsid w:val="0847B887"/>
    <w:rsid w:val="086162D7"/>
    <w:rsid w:val="088784C0"/>
    <w:rsid w:val="08B006FC"/>
    <w:rsid w:val="08F607A2"/>
    <w:rsid w:val="0916C260"/>
    <w:rsid w:val="091F9581"/>
    <w:rsid w:val="0930AF09"/>
    <w:rsid w:val="0941476D"/>
    <w:rsid w:val="0957C02E"/>
    <w:rsid w:val="096C2197"/>
    <w:rsid w:val="09A36673"/>
    <w:rsid w:val="09A3B478"/>
    <w:rsid w:val="09E52F23"/>
    <w:rsid w:val="09E7681C"/>
    <w:rsid w:val="09EBC3BD"/>
    <w:rsid w:val="09FCF27C"/>
    <w:rsid w:val="0A466E38"/>
    <w:rsid w:val="0A851D27"/>
    <w:rsid w:val="0ABAE5D8"/>
    <w:rsid w:val="0B07F84C"/>
    <w:rsid w:val="0B0D95A9"/>
    <w:rsid w:val="0B186D4E"/>
    <w:rsid w:val="0B626CDC"/>
    <w:rsid w:val="0B6426A9"/>
    <w:rsid w:val="0B6F96EA"/>
    <w:rsid w:val="0B75290E"/>
    <w:rsid w:val="0B95DBE5"/>
    <w:rsid w:val="0BA4834B"/>
    <w:rsid w:val="0BA52CF2"/>
    <w:rsid w:val="0BBD5459"/>
    <w:rsid w:val="0BC62F1A"/>
    <w:rsid w:val="0C163C89"/>
    <w:rsid w:val="0C1F6B37"/>
    <w:rsid w:val="0C4AD0C6"/>
    <w:rsid w:val="0C8AAE3E"/>
    <w:rsid w:val="0C9BCE71"/>
    <w:rsid w:val="0C9BD756"/>
    <w:rsid w:val="0CC3808C"/>
    <w:rsid w:val="0CCD03EF"/>
    <w:rsid w:val="0CDB14E8"/>
    <w:rsid w:val="0CE0CD43"/>
    <w:rsid w:val="0CF3A87D"/>
    <w:rsid w:val="0CFB7836"/>
    <w:rsid w:val="0D00DAA0"/>
    <w:rsid w:val="0D0D315F"/>
    <w:rsid w:val="0D2F075D"/>
    <w:rsid w:val="0D522F65"/>
    <w:rsid w:val="0D9AC13D"/>
    <w:rsid w:val="0DA04D1A"/>
    <w:rsid w:val="0DB571DC"/>
    <w:rsid w:val="0DC70046"/>
    <w:rsid w:val="0DDEE36A"/>
    <w:rsid w:val="0E22D787"/>
    <w:rsid w:val="0E755BF5"/>
    <w:rsid w:val="0EBE7076"/>
    <w:rsid w:val="0EBFD640"/>
    <w:rsid w:val="0ECBF75E"/>
    <w:rsid w:val="0EE6498D"/>
    <w:rsid w:val="0F27ABCA"/>
    <w:rsid w:val="0F309D51"/>
    <w:rsid w:val="0F492CF8"/>
    <w:rsid w:val="0F75C695"/>
    <w:rsid w:val="0FA2DA7F"/>
    <w:rsid w:val="0FC4E0A9"/>
    <w:rsid w:val="1001A699"/>
    <w:rsid w:val="10206B0D"/>
    <w:rsid w:val="104175C1"/>
    <w:rsid w:val="1044D221"/>
    <w:rsid w:val="106AA699"/>
    <w:rsid w:val="10911D46"/>
    <w:rsid w:val="10AACF5E"/>
    <w:rsid w:val="10C764CB"/>
    <w:rsid w:val="10CA30FE"/>
    <w:rsid w:val="10F1E50F"/>
    <w:rsid w:val="116037AF"/>
    <w:rsid w:val="1177C239"/>
    <w:rsid w:val="117D5E71"/>
    <w:rsid w:val="118194ED"/>
    <w:rsid w:val="118B23B3"/>
    <w:rsid w:val="119A9771"/>
    <w:rsid w:val="1210F307"/>
    <w:rsid w:val="12304D82"/>
    <w:rsid w:val="123AC5A3"/>
    <w:rsid w:val="129AC576"/>
    <w:rsid w:val="12A6079A"/>
    <w:rsid w:val="12BE000E"/>
    <w:rsid w:val="12EF3062"/>
    <w:rsid w:val="12FED4A9"/>
    <w:rsid w:val="133CEDE3"/>
    <w:rsid w:val="1349C1A4"/>
    <w:rsid w:val="13524230"/>
    <w:rsid w:val="1358FA82"/>
    <w:rsid w:val="1368CC6A"/>
    <w:rsid w:val="13710DAD"/>
    <w:rsid w:val="13728E8F"/>
    <w:rsid w:val="137D27AC"/>
    <w:rsid w:val="13B3C679"/>
    <w:rsid w:val="13CBCC3D"/>
    <w:rsid w:val="141D441C"/>
    <w:rsid w:val="143E4DE5"/>
    <w:rsid w:val="147035D6"/>
    <w:rsid w:val="148B8204"/>
    <w:rsid w:val="14942833"/>
    <w:rsid w:val="14A6CBD8"/>
    <w:rsid w:val="14C96550"/>
    <w:rsid w:val="14F40959"/>
    <w:rsid w:val="1500DE4A"/>
    <w:rsid w:val="1509D1A7"/>
    <w:rsid w:val="153CDFB7"/>
    <w:rsid w:val="1543ED55"/>
    <w:rsid w:val="157901DE"/>
    <w:rsid w:val="15A5D322"/>
    <w:rsid w:val="15F3CAED"/>
    <w:rsid w:val="1644A6CB"/>
    <w:rsid w:val="166CDD67"/>
    <w:rsid w:val="1695F2C6"/>
    <w:rsid w:val="16999615"/>
    <w:rsid w:val="16A23FF0"/>
    <w:rsid w:val="16A564D9"/>
    <w:rsid w:val="1703F70F"/>
    <w:rsid w:val="171670FE"/>
    <w:rsid w:val="1728D4A3"/>
    <w:rsid w:val="1741A383"/>
    <w:rsid w:val="17499109"/>
    <w:rsid w:val="174E74A1"/>
    <w:rsid w:val="17CA998B"/>
    <w:rsid w:val="17ED6ABE"/>
    <w:rsid w:val="17FB6775"/>
    <w:rsid w:val="18AF0109"/>
    <w:rsid w:val="18DF7DCD"/>
    <w:rsid w:val="18EE6AF8"/>
    <w:rsid w:val="18F61FE7"/>
    <w:rsid w:val="19350F00"/>
    <w:rsid w:val="196BECDD"/>
    <w:rsid w:val="1988491D"/>
    <w:rsid w:val="19E36834"/>
    <w:rsid w:val="19F09AAB"/>
    <w:rsid w:val="1A000C00"/>
    <w:rsid w:val="1A473C5C"/>
    <w:rsid w:val="1A67EE52"/>
    <w:rsid w:val="1A95F1E3"/>
    <w:rsid w:val="1B0B132F"/>
    <w:rsid w:val="1B946AE9"/>
    <w:rsid w:val="1BCCABE4"/>
    <w:rsid w:val="1BDCCA3A"/>
    <w:rsid w:val="1BFE5967"/>
    <w:rsid w:val="1C815501"/>
    <w:rsid w:val="1CA99C3A"/>
    <w:rsid w:val="1CC5D34C"/>
    <w:rsid w:val="1CD06E21"/>
    <w:rsid w:val="1CD0B7D3"/>
    <w:rsid w:val="1CD35A5D"/>
    <w:rsid w:val="1CF133A8"/>
    <w:rsid w:val="1CF911E8"/>
    <w:rsid w:val="1D1A6017"/>
    <w:rsid w:val="1D8D7404"/>
    <w:rsid w:val="1DA720E8"/>
    <w:rsid w:val="1DC61AFE"/>
    <w:rsid w:val="1DE028D5"/>
    <w:rsid w:val="1E25A62B"/>
    <w:rsid w:val="1E5114D4"/>
    <w:rsid w:val="1ED40834"/>
    <w:rsid w:val="1EE27181"/>
    <w:rsid w:val="1F292F5E"/>
    <w:rsid w:val="1F2F3089"/>
    <w:rsid w:val="1F7043F8"/>
    <w:rsid w:val="1F7B55B2"/>
    <w:rsid w:val="1F7F8298"/>
    <w:rsid w:val="1FD56B04"/>
    <w:rsid w:val="1FF63C5C"/>
    <w:rsid w:val="20346E32"/>
    <w:rsid w:val="20511696"/>
    <w:rsid w:val="2062EA75"/>
    <w:rsid w:val="2091BF0F"/>
    <w:rsid w:val="20A166F3"/>
    <w:rsid w:val="20A38941"/>
    <w:rsid w:val="20D85A12"/>
    <w:rsid w:val="20DFF79B"/>
    <w:rsid w:val="214CD2EF"/>
    <w:rsid w:val="215EEF78"/>
    <w:rsid w:val="217CC6B8"/>
    <w:rsid w:val="21AEDB44"/>
    <w:rsid w:val="21C5AA7C"/>
    <w:rsid w:val="221AE5BC"/>
    <w:rsid w:val="221B27F3"/>
    <w:rsid w:val="22268F01"/>
    <w:rsid w:val="22451946"/>
    <w:rsid w:val="22502FD2"/>
    <w:rsid w:val="22B75DDA"/>
    <w:rsid w:val="22C9AC27"/>
    <w:rsid w:val="2390D233"/>
    <w:rsid w:val="239D7783"/>
    <w:rsid w:val="23D0721F"/>
    <w:rsid w:val="2407FF54"/>
    <w:rsid w:val="240AE481"/>
    <w:rsid w:val="241163C3"/>
    <w:rsid w:val="2444C1AF"/>
    <w:rsid w:val="248FDD19"/>
    <w:rsid w:val="24B078AD"/>
    <w:rsid w:val="24D0E534"/>
    <w:rsid w:val="24F6B9EE"/>
    <w:rsid w:val="2514AD30"/>
    <w:rsid w:val="251DD2C9"/>
    <w:rsid w:val="256471E1"/>
    <w:rsid w:val="256EE5E5"/>
    <w:rsid w:val="2585116A"/>
    <w:rsid w:val="2587BEDA"/>
    <w:rsid w:val="25AA8ADE"/>
    <w:rsid w:val="25AFD3C5"/>
    <w:rsid w:val="25C4A799"/>
    <w:rsid w:val="25D030F6"/>
    <w:rsid w:val="25DEBA21"/>
    <w:rsid w:val="2601466E"/>
    <w:rsid w:val="261E29DF"/>
    <w:rsid w:val="267719D8"/>
    <w:rsid w:val="267C8761"/>
    <w:rsid w:val="26848040"/>
    <w:rsid w:val="268F604D"/>
    <w:rsid w:val="269A6825"/>
    <w:rsid w:val="26F47864"/>
    <w:rsid w:val="26F90918"/>
    <w:rsid w:val="26FE917A"/>
    <w:rsid w:val="270303B2"/>
    <w:rsid w:val="271EDA9D"/>
    <w:rsid w:val="2736AAF4"/>
    <w:rsid w:val="27471F36"/>
    <w:rsid w:val="274FE94E"/>
    <w:rsid w:val="275BB57B"/>
    <w:rsid w:val="275C61C8"/>
    <w:rsid w:val="276EC361"/>
    <w:rsid w:val="2786A3F1"/>
    <w:rsid w:val="278E0C87"/>
    <w:rsid w:val="27C0836B"/>
    <w:rsid w:val="27E72CC5"/>
    <w:rsid w:val="27EDC317"/>
    <w:rsid w:val="2811A386"/>
    <w:rsid w:val="28237DAA"/>
    <w:rsid w:val="284EFB45"/>
    <w:rsid w:val="2851FE5E"/>
    <w:rsid w:val="2857D154"/>
    <w:rsid w:val="28DE9558"/>
    <w:rsid w:val="2922AD4D"/>
    <w:rsid w:val="29776FD0"/>
    <w:rsid w:val="29A21F39"/>
    <w:rsid w:val="29ADC239"/>
    <w:rsid w:val="29C66B0B"/>
    <w:rsid w:val="29E07FEA"/>
    <w:rsid w:val="2A4473BD"/>
    <w:rsid w:val="2A7BD933"/>
    <w:rsid w:val="2AAD64E5"/>
    <w:rsid w:val="2AB009FB"/>
    <w:rsid w:val="2AE23865"/>
    <w:rsid w:val="2AEADC67"/>
    <w:rsid w:val="2B0DA8CD"/>
    <w:rsid w:val="2B3D204B"/>
    <w:rsid w:val="2B4D5C3E"/>
    <w:rsid w:val="2B5AE49A"/>
    <w:rsid w:val="2B60C27C"/>
    <w:rsid w:val="2BBD4789"/>
    <w:rsid w:val="2BC13429"/>
    <w:rsid w:val="2C3E6EAC"/>
    <w:rsid w:val="2C4165DC"/>
    <w:rsid w:val="2C58A502"/>
    <w:rsid w:val="2C7125E5"/>
    <w:rsid w:val="2C8CCC09"/>
    <w:rsid w:val="2CA3562E"/>
    <w:rsid w:val="2CF2138B"/>
    <w:rsid w:val="2CF2E306"/>
    <w:rsid w:val="2D11D8B5"/>
    <w:rsid w:val="2D48E868"/>
    <w:rsid w:val="2D5A19F3"/>
    <w:rsid w:val="2D663C1C"/>
    <w:rsid w:val="2D6B00E7"/>
    <w:rsid w:val="2DA57ED8"/>
    <w:rsid w:val="2DACE6D6"/>
    <w:rsid w:val="2DB7ABEA"/>
    <w:rsid w:val="2DCB3F83"/>
    <w:rsid w:val="2DF04506"/>
    <w:rsid w:val="2E0555A1"/>
    <w:rsid w:val="2E2A0C2D"/>
    <w:rsid w:val="2E2E33AA"/>
    <w:rsid w:val="2E3FB036"/>
    <w:rsid w:val="2E42622A"/>
    <w:rsid w:val="2E5D552F"/>
    <w:rsid w:val="2E881753"/>
    <w:rsid w:val="2EA23546"/>
    <w:rsid w:val="2EB6846A"/>
    <w:rsid w:val="2EB89EF4"/>
    <w:rsid w:val="2F0D40B9"/>
    <w:rsid w:val="2F14F473"/>
    <w:rsid w:val="2F2ADC27"/>
    <w:rsid w:val="2F416476"/>
    <w:rsid w:val="2F6AC6B8"/>
    <w:rsid w:val="2F87B900"/>
    <w:rsid w:val="2FAA4B11"/>
    <w:rsid w:val="2FC66328"/>
    <w:rsid w:val="2FD4CA50"/>
    <w:rsid w:val="2FD7BC67"/>
    <w:rsid w:val="2FDCE766"/>
    <w:rsid w:val="2FE7ABCB"/>
    <w:rsid w:val="2FF6AF00"/>
    <w:rsid w:val="301EE73E"/>
    <w:rsid w:val="30214B2E"/>
    <w:rsid w:val="3033B356"/>
    <w:rsid w:val="30354BEE"/>
    <w:rsid w:val="305B22BF"/>
    <w:rsid w:val="305F01E8"/>
    <w:rsid w:val="307F621D"/>
    <w:rsid w:val="3086622E"/>
    <w:rsid w:val="309AC476"/>
    <w:rsid w:val="30A69991"/>
    <w:rsid w:val="30B9FC7C"/>
    <w:rsid w:val="30C35EB8"/>
    <w:rsid w:val="30F5AFBD"/>
    <w:rsid w:val="30FAD5BD"/>
    <w:rsid w:val="3139E373"/>
    <w:rsid w:val="3184E614"/>
    <w:rsid w:val="31A8B801"/>
    <w:rsid w:val="31AC9BC6"/>
    <w:rsid w:val="31B16999"/>
    <w:rsid w:val="31B5A8E1"/>
    <w:rsid w:val="31B7E690"/>
    <w:rsid w:val="31D2A9E9"/>
    <w:rsid w:val="31D94429"/>
    <w:rsid w:val="31F5BA25"/>
    <w:rsid w:val="3210D8BB"/>
    <w:rsid w:val="321808D6"/>
    <w:rsid w:val="32199719"/>
    <w:rsid w:val="3219FF15"/>
    <w:rsid w:val="321B6B12"/>
    <w:rsid w:val="323286F2"/>
    <w:rsid w:val="32494923"/>
    <w:rsid w:val="32C4DA41"/>
    <w:rsid w:val="32EF7232"/>
    <w:rsid w:val="32FC4AD7"/>
    <w:rsid w:val="33370CB0"/>
    <w:rsid w:val="333F0E9C"/>
    <w:rsid w:val="33562494"/>
    <w:rsid w:val="3379B546"/>
    <w:rsid w:val="33C32C38"/>
    <w:rsid w:val="33C36B04"/>
    <w:rsid w:val="33F26069"/>
    <w:rsid w:val="34062079"/>
    <w:rsid w:val="342EDA6E"/>
    <w:rsid w:val="346DC2F5"/>
    <w:rsid w:val="34737A1F"/>
    <w:rsid w:val="34AF809B"/>
    <w:rsid w:val="34DA5A3E"/>
    <w:rsid w:val="34EC70B0"/>
    <w:rsid w:val="3513717B"/>
    <w:rsid w:val="3523023B"/>
    <w:rsid w:val="353C99A4"/>
    <w:rsid w:val="354520A7"/>
    <w:rsid w:val="3547A024"/>
    <w:rsid w:val="3551EE33"/>
    <w:rsid w:val="35639841"/>
    <w:rsid w:val="3583318C"/>
    <w:rsid w:val="358B2761"/>
    <w:rsid w:val="360DA74C"/>
    <w:rsid w:val="360DF3AC"/>
    <w:rsid w:val="36161D52"/>
    <w:rsid w:val="366B6464"/>
    <w:rsid w:val="366CEA21"/>
    <w:rsid w:val="36974975"/>
    <w:rsid w:val="36B32A59"/>
    <w:rsid w:val="36D2B837"/>
    <w:rsid w:val="36D57B44"/>
    <w:rsid w:val="36DFBA55"/>
    <w:rsid w:val="37010704"/>
    <w:rsid w:val="376DBEE8"/>
    <w:rsid w:val="37985AB8"/>
    <w:rsid w:val="37A86431"/>
    <w:rsid w:val="37B5C1A7"/>
    <w:rsid w:val="37CFFD61"/>
    <w:rsid w:val="38145EE4"/>
    <w:rsid w:val="384BC8E8"/>
    <w:rsid w:val="3886E225"/>
    <w:rsid w:val="388F706D"/>
    <w:rsid w:val="38ABEE8A"/>
    <w:rsid w:val="38BFB311"/>
    <w:rsid w:val="38D06B23"/>
    <w:rsid w:val="38E14AE9"/>
    <w:rsid w:val="38F3232A"/>
    <w:rsid w:val="38FD5DF8"/>
    <w:rsid w:val="3910CBA0"/>
    <w:rsid w:val="39727E74"/>
    <w:rsid w:val="39801274"/>
    <w:rsid w:val="39873F7E"/>
    <w:rsid w:val="39BB471C"/>
    <w:rsid w:val="39C39DEF"/>
    <w:rsid w:val="39D0E5E8"/>
    <w:rsid w:val="39DECD40"/>
    <w:rsid w:val="39EC4394"/>
    <w:rsid w:val="39FEC60E"/>
    <w:rsid w:val="3A151AFB"/>
    <w:rsid w:val="3A1745E1"/>
    <w:rsid w:val="3A306668"/>
    <w:rsid w:val="3A3E7FDD"/>
    <w:rsid w:val="3A421EFA"/>
    <w:rsid w:val="3A6D4C58"/>
    <w:rsid w:val="3A71E615"/>
    <w:rsid w:val="3A87D0F0"/>
    <w:rsid w:val="3B01630C"/>
    <w:rsid w:val="3B4C9A1F"/>
    <w:rsid w:val="3B591146"/>
    <w:rsid w:val="3B81DCB8"/>
    <w:rsid w:val="3B866F32"/>
    <w:rsid w:val="3B9D3977"/>
    <w:rsid w:val="3B9F0AAF"/>
    <w:rsid w:val="3BA8CA43"/>
    <w:rsid w:val="3C0BA82F"/>
    <w:rsid w:val="3C151FDB"/>
    <w:rsid w:val="3C306ADD"/>
    <w:rsid w:val="3C8589A6"/>
    <w:rsid w:val="3C965478"/>
    <w:rsid w:val="3C996A1D"/>
    <w:rsid w:val="3CCE9D83"/>
    <w:rsid w:val="3CE08818"/>
    <w:rsid w:val="3CF2A0C6"/>
    <w:rsid w:val="3CF37160"/>
    <w:rsid w:val="3D0C7899"/>
    <w:rsid w:val="3D25F5BA"/>
    <w:rsid w:val="3D862C93"/>
    <w:rsid w:val="3DF8E574"/>
    <w:rsid w:val="3E074386"/>
    <w:rsid w:val="3E1CE3C8"/>
    <w:rsid w:val="3E45FFF5"/>
    <w:rsid w:val="3E6B4B6B"/>
    <w:rsid w:val="3E896255"/>
    <w:rsid w:val="3EBFB4B7"/>
    <w:rsid w:val="3ECCFD0D"/>
    <w:rsid w:val="3ED0B04D"/>
    <w:rsid w:val="3EF1FDE2"/>
    <w:rsid w:val="3F5C9D40"/>
    <w:rsid w:val="3F77CBBB"/>
    <w:rsid w:val="3F7B2ADD"/>
    <w:rsid w:val="3FAC4DD6"/>
    <w:rsid w:val="3FAD2EFA"/>
    <w:rsid w:val="3FBA95CF"/>
    <w:rsid w:val="3FC3AC0E"/>
    <w:rsid w:val="3FDFEAAC"/>
    <w:rsid w:val="3FEF2D64"/>
    <w:rsid w:val="3FF2CA2D"/>
    <w:rsid w:val="40221745"/>
    <w:rsid w:val="4033CAA0"/>
    <w:rsid w:val="4036B083"/>
    <w:rsid w:val="405B8518"/>
    <w:rsid w:val="40711A11"/>
    <w:rsid w:val="40A1063A"/>
    <w:rsid w:val="40CA6857"/>
    <w:rsid w:val="40DC137E"/>
    <w:rsid w:val="40E0AA10"/>
    <w:rsid w:val="40FC3A9A"/>
    <w:rsid w:val="4113C2E8"/>
    <w:rsid w:val="414DBB10"/>
    <w:rsid w:val="41503DAC"/>
    <w:rsid w:val="4161D321"/>
    <w:rsid w:val="416B284F"/>
    <w:rsid w:val="41B70C13"/>
    <w:rsid w:val="41B9A905"/>
    <w:rsid w:val="41F75579"/>
    <w:rsid w:val="4213013B"/>
    <w:rsid w:val="4246411C"/>
    <w:rsid w:val="4249B818"/>
    <w:rsid w:val="426F0CE9"/>
    <w:rsid w:val="427276F1"/>
    <w:rsid w:val="42792E24"/>
    <w:rsid w:val="427B6B55"/>
    <w:rsid w:val="429B341B"/>
    <w:rsid w:val="429C5741"/>
    <w:rsid w:val="43018197"/>
    <w:rsid w:val="431819B0"/>
    <w:rsid w:val="43417DFC"/>
    <w:rsid w:val="434E2857"/>
    <w:rsid w:val="434F6E4C"/>
    <w:rsid w:val="4355A434"/>
    <w:rsid w:val="436C5050"/>
    <w:rsid w:val="438E2718"/>
    <w:rsid w:val="43D248C4"/>
    <w:rsid w:val="43D27CC3"/>
    <w:rsid w:val="43DFED3C"/>
    <w:rsid w:val="43F07BE1"/>
    <w:rsid w:val="4401BE79"/>
    <w:rsid w:val="4421AC65"/>
    <w:rsid w:val="442EC35C"/>
    <w:rsid w:val="442FA8C1"/>
    <w:rsid w:val="44341C0B"/>
    <w:rsid w:val="44C3CB43"/>
    <w:rsid w:val="452C5CAF"/>
    <w:rsid w:val="4537E1AC"/>
    <w:rsid w:val="453858F1"/>
    <w:rsid w:val="4553E074"/>
    <w:rsid w:val="45815C05"/>
    <w:rsid w:val="4595A9C2"/>
    <w:rsid w:val="45BB7B10"/>
    <w:rsid w:val="45E439AF"/>
    <w:rsid w:val="4605FBB9"/>
    <w:rsid w:val="460CBC4A"/>
    <w:rsid w:val="46600C77"/>
    <w:rsid w:val="466F7F89"/>
    <w:rsid w:val="46745483"/>
    <w:rsid w:val="4677DFA8"/>
    <w:rsid w:val="4700A302"/>
    <w:rsid w:val="47012B01"/>
    <w:rsid w:val="4717A20D"/>
    <w:rsid w:val="47CB5972"/>
    <w:rsid w:val="47CCD77F"/>
    <w:rsid w:val="47F57FC2"/>
    <w:rsid w:val="481DC0D6"/>
    <w:rsid w:val="484462D4"/>
    <w:rsid w:val="4845B92F"/>
    <w:rsid w:val="4850F5D4"/>
    <w:rsid w:val="488181D4"/>
    <w:rsid w:val="489437C8"/>
    <w:rsid w:val="48CC4FC6"/>
    <w:rsid w:val="48D5F34C"/>
    <w:rsid w:val="48E4FB0A"/>
    <w:rsid w:val="48E6579C"/>
    <w:rsid w:val="49071DF8"/>
    <w:rsid w:val="497A35DF"/>
    <w:rsid w:val="4987BA40"/>
    <w:rsid w:val="49BB178B"/>
    <w:rsid w:val="49C6B363"/>
    <w:rsid w:val="49DBAD20"/>
    <w:rsid w:val="49E2C733"/>
    <w:rsid w:val="4AD79E44"/>
    <w:rsid w:val="4AEDD190"/>
    <w:rsid w:val="4AF6BBBE"/>
    <w:rsid w:val="4B10BE4C"/>
    <w:rsid w:val="4B164FBD"/>
    <w:rsid w:val="4B1B4BF9"/>
    <w:rsid w:val="4B1CC3B9"/>
    <w:rsid w:val="4B5106C4"/>
    <w:rsid w:val="4B5DAC80"/>
    <w:rsid w:val="4BA49236"/>
    <w:rsid w:val="4BAE6431"/>
    <w:rsid w:val="4BB51795"/>
    <w:rsid w:val="4BC1B58C"/>
    <w:rsid w:val="4BCAFCD7"/>
    <w:rsid w:val="4BE0B401"/>
    <w:rsid w:val="4BF8FFF5"/>
    <w:rsid w:val="4C2C44C4"/>
    <w:rsid w:val="4C383E8F"/>
    <w:rsid w:val="4C3FD2FA"/>
    <w:rsid w:val="4C944789"/>
    <w:rsid w:val="4CC0A7A2"/>
    <w:rsid w:val="4CCB94EC"/>
    <w:rsid w:val="4CF3BF4C"/>
    <w:rsid w:val="4D11389A"/>
    <w:rsid w:val="4D947924"/>
    <w:rsid w:val="4DB9A4FF"/>
    <w:rsid w:val="4DC94C3F"/>
    <w:rsid w:val="4E05C183"/>
    <w:rsid w:val="4E1384A8"/>
    <w:rsid w:val="4E18BADF"/>
    <w:rsid w:val="4E34EB14"/>
    <w:rsid w:val="4EB03BE5"/>
    <w:rsid w:val="4ED34237"/>
    <w:rsid w:val="4F0AC7D2"/>
    <w:rsid w:val="4F140A15"/>
    <w:rsid w:val="4F58251B"/>
    <w:rsid w:val="4F6393E6"/>
    <w:rsid w:val="4F910639"/>
    <w:rsid w:val="4FC5FD78"/>
    <w:rsid w:val="4FD77B1E"/>
    <w:rsid w:val="5005CA63"/>
    <w:rsid w:val="50081F35"/>
    <w:rsid w:val="50113CB7"/>
    <w:rsid w:val="50168956"/>
    <w:rsid w:val="5028344A"/>
    <w:rsid w:val="504463B9"/>
    <w:rsid w:val="504D542D"/>
    <w:rsid w:val="5089F093"/>
    <w:rsid w:val="50A4BC56"/>
    <w:rsid w:val="50BEB39A"/>
    <w:rsid w:val="50D17BE8"/>
    <w:rsid w:val="50D6995B"/>
    <w:rsid w:val="50DAA79B"/>
    <w:rsid w:val="51414FEA"/>
    <w:rsid w:val="5173C0B8"/>
    <w:rsid w:val="519391B0"/>
    <w:rsid w:val="51A88EEE"/>
    <w:rsid w:val="51BC143B"/>
    <w:rsid w:val="51EA5AF1"/>
    <w:rsid w:val="523C8843"/>
    <w:rsid w:val="5254D5F7"/>
    <w:rsid w:val="5255CC5D"/>
    <w:rsid w:val="525A83FB"/>
    <w:rsid w:val="525CD9EF"/>
    <w:rsid w:val="5285C159"/>
    <w:rsid w:val="528E788E"/>
    <w:rsid w:val="529BFB15"/>
    <w:rsid w:val="52A3E00C"/>
    <w:rsid w:val="52B9B837"/>
    <w:rsid w:val="52BE0210"/>
    <w:rsid w:val="52C3DACD"/>
    <w:rsid w:val="5327086A"/>
    <w:rsid w:val="5336F857"/>
    <w:rsid w:val="53D91DC9"/>
    <w:rsid w:val="543F0266"/>
    <w:rsid w:val="5461A65B"/>
    <w:rsid w:val="546A4560"/>
    <w:rsid w:val="547ABF58"/>
    <w:rsid w:val="5482D69C"/>
    <w:rsid w:val="54D7751E"/>
    <w:rsid w:val="54E6DD53"/>
    <w:rsid w:val="5517BEB0"/>
    <w:rsid w:val="551C6C0D"/>
    <w:rsid w:val="55225F78"/>
    <w:rsid w:val="555B0292"/>
    <w:rsid w:val="55A0E9D3"/>
    <w:rsid w:val="55D15248"/>
    <w:rsid w:val="55DBB732"/>
    <w:rsid w:val="55E0B369"/>
    <w:rsid w:val="55E55885"/>
    <w:rsid w:val="55E867B9"/>
    <w:rsid w:val="55F220DA"/>
    <w:rsid w:val="561ACD46"/>
    <w:rsid w:val="561FB49B"/>
    <w:rsid w:val="563CF5B8"/>
    <w:rsid w:val="564F48DA"/>
    <w:rsid w:val="5654D471"/>
    <w:rsid w:val="56788744"/>
    <w:rsid w:val="568F2AF0"/>
    <w:rsid w:val="56990CD1"/>
    <w:rsid w:val="56A8625D"/>
    <w:rsid w:val="56BC00AD"/>
    <w:rsid w:val="570576F6"/>
    <w:rsid w:val="571408D2"/>
    <w:rsid w:val="57429AED"/>
    <w:rsid w:val="576E630F"/>
    <w:rsid w:val="5780556F"/>
    <w:rsid w:val="57A2B525"/>
    <w:rsid w:val="57C0597B"/>
    <w:rsid w:val="57D9BC89"/>
    <w:rsid w:val="57EA0F10"/>
    <w:rsid w:val="5824AB0B"/>
    <w:rsid w:val="5844658F"/>
    <w:rsid w:val="5862B7F0"/>
    <w:rsid w:val="587AC6D2"/>
    <w:rsid w:val="58AE56D0"/>
    <w:rsid w:val="590F8E2E"/>
    <w:rsid w:val="59242718"/>
    <w:rsid w:val="59429C00"/>
    <w:rsid w:val="596EAA43"/>
    <w:rsid w:val="599A2586"/>
    <w:rsid w:val="59A33B34"/>
    <w:rsid w:val="59C071E3"/>
    <w:rsid w:val="59E61A45"/>
    <w:rsid w:val="59EE12F0"/>
    <w:rsid w:val="5A066459"/>
    <w:rsid w:val="5A4207F0"/>
    <w:rsid w:val="5A64DA1F"/>
    <w:rsid w:val="5AA671C7"/>
    <w:rsid w:val="5AC0C1C0"/>
    <w:rsid w:val="5ADD3603"/>
    <w:rsid w:val="5ADE8D94"/>
    <w:rsid w:val="5AF1EF5D"/>
    <w:rsid w:val="5B08CD18"/>
    <w:rsid w:val="5B0C151F"/>
    <w:rsid w:val="5B2A53BC"/>
    <w:rsid w:val="5B5690B3"/>
    <w:rsid w:val="5B60F383"/>
    <w:rsid w:val="5B66A421"/>
    <w:rsid w:val="5B80C6E0"/>
    <w:rsid w:val="5B894FB1"/>
    <w:rsid w:val="5BE279E5"/>
    <w:rsid w:val="5BE6E75E"/>
    <w:rsid w:val="5C258018"/>
    <w:rsid w:val="5C33DFF8"/>
    <w:rsid w:val="5C457E59"/>
    <w:rsid w:val="5C555C56"/>
    <w:rsid w:val="5C67F133"/>
    <w:rsid w:val="5C775BC0"/>
    <w:rsid w:val="5C7A1E47"/>
    <w:rsid w:val="5C7EB93C"/>
    <w:rsid w:val="5C8EBCBC"/>
    <w:rsid w:val="5CA1EC2E"/>
    <w:rsid w:val="5CC26784"/>
    <w:rsid w:val="5CD4BFFE"/>
    <w:rsid w:val="5CDDF844"/>
    <w:rsid w:val="5CE6E329"/>
    <w:rsid w:val="5D35C784"/>
    <w:rsid w:val="5D62F27E"/>
    <w:rsid w:val="5D6331B3"/>
    <w:rsid w:val="5D9CC048"/>
    <w:rsid w:val="5DB56073"/>
    <w:rsid w:val="5DC6ECFA"/>
    <w:rsid w:val="5E3EDBDB"/>
    <w:rsid w:val="5E9FE030"/>
    <w:rsid w:val="5EA8ED0D"/>
    <w:rsid w:val="5EB24C70"/>
    <w:rsid w:val="5ECB4671"/>
    <w:rsid w:val="5ED36B17"/>
    <w:rsid w:val="5EEF9BD4"/>
    <w:rsid w:val="5EFF9779"/>
    <w:rsid w:val="5F11D082"/>
    <w:rsid w:val="5F32C409"/>
    <w:rsid w:val="5F3F92D1"/>
    <w:rsid w:val="5F5FA540"/>
    <w:rsid w:val="5F78A032"/>
    <w:rsid w:val="5FD6594B"/>
    <w:rsid w:val="5FE4786E"/>
    <w:rsid w:val="5FEC332D"/>
    <w:rsid w:val="60394F07"/>
    <w:rsid w:val="604638E3"/>
    <w:rsid w:val="606211ED"/>
    <w:rsid w:val="6063A848"/>
    <w:rsid w:val="606EF4B9"/>
    <w:rsid w:val="607DA3E6"/>
    <w:rsid w:val="60A41B61"/>
    <w:rsid w:val="60A7AC10"/>
    <w:rsid w:val="60B4EBCE"/>
    <w:rsid w:val="60C9C49E"/>
    <w:rsid w:val="60F6C706"/>
    <w:rsid w:val="61069BAB"/>
    <w:rsid w:val="6112B215"/>
    <w:rsid w:val="61284CCF"/>
    <w:rsid w:val="6129C5E7"/>
    <w:rsid w:val="616D663E"/>
    <w:rsid w:val="6191EEE1"/>
    <w:rsid w:val="61A97F15"/>
    <w:rsid w:val="61B9BB12"/>
    <w:rsid w:val="61D55157"/>
    <w:rsid w:val="61D6E5D0"/>
    <w:rsid w:val="61EC07D3"/>
    <w:rsid w:val="61F2299D"/>
    <w:rsid w:val="62094B04"/>
    <w:rsid w:val="621E48FD"/>
    <w:rsid w:val="62365481"/>
    <w:rsid w:val="62379AD8"/>
    <w:rsid w:val="6250CA7F"/>
    <w:rsid w:val="625B2C10"/>
    <w:rsid w:val="626D661E"/>
    <w:rsid w:val="627CF2CC"/>
    <w:rsid w:val="62994990"/>
    <w:rsid w:val="62AA58B8"/>
    <w:rsid w:val="62B237FC"/>
    <w:rsid w:val="62CD3D95"/>
    <w:rsid w:val="62CD50EB"/>
    <w:rsid w:val="630608C3"/>
    <w:rsid w:val="631C519A"/>
    <w:rsid w:val="633BC1C9"/>
    <w:rsid w:val="635A9B43"/>
    <w:rsid w:val="63793D64"/>
    <w:rsid w:val="6381EA26"/>
    <w:rsid w:val="639F02FF"/>
    <w:rsid w:val="63B0470C"/>
    <w:rsid w:val="63B46CEE"/>
    <w:rsid w:val="63C9B145"/>
    <w:rsid w:val="63DA3B44"/>
    <w:rsid w:val="63F3A772"/>
    <w:rsid w:val="641465AC"/>
    <w:rsid w:val="6426D833"/>
    <w:rsid w:val="64309796"/>
    <w:rsid w:val="6436864A"/>
    <w:rsid w:val="644EA5A6"/>
    <w:rsid w:val="6462606C"/>
    <w:rsid w:val="646A0DB9"/>
    <w:rsid w:val="6477B300"/>
    <w:rsid w:val="648319D5"/>
    <w:rsid w:val="648D9746"/>
    <w:rsid w:val="64C94C88"/>
    <w:rsid w:val="651349A7"/>
    <w:rsid w:val="6554388A"/>
    <w:rsid w:val="65543D78"/>
    <w:rsid w:val="65BDCBF3"/>
    <w:rsid w:val="65D71F41"/>
    <w:rsid w:val="6616F494"/>
    <w:rsid w:val="66271206"/>
    <w:rsid w:val="6639EC4B"/>
    <w:rsid w:val="6649CF2F"/>
    <w:rsid w:val="664A7DA4"/>
    <w:rsid w:val="666202DB"/>
    <w:rsid w:val="66625152"/>
    <w:rsid w:val="66A7619B"/>
    <w:rsid w:val="66BC30DF"/>
    <w:rsid w:val="66E7BCBC"/>
    <w:rsid w:val="66FB73E2"/>
    <w:rsid w:val="66FD9050"/>
    <w:rsid w:val="6724662E"/>
    <w:rsid w:val="672DE3F7"/>
    <w:rsid w:val="6736A9A8"/>
    <w:rsid w:val="673A0232"/>
    <w:rsid w:val="6759CFF1"/>
    <w:rsid w:val="678283E5"/>
    <w:rsid w:val="6799EB06"/>
    <w:rsid w:val="67A43465"/>
    <w:rsid w:val="67B56FEC"/>
    <w:rsid w:val="67C06DEF"/>
    <w:rsid w:val="67D1F930"/>
    <w:rsid w:val="6887FE6D"/>
    <w:rsid w:val="690DB31E"/>
    <w:rsid w:val="6919F89A"/>
    <w:rsid w:val="69289E64"/>
    <w:rsid w:val="69296292"/>
    <w:rsid w:val="693EDDE3"/>
    <w:rsid w:val="69464B49"/>
    <w:rsid w:val="696A1819"/>
    <w:rsid w:val="697699E6"/>
    <w:rsid w:val="697BBE5E"/>
    <w:rsid w:val="69D78DD0"/>
    <w:rsid w:val="6A0B944D"/>
    <w:rsid w:val="6A124793"/>
    <w:rsid w:val="6A1F932F"/>
    <w:rsid w:val="6A6403F0"/>
    <w:rsid w:val="6A727EA3"/>
    <w:rsid w:val="6AB9B5FF"/>
    <w:rsid w:val="6ABF78F8"/>
    <w:rsid w:val="6ACD7969"/>
    <w:rsid w:val="6AF36642"/>
    <w:rsid w:val="6AF994E3"/>
    <w:rsid w:val="6B2FB899"/>
    <w:rsid w:val="6B35CDED"/>
    <w:rsid w:val="6B4BF359"/>
    <w:rsid w:val="6B637A32"/>
    <w:rsid w:val="6BBB5353"/>
    <w:rsid w:val="6BBF02C9"/>
    <w:rsid w:val="6BBFB652"/>
    <w:rsid w:val="6BDC16EC"/>
    <w:rsid w:val="6C372E37"/>
    <w:rsid w:val="6C75D0E6"/>
    <w:rsid w:val="6C93DF12"/>
    <w:rsid w:val="6CEDD951"/>
    <w:rsid w:val="6CF0CF6E"/>
    <w:rsid w:val="6CF78F23"/>
    <w:rsid w:val="6D1AFB9D"/>
    <w:rsid w:val="6D1C70C5"/>
    <w:rsid w:val="6D495381"/>
    <w:rsid w:val="6D591909"/>
    <w:rsid w:val="6D59402B"/>
    <w:rsid w:val="6D76B630"/>
    <w:rsid w:val="6D79C032"/>
    <w:rsid w:val="6D823272"/>
    <w:rsid w:val="6D909A22"/>
    <w:rsid w:val="6D9D8CD3"/>
    <w:rsid w:val="6DC5FC03"/>
    <w:rsid w:val="6DCD1AF0"/>
    <w:rsid w:val="6DFB1598"/>
    <w:rsid w:val="6E042872"/>
    <w:rsid w:val="6E2FAF73"/>
    <w:rsid w:val="6E621221"/>
    <w:rsid w:val="6E65E516"/>
    <w:rsid w:val="6E6D6C2E"/>
    <w:rsid w:val="6E9A8E82"/>
    <w:rsid w:val="6ECA277C"/>
    <w:rsid w:val="6EE75D3A"/>
    <w:rsid w:val="6F0C63EC"/>
    <w:rsid w:val="6F0FF6C2"/>
    <w:rsid w:val="6F2258CD"/>
    <w:rsid w:val="6F2A4D6A"/>
    <w:rsid w:val="6F9E0C7F"/>
    <w:rsid w:val="6FC38184"/>
    <w:rsid w:val="6FC75BF0"/>
    <w:rsid w:val="6FCCD3CB"/>
    <w:rsid w:val="6FF27D49"/>
    <w:rsid w:val="6FF99B1A"/>
    <w:rsid w:val="70098AA0"/>
    <w:rsid w:val="701043C8"/>
    <w:rsid w:val="7051DF0F"/>
    <w:rsid w:val="7071F4A3"/>
    <w:rsid w:val="7097785C"/>
    <w:rsid w:val="70AA581A"/>
    <w:rsid w:val="70AFEF02"/>
    <w:rsid w:val="71264AB7"/>
    <w:rsid w:val="712CB715"/>
    <w:rsid w:val="7133EA55"/>
    <w:rsid w:val="7142CC1E"/>
    <w:rsid w:val="7151496D"/>
    <w:rsid w:val="719A92DD"/>
    <w:rsid w:val="71CF05FC"/>
    <w:rsid w:val="71DA696B"/>
    <w:rsid w:val="72084123"/>
    <w:rsid w:val="721B6CDC"/>
    <w:rsid w:val="723B4DDA"/>
    <w:rsid w:val="7248E06B"/>
    <w:rsid w:val="72502833"/>
    <w:rsid w:val="725C540E"/>
    <w:rsid w:val="7278090C"/>
    <w:rsid w:val="72D3D069"/>
    <w:rsid w:val="72EFA5ED"/>
    <w:rsid w:val="73113B5F"/>
    <w:rsid w:val="7320A410"/>
    <w:rsid w:val="733569C1"/>
    <w:rsid w:val="73828C30"/>
    <w:rsid w:val="7392D1C5"/>
    <w:rsid w:val="73B29F8B"/>
    <w:rsid w:val="73B98896"/>
    <w:rsid w:val="73BE22DA"/>
    <w:rsid w:val="73CA8269"/>
    <w:rsid w:val="73CEAA54"/>
    <w:rsid w:val="73DC9CF3"/>
    <w:rsid w:val="73E2EC31"/>
    <w:rsid w:val="7444B729"/>
    <w:rsid w:val="7448D3E6"/>
    <w:rsid w:val="745AFB6B"/>
    <w:rsid w:val="748F911F"/>
    <w:rsid w:val="74BF1E15"/>
    <w:rsid w:val="74C7E371"/>
    <w:rsid w:val="7535F184"/>
    <w:rsid w:val="754E2073"/>
    <w:rsid w:val="7559CD12"/>
    <w:rsid w:val="75641339"/>
    <w:rsid w:val="759E04A8"/>
    <w:rsid w:val="75C79686"/>
    <w:rsid w:val="75C82132"/>
    <w:rsid w:val="75E7A030"/>
    <w:rsid w:val="760B0BE5"/>
    <w:rsid w:val="7624F4CF"/>
    <w:rsid w:val="76487B6D"/>
    <w:rsid w:val="76766367"/>
    <w:rsid w:val="769C3314"/>
    <w:rsid w:val="77011B8E"/>
    <w:rsid w:val="77141557"/>
    <w:rsid w:val="77552ED6"/>
    <w:rsid w:val="775C90E8"/>
    <w:rsid w:val="776C49D1"/>
    <w:rsid w:val="7791BA09"/>
    <w:rsid w:val="77B796B4"/>
    <w:rsid w:val="77BBE8D1"/>
    <w:rsid w:val="78488FC1"/>
    <w:rsid w:val="78575D88"/>
    <w:rsid w:val="78693E53"/>
    <w:rsid w:val="78953D4D"/>
    <w:rsid w:val="7897C959"/>
    <w:rsid w:val="78989317"/>
    <w:rsid w:val="78A22EFF"/>
    <w:rsid w:val="78A57B69"/>
    <w:rsid w:val="78A93D5F"/>
    <w:rsid w:val="78CA54AC"/>
    <w:rsid w:val="7901E52D"/>
    <w:rsid w:val="79157F3C"/>
    <w:rsid w:val="7956166B"/>
    <w:rsid w:val="795B3892"/>
    <w:rsid w:val="795FDAE9"/>
    <w:rsid w:val="797F3152"/>
    <w:rsid w:val="79A0BEA9"/>
    <w:rsid w:val="79C9C44B"/>
    <w:rsid w:val="79D2202E"/>
    <w:rsid w:val="79D2CC09"/>
    <w:rsid w:val="7A090243"/>
    <w:rsid w:val="7A373C7F"/>
    <w:rsid w:val="7A39E6AE"/>
    <w:rsid w:val="7A6DD405"/>
    <w:rsid w:val="7A939170"/>
    <w:rsid w:val="7AB49BEE"/>
    <w:rsid w:val="7AD49F12"/>
    <w:rsid w:val="7ADE6146"/>
    <w:rsid w:val="7AF19297"/>
    <w:rsid w:val="7AF4F8F2"/>
    <w:rsid w:val="7B0F6773"/>
    <w:rsid w:val="7B1B1AD3"/>
    <w:rsid w:val="7B352B15"/>
    <w:rsid w:val="7B3B1AF9"/>
    <w:rsid w:val="7B76D61E"/>
    <w:rsid w:val="7B8F2F43"/>
    <w:rsid w:val="7B9CAA60"/>
    <w:rsid w:val="7BB05BE8"/>
    <w:rsid w:val="7BB1340B"/>
    <w:rsid w:val="7BB8112B"/>
    <w:rsid w:val="7BF3D096"/>
    <w:rsid w:val="7C0420EA"/>
    <w:rsid w:val="7C0B3D26"/>
    <w:rsid w:val="7C390312"/>
    <w:rsid w:val="7C503415"/>
    <w:rsid w:val="7C6FF1EE"/>
    <w:rsid w:val="7C7779D1"/>
    <w:rsid w:val="7C79E3F2"/>
    <w:rsid w:val="7CA0718E"/>
    <w:rsid w:val="7CBA3AD4"/>
    <w:rsid w:val="7CD72C84"/>
    <w:rsid w:val="7D07B6EA"/>
    <w:rsid w:val="7D32D5E0"/>
    <w:rsid w:val="7D3E3C2A"/>
    <w:rsid w:val="7D4CAB8C"/>
    <w:rsid w:val="7D541FBC"/>
    <w:rsid w:val="7D5473AD"/>
    <w:rsid w:val="7D91B55B"/>
    <w:rsid w:val="7DBA8539"/>
    <w:rsid w:val="7DC962CB"/>
    <w:rsid w:val="7DDA9128"/>
    <w:rsid w:val="7DF8144B"/>
    <w:rsid w:val="7E1EC94C"/>
    <w:rsid w:val="7E70F12E"/>
    <w:rsid w:val="7E81A924"/>
    <w:rsid w:val="7EA3874B"/>
    <w:rsid w:val="7ECAEED8"/>
    <w:rsid w:val="7ED840B0"/>
    <w:rsid w:val="7EDDB4F4"/>
    <w:rsid w:val="7EE9A7A2"/>
    <w:rsid w:val="7EED1F47"/>
    <w:rsid w:val="7EF9C6EF"/>
    <w:rsid w:val="7F4113E9"/>
    <w:rsid w:val="7F60CB00"/>
    <w:rsid w:val="7F6C35FA"/>
    <w:rsid w:val="7F747E6D"/>
    <w:rsid w:val="7F8BCF36"/>
    <w:rsid w:val="7F8EB103"/>
    <w:rsid w:val="7FBC7267"/>
    <w:rsid w:val="7FF007F5"/>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8B2B24"/>
  <w15:docId w15:val="{75A5EA3F-5B2B-4575-990E-DD7EB19B1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30D0"/>
    <w:pPr>
      <w:spacing w:after="120" w:line="240" w:lineRule="auto"/>
      <w:jc w:val="both"/>
    </w:pPr>
    <w:rPr>
      <w:color w:val="595959" w:themeColor="text2"/>
      <w:sz w:val="20"/>
      <w:lang w:val="en-US"/>
    </w:rPr>
  </w:style>
  <w:style w:type="paragraph" w:styleId="Heading1">
    <w:name w:val="heading 1"/>
    <w:basedOn w:val="Normal"/>
    <w:next w:val="Normal"/>
    <w:link w:val="Heading1Char"/>
    <w:uiPriority w:val="9"/>
    <w:qFormat/>
    <w:rsid w:val="00E85A78"/>
    <w:pPr>
      <w:keepNext/>
      <w:keepLines/>
      <w:pageBreakBefore/>
      <w:numPr>
        <w:numId w:val="16"/>
      </w:numPr>
      <w:spacing w:before="240"/>
      <w:ind w:left="504" w:hanging="504"/>
      <w:jc w:val="left"/>
      <w:outlineLvl w:val="0"/>
    </w:pPr>
    <w:rPr>
      <w:rFonts w:ascii="Calibri" w:eastAsiaTheme="majorEastAsia" w:hAnsi="Calibri" w:cstheme="majorBidi"/>
      <w:color w:val="046B99" w:themeColor="accent5"/>
      <w:sz w:val="44"/>
      <w:szCs w:val="32"/>
    </w:rPr>
  </w:style>
  <w:style w:type="paragraph" w:styleId="Heading2">
    <w:name w:val="heading 2"/>
    <w:basedOn w:val="Normal"/>
    <w:next w:val="Normal"/>
    <w:link w:val="Heading2Char"/>
    <w:uiPriority w:val="9"/>
    <w:unhideWhenUsed/>
    <w:qFormat/>
    <w:rsid w:val="00E85A78"/>
    <w:pPr>
      <w:keepNext/>
      <w:keepLines/>
      <w:numPr>
        <w:ilvl w:val="1"/>
        <w:numId w:val="16"/>
      </w:numPr>
      <w:spacing w:before="200" w:after="80"/>
      <w:outlineLvl w:val="1"/>
    </w:pPr>
    <w:rPr>
      <w:rFonts w:ascii="Calibri" w:eastAsiaTheme="majorEastAsia" w:hAnsi="Calibri" w:cstheme="majorBidi"/>
      <w:color w:val="046B99" w:themeColor="accent5"/>
      <w:sz w:val="24"/>
      <w:szCs w:val="26"/>
    </w:rPr>
  </w:style>
  <w:style w:type="paragraph" w:styleId="Heading3">
    <w:name w:val="heading 3"/>
    <w:basedOn w:val="Normal"/>
    <w:next w:val="Normal"/>
    <w:link w:val="Heading3Char"/>
    <w:uiPriority w:val="9"/>
    <w:unhideWhenUsed/>
    <w:qFormat/>
    <w:rsid w:val="00E85A78"/>
    <w:pPr>
      <w:keepNext/>
      <w:keepLines/>
      <w:numPr>
        <w:ilvl w:val="2"/>
        <w:numId w:val="16"/>
      </w:numPr>
      <w:spacing w:before="240"/>
      <w:outlineLvl w:val="2"/>
    </w:pPr>
    <w:rPr>
      <w:rFonts w:ascii="Calibri" w:eastAsiaTheme="majorEastAsia" w:hAnsi="Calibri" w:cstheme="majorBidi"/>
      <w:color w:val="046B99" w:themeColor="accent5"/>
      <w:sz w:val="22"/>
      <w:szCs w:val="24"/>
    </w:rPr>
  </w:style>
  <w:style w:type="paragraph" w:styleId="Heading4">
    <w:name w:val="heading 4"/>
    <w:basedOn w:val="Normal"/>
    <w:next w:val="Normal"/>
    <w:link w:val="Heading4Char"/>
    <w:uiPriority w:val="9"/>
    <w:unhideWhenUsed/>
    <w:qFormat/>
    <w:rsid w:val="00E85A78"/>
    <w:pPr>
      <w:keepNext/>
      <w:keepLines/>
      <w:numPr>
        <w:ilvl w:val="3"/>
        <w:numId w:val="16"/>
      </w:numPr>
      <w:spacing w:before="240"/>
      <w:ind w:left="0"/>
      <w:outlineLvl w:val="3"/>
    </w:pPr>
    <w:rPr>
      <w:rFonts w:ascii="Calibri" w:eastAsiaTheme="majorEastAsia" w:hAnsi="Calibri" w:cstheme="majorBidi"/>
      <w:iCs/>
      <w:color w:val="046B99" w:themeColor="accent5"/>
      <w:sz w:val="22"/>
    </w:rPr>
  </w:style>
  <w:style w:type="paragraph" w:styleId="Heading5">
    <w:name w:val="heading 5"/>
    <w:basedOn w:val="Heading4"/>
    <w:next w:val="Normal"/>
    <w:link w:val="Heading5Char"/>
    <w:uiPriority w:val="9"/>
    <w:unhideWhenUsed/>
    <w:qFormat/>
    <w:rsid w:val="00311D15"/>
    <w:pPr>
      <w:numPr>
        <w:ilvl w:val="4"/>
      </w:numPr>
      <w:spacing w:before="120"/>
      <w:outlineLvl w:val="4"/>
    </w:pPr>
  </w:style>
  <w:style w:type="paragraph" w:styleId="Heading6">
    <w:name w:val="heading 6"/>
    <w:basedOn w:val="Normal"/>
    <w:next w:val="Normal"/>
    <w:link w:val="Heading6Char"/>
    <w:uiPriority w:val="9"/>
    <w:unhideWhenUsed/>
    <w:qFormat/>
    <w:rsid w:val="00E85A78"/>
    <w:pPr>
      <w:keepNext/>
      <w:keepLines/>
      <w:numPr>
        <w:ilvl w:val="5"/>
        <w:numId w:val="16"/>
      </w:numPr>
      <w:spacing w:before="40" w:after="0"/>
      <w:outlineLvl w:val="5"/>
    </w:pPr>
    <w:rPr>
      <w:rFonts w:ascii="Calibri" w:eastAsiaTheme="majorEastAsia" w:hAnsi="Calibri" w:cstheme="majorBidi"/>
      <w:color w:val="046B99" w:themeColor="accent5"/>
      <w:sz w:val="22"/>
    </w:rPr>
  </w:style>
  <w:style w:type="paragraph" w:styleId="Heading7">
    <w:name w:val="heading 7"/>
    <w:basedOn w:val="Normal"/>
    <w:next w:val="Normal"/>
    <w:link w:val="Heading7Char"/>
    <w:uiPriority w:val="9"/>
    <w:unhideWhenUsed/>
    <w:qFormat/>
    <w:rsid w:val="00E85A78"/>
    <w:pPr>
      <w:keepNext/>
      <w:keepLines/>
      <w:numPr>
        <w:ilvl w:val="6"/>
        <w:numId w:val="16"/>
      </w:numPr>
      <w:spacing w:before="40" w:after="0"/>
      <w:outlineLvl w:val="6"/>
    </w:pPr>
    <w:rPr>
      <w:rFonts w:ascii="Calibri" w:eastAsiaTheme="majorEastAsia" w:hAnsi="Calibri" w:cstheme="majorBidi"/>
      <w:iCs/>
      <w:color w:val="046B99" w:themeColor="accent5"/>
    </w:rPr>
  </w:style>
  <w:style w:type="paragraph" w:styleId="Heading8">
    <w:name w:val="heading 8"/>
    <w:basedOn w:val="Normal"/>
    <w:next w:val="Normal"/>
    <w:link w:val="Heading8Char"/>
    <w:uiPriority w:val="9"/>
    <w:unhideWhenUsed/>
    <w:qFormat/>
    <w:rsid w:val="00E85A78"/>
    <w:pPr>
      <w:keepNext/>
      <w:keepLines/>
      <w:numPr>
        <w:ilvl w:val="7"/>
        <w:numId w:val="16"/>
      </w:numPr>
      <w:spacing w:before="40" w:after="0"/>
      <w:outlineLvl w:val="7"/>
    </w:pPr>
    <w:rPr>
      <w:rFonts w:ascii="Calibri" w:eastAsiaTheme="majorEastAsia" w:hAnsi="Calibri" w:cstheme="majorBidi"/>
      <w:color w:val="046B99" w:themeColor="accent5"/>
      <w:sz w:val="21"/>
      <w:szCs w:val="21"/>
    </w:rPr>
  </w:style>
  <w:style w:type="paragraph" w:styleId="Heading9">
    <w:name w:val="heading 9"/>
    <w:basedOn w:val="Normal"/>
    <w:next w:val="Normal"/>
    <w:link w:val="Heading9Char"/>
    <w:uiPriority w:val="9"/>
    <w:semiHidden/>
    <w:unhideWhenUsed/>
    <w:qFormat/>
    <w:rsid w:val="00311D15"/>
    <w:pPr>
      <w:keepNext/>
      <w:keepLines/>
      <w:numPr>
        <w:ilvl w:val="8"/>
        <w:numId w:val="1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1D15"/>
    <w:pPr>
      <w:tabs>
        <w:tab w:val="center" w:pos="4536"/>
        <w:tab w:val="right" w:pos="9072"/>
      </w:tabs>
      <w:spacing w:after="0"/>
    </w:pPr>
    <w:rPr>
      <w:noProof/>
    </w:rPr>
  </w:style>
  <w:style w:type="character" w:customStyle="1" w:styleId="HeaderChar">
    <w:name w:val="Header Char"/>
    <w:basedOn w:val="DefaultParagraphFont"/>
    <w:link w:val="Header"/>
    <w:uiPriority w:val="99"/>
    <w:rsid w:val="00311D15"/>
    <w:rPr>
      <w:noProof/>
      <w:color w:val="595959" w:themeColor="text2"/>
      <w:sz w:val="20"/>
      <w:lang w:val="en-US"/>
    </w:rPr>
  </w:style>
  <w:style w:type="paragraph" w:styleId="Footer">
    <w:name w:val="footer"/>
    <w:basedOn w:val="Normal"/>
    <w:link w:val="FooterChar"/>
    <w:uiPriority w:val="99"/>
    <w:unhideWhenUsed/>
    <w:rsid w:val="00311D15"/>
    <w:pPr>
      <w:tabs>
        <w:tab w:val="center" w:pos="4536"/>
        <w:tab w:val="right" w:pos="9072"/>
      </w:tabs>
      <w:spacing w:after="0"/>
      <w:jc w:val="right"/>
    </w:pPr>
    <w:rPr>
      <w:sz w:val="16"/>
    </w:rPr>
  </w:style>
  <w:style w:type="character" w:customStyle="1" w:styleId="FooterChar">
    <w:name w:val="Footer Char"/>
    <w:basedOn w:val="DefaultParagraphFont"/>
    <w:link w:val="Footer"/>
    <w:uiPriority w:val="99"/>
    <w:rsid w:val="00311D15"/>
    <w:rPr>
      <w:color w:val="595959" w:themeColor="text2"/>
      <w:sz w:val="16"/>
      <w:lang w:val="en-US"/>
    </w:rPr>
  </w:style>
  <w:style w:type="table" w:styleId="TableGrid">
    <w:name w:val="Table Grid"/>
    <w:basedOn w:val="TableNormal"/>
    <w:uiPriority w:val="39"/>
    <w:rsid w:val="00311D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lue">
    <w:name w:val="Blue"/>
    <w:basedOn w:val="Normal"/>
    <w:link w:val="BlueZchn"/>
    <w:qFormat/>
    <w:rsid w:val="00311D15"/>
    <w:rPr>
      <w:rFonts w:ascii="Manrope SemiBold" w:hAnsi="Manrope SemiBold"/>
      <w:color w:val="046B99" w:themeColor="accent5"/>
    </w:rPr>
  </w:style>
  <w:style w:type="paragraph" w:customStyle="1" w:styleId="Nummerierung">
    <w:name w:val="Nummerierung"/>
    <w:qFormat/>
    <w:rsid w:val="00311D15"/>
    <w:pPr>
      <w:numPr>
        <w:numId w:val="15"/>
      </w:numPr>
      <w:spacing w:after="120"/>
      <w:ind w:left="360"/>
    </w:pPr>
    <w:rPr>
      <w:rFonts w:cs="Arial"/>
      <w:color w:val="595959" w:themeColor="text2"/>
      <w:sz w:val="20"/>
      <w:szCs w:val="20"/>
      <w:lang w:val="en-US"/>
    </w:rPr>
  </w:style>
  <w:style w:type="character" w:customStyle="1" w:styleId="BlueZchn">
    <w:name w:val="Blue Zchn"/>
    <w:basedOn w:val="DefaultParagraphFont"/>
    <w:link w:val="Blue"/>
    <w:rsid w:val="00311D15"/>
    <w:rPr>
      <w:rFonts w:ascii="Manrope SemiBold" w:hAnsi="Manrope SemiBold"/>
      <w:color w:val="046B99" w:themeColor="accent5"/>
      <w:sz w:val="20"/>
      <w:lang w:val="en-US"/>
    </w:rPr>
  </w:style>
  <w:style w:type="paragraph" w:customStyle="1" w:styleId="Link">
    <w:name w:val="Link"/>
    <w:basedOn w:val="Normal"/>
    <w:link w:val="LinkZchn"/>
    <w:rsid w:val="00311D15"/>
    <w:pPr>
      <w:spacing w:after="200"/>
      <w:ind w:right="567"/>
    </w:pPr>
    <w:rPr>
      <w:rFonts w:cs="Arial"/>
      <w:color w:val="FFA600" w:themeColor="accent1"/>
      <w:szCs w:val="20"/>
      <w:u w:val="single"/>
    </w:rPr>
  </w:style>
  <w:style w:type="character" w:customStyle="1" w:styleId="LinkZchn">
    <w:name w:val="Link Zchn"/>
    <w:basedOn w:val="DefaultParagraphFont"/>
    <w:link w:val="Link"/>
    <w:rsid w:val="00311D15"/>
    <w:rPr>
      <w:rFonts w:cs="Arial"/>
      <w:color w:val="FFA600" w:themeColor="accent1"/>
      <w:sz w:val="20"/>
      <w:szCs w:val="20"/>
      <w:u w:val="single"/>
      <w:lang w:val="en-US"/>
    </w:rPr>
  </w:style>
  <w:style w:type="paragraph" w:styleId="ListParagraph">
    <w:name w:val="List Paragraph"/>
    <w:basedOn w:val="Normal"/>
    <w:link w:val="ListParagraphChar"/>
    <w:uiPriority w:val="34"/>
    <w:qFormat/>
    <w:rsid w:val="00311D15"/>
    <w:pPr>
      <w:numPr>
        <w:numId w:val="9"/>
      </w:numPr>
      <w:contextualSpacing/>
    </w:pPr>
  </w:style>
  <w:style w:type="character" w:styleId="CommentReference">
    <w:name w:val="annotation reference"/>
    <w:basedOn w:val="DefaultParagraphFont"/>
    <w:uiPriority w:val="99"/>
    <w:semiHidden/>
    <w:unhideWhenUsed/>
    <w:rsid w:val="00311D15"/>
    <w:rPr>
      <w:sz w:val="16"/>
      <w:szCs w:val="16"/>
    </w:rPr>
  </w:style>
  <w:style w:type="paragraph" w:styleId="CommentSubject">
    <w:name w:val="annotation subject"/>
    <w:basedOn w:val="Normal"/>
    <w:next w:val="Normal"/>
    <w:link w:val="CommentSubjectChar"/>
    <w:uiPriority w:val="99"/>
    <w:semiHidden/>
    <w:unhideWhenUsed/>
    <w:rsid w:val="00311D15"/>
    <w:rPr>
      <w:b/>
      <w:bCs/>
    </w:rPr>
  </w:style>
  <w:style w:type="character" w:customStyle="1" w:styleId="CommentSubjectChar">
    <w:name w:val="Comment Subject Char"/>
    <w:basedOn w:val="DefaultParagraphFont"/>
    <w:link w:val="CommentSubject"/>
    <w:uiPriority w:val="99"/>
    <w:semiHidden/>
    <w:rsid w:val="00311D15"/>
    <w:rPr>
      <w:b/>
      <w:bCs/>
      <w:color w:val="595959" w:themeColor="text2"/>
      <w:sz w:val="20"/>
      <w:lang w:val="en-US"/>
    </w:rPr>
  </w:style>
  <w:style w:type="paragraph" w:styleId="TableofFigures">
    <w:name w:val="table of figures"/>
    <w:basedOn w:val="Normal"/>
    <w:next w:val="Normal"/>
    <w:uiPriority w:val="99"/>
    <w:unhideWhenUsed/>
    <w:rsid w:val="00311D15"/>
    <w:pPr>
      <w:spacing w:after="0"/>
    </w:pPr>
  </w:style>
  <w:style w:type="paragraph" w:styleId="Salutation">
    <w:name w:val="Salutation"/>
    <w:basedOn w:val="Normal"/>
    <w:next w:val="Normal"/>
    <w:link w:val="SalutationChar"/>
    <w:uiPriority w:val="99"/>
    <w:semiHidden/>
    <w:unhideWhenUsed/>
    <w:rsid w:val="00311D15"/>
  </w:style>
  <w:style w:type="character" w:customStyle="1" w:styleId="SalutationChar">
    <w:name w:val="Salutation Char"/>
    <w:basedOn w:val="DefaultParagraphFont"/>
    <w:link w:val="Salutation"/>
    <w:uiPriority w:val="99"/>
    <w:semiHidden/>
    <w:rsid w:val="00311D15"/>
    <w:rPr>
      <w:color w:val="595959" w:themeColor="text2"/>
      <w:sz w:val="20"/>
      <w:lang w:val="en-US"/>
    </w:rPr>
  </w:style>
  <w:style w:type="paragraph" w:styleId="ListBullet">
    <w:name w:val="List Bullet"/>
    <w:basedOn w:val="Normal"/>
    <w:uiPriority w:val="99"/>
    <w:semiHidden/>
    <w:unhideWhenUsed/>
    <w:rsid w:val="00311D15"/>
    <w:pPr>
      <w:numPr>
        <w:numId w:val="4"/>
      </w:numPr>
      <w:contextualSpacing/>
    </w:pPr>
  </w:style>
  <w:style w:type="paragraph" w:styleId="ListBullet2">
    <w:name w:val="List Bullet 2"/>
    <w:basedOn w:val="Normal"/>
    <w:uiPriority w:val="99"/>
    <w:semiHidden/>
    <w:unhideWhenUsed/>
    <w:rsid w:val="00311D15"/>
    <w:pPr>
      <w:numPr>
        <w:numId w:val="5"/>
      </w:numPr>
      <w:tabs>
        <w:tab w:val="clear" w:pos="643"/>
      </w:tabs>
      <w:ind w:left="284" w:hanging="284"/>
      <w:contextualSpacing/>
    </w:pPr>
  </w:style>
  <w:style w:type="paragraph" w:styleId="ListBullet3">
    <w:name w:val="List Bullet 3"/>
    <w:basedOn w:val="Normal"/>
    <w:uiPriority w:val="99"/>
    <w:semiHidden/>
    <w:unhideWhenUsed/>
    <w:rsid w:val="00311D15"/>
    <w:pPr>
      <w:numPr>
        <w:numId w:val="6"/>
      </w:numPr>
      <w:contextualSpacing/>
    </w:pPr>
  </w:style>
  <w:style w:type="paragraph" w:styleId="ListBullet4">
    <w:name w:val="List Bullet 4"/>
    <w:basedOn w:val="Normal"/>
    <w:uiPriority w:val="99"/>
    <w:semiHidden/>
    <w:unhideWhenUsed/>
    <w:rsid w:val="00311D15"/>
    <w:pPr>
      <w:numPr>
        <w:numId w:val="7"/>
      </w:numPr>
      <w:contextualSpacing/>
    </w:pPr>
  </w:style>
  <w:style w:type="paragraph" w:styleId="ListBullet5">
    <w:name w:val="List Bullet 5"/>
    <w:basedOn w:val="Normal"/>
    <w:uiPriority w:val="99"/>
    <w:semiHidden/>
    <w:unhideWhenUsed/>
    <w:rsid w:val="00311D15"/>
    <w:pPr>
      <w:numPr>
        <w:numId w:val="8"/>
      </w:numPr>
      <w:contextualSpacing/>
    </w:pPr>
  </w:style>
  <w:style w:type="paragraph" w:styleId="Caption">
    <w:name w:val="caption"/>
    <w:basedOn w:val="Normal"/>
    <w:next w:val="Normal"/>
    <w:uiPriority w:val="35"/>
    <w:unhideWhenUsed/>
    <w:qFormat/>
    <w:rsid w:val="00727939"/>
    <w:pPr>
      <w:spacing w:before="40" w:after="200"/>
    </w:pPr>
    <w:rPr>
      <w:b/>
      <w:i/>
      <w:iCs/>
      <w:szCs w:val="18"/>
    </w:rPr>
  </w:style>
  <w:style w:type="paragraph" w:styleId="BlockText">
    <w:name w:val="Block Text"/>
    <w:basedOn w:val="Normal"/>
    <w:uiPriority w:val="99"/>
    <w:semiHidden/>
    <w:unhideWhenUsed/>
    <w:rsid w:val="00311D15"/>
    <w:pPr>
      <w:pBdr>
        <w:top w:val="single" w:sz="2" w:space="10" w:color="FFA600" w:themeColor="accent1"/>
        <w:left w:val="single" w:sz="2" w:space="10" w:color="FFA600" w:themeColor="accent1"/>
        <w:bottom w:val="single" w:sz="2" w:space="10" w:color="FFA600" w:themeColor="accent1"/>
        <w:right w:val="single" w:sz="2" w:space="10" w:color="FFA600" w:themeColor="accent1"/>
      </w:pBdr>
      <w:ind w:left="1152" w:right="1152"/>
    </w:pPr>
    <w:rPr>
      <w:rFonts w:eastAsiaTheme="minorEastAsia"/>
      <w:i/>
      <w:iCs/>
      <w:color w:val="FFA600" w:themeColor="accent1"/>
    </w:rPr>
  </w:style>
  <w:style w:type="paragraph" w:styleId="Date">
    <w:name w:val="Date"/>
    <w:basedOn w:val="Normal"/>
    <w:next w:val="Normal"/>
    <w:link w:val="DateChar"/>
    <w:uiPriority w:val="99"/>
    <w:semiHidden/>
    <w:unhideWhenUsed/>
    <w:rsid w:val="00311D15"/>
  </w:style>
  <w:style w:type="character" w:customStyle="1" w:styleId="DateChar">
    <w:name w:val="Date Char"/>
    <w:basedOn w:val="DefaultParagraphFont"/>
    <w:link w:val="Date"/>
    <w:uiPriority w:val="99"/>
    <w:semiHidden/>
    <w:rsid w:val="00311D15"/>
    <w:rPr>
      <w:color w:val="595959" w:themeColor="text2"/>
      <w:sz w:val="20"/>
      <w:lang w:val="en-US"/>
    </w:rPr>
  </w:style>
  <w:style w:type="paragraph" w:styleId="DocumentMap">
    <w:name w:val="Document Map"/>
    <w:basedOn w:val="Normal"/>
    <w:link w:val="DocumentMapChar"/>
    <w:uiPriority w:val="99"/>
    <w:semiHidden/>
    <w:unhideWhenUsed/>
    <w:rsid w:val="00311D15"/>
    <w:pPr>
      <w:spacing w:after="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311D15"/>
    <w:rPr>
      <w:rFonts w:ascii="Segoe UI" w:hAnsi="Segoe UI" w:cs="Segoe UI"/>
      <w:color w:val="595959" w:themeColor="text2"/>
      <w:sz w:val="16"/>
      <w:szCs w:val="16"/>
      <w:lang w:val="en-US"/>
    </w:rPr>
  </w:style>
  <w:style w:type="paragraph" w:styleId="E-mailSignature">
    <w:name w:val="E-mail Signature"/>
    <w:basedOn w:val="Normal"/>
    <w:link w:val="E-mailSignatureChar"/>
    <w:uiPriority w:val="99"/>
    <w:semiHidden/>
    <w:unhideWhenUsed/>
    <w:rsid w:val="00311D15"/>
    <w:pPr>
      <w:spacing w:after="0"/>
    </w:pPr>
  </w:style>
  <w:style w:type="character" w:customStyle="1" w:styleId="E-mailSignatureChar">
    <w:name w:val="E-mail Signature Char"/>
    <w:basedOn w:val="DefaultParagraphFont"/>
    <w:link w:val="E-mailSignature"/>
    <w:uiPriority w:val="99"/>
    <w:semiHidden/>
    <w:rsid w:val="00311D15"/>
    <w:rPr>
      <w:color w:val="595959" w:themeColor="text2"/>
      <w:sz w:val="20"/>
      <w:lang w:val="en-US"/>
    </w:rPr>
  </w:style>
  <w:style w:type="paragraph" w:styleId="EndnoteText">
    <w:name w:val="endnote text"/>
    <w:basedOn w:val="Normal"/>
    <w:link w:val="EndnoteTextChar"/>
    <w:uiPriority w:val="99"/>
    <w:semiHidden/>
    <w:unhideWhenUsed/>
    <w:rsid w:val="00311D15"/>
    <w:pPr>
      <w:spacing w:after="0"/>
    </w:pPr>
    <w:rPr>
      <w:szCs w:val="20"/>
    </w:rPr>
  </w:style>
  <w:style w:type="character" w:customStyle="1" w:styleId="EndnoteTextChar">
    <w:name w:val="Endnote Text Char"/>
    <w:basedOn w:val="DefaultParagraphFont"/>
    <w:link w:val="EndnoteText"/>
    <w:uiPriority w:val="99"/>
    <w:semiHidden/>
    <w:rsid w:val="00311D15"/>
    <w:rPr>
      <w:color w:val="595959" w:themeColor="text2"/>
      <w:sz w:val="20"/>
      <w:szCs w:val="20"/>
      <w:lang w:val="en-US"/>
    </w:rPr>
  </w:style>
  <w:style w:type="paragraph" w:styleId="NoteHeading">
    <w:name w:val="Note Heading"/>
    <w:basedOn w:val="Normal"/>
    <w:next w:val="Normal"/>
    <w:link w:val="NoteHeadingChar"/>
    <w:uiPriority w:val="99"/>
    <w:semiHidden/>
    <w:unhideWhenUsed/>
    <w:rsid w:val="00311D15"/>
    <w:pPr>
      <w:spacing w:after="0"/>
    </w:pPr>
  </w:style>
  <w:style w:type="character" w:customStyle="1" w:styleId="NoteHeadingChar">
    <w:name w:val="Note Heading Char"/>
    <w:basedOn w:val="DefaultParagraphFont"/>
    <w:link w:val="NoteHeading"/>
    <w:uiPriority w:val="99"/>
    <w:semiHidden/>
    <w:rsid w:val="00311D15"/>
    <w:rPr>
      <w:color w:val="595959" w:themeColor="text2"/>
      <w:sz w:val="20"/>
      <w:lang w:val="en-US"/>
    </w:rPr>
  </w:style>
  <w:style w:type="paragraph" w:styleId="FootnoteText">
    <w:name w:val="footnote text"/>
    <w:basedOn w:val="Normal"/>
    <w:link w:val="FootnoteTextChar"/>
    <w:uiPriority w:val="99"/>
    <w:unhideWhenUsed/>
    <w:rsid w:val="00311D15"/>
    <w:pPr>
      <w:spacing w:after="0"/>
    </w:pPr>
    <w:rPr>
      <w:sz w:val="16"/>
      <w:szCs w:val="20"/>
    </w:rPr>
  </w:style>
  <w:style w:type="character" w:customStyle="1" w:styleId="FootnoteTextChar">
    <w:name w:val="Footnote Text Char"/>
    <w:basedOn w:val="DefaultParagraphFont"/>
    <w:link w:val="FootnoteText"/>
    <w:uiPriority w:val="99"/>
    <w:rsid w:val="00311D15"/>
    <w:rPr>
      <w:color w:val="595959" w:themeColor="text2"/>
      <w:sz w:val="16"/>
      <w:szCs w:val="20"/>
      <w:lang w:val="en-US"/>
    </w:rPr>
  </w:style>
  <w:style w:type="paragraph" w:styleId="Closing">
    <w:name w:val="Closing"/>
    <w:basedOn w:val="Normal"/>
    <w:link w:val="ClosingChar"/>
    <w:uiPriority w:val="99"/>
    <w:semiHidden/>
    <w:unhideWhenUsed/>
    <w:rsid w:val="00311D15"/>
    <w:pPr>
      <w:spacing w:after="0"/>
      <w:ind w:left="4252"/>
    </w:pPr>
  </w:style>
  <w:style w:type="character" w:customStyle="1" w:styleId="ClosingChar">
    <w:name w:val="Closing Char"/>
    <w:basedOn w:val="DefaultParagraphFont"/>
    <w:link w:val="Closing"/>
    <w:uiPriority w:val="99"/>
    <w:semiHidden/>
    <w:rsid w:val="00311D15"/>
    <w:rPr>
      <w:color w:val="595959" w:themeColor="text2"/>
      <w:sz w:val="20"/>
      <w:lang w:val="en-US"/>
    </w:rPr>
  </w:style>
  <w:style w:type="paragraph" w:styleId="HTMLAddress">
    <w:name w:val="HTML Address"/>
    <w:basedOn w:val="Normal"/>
    <w:link w:val="HTMLAddressChar"/>
    <w:uiPriority w:val="99"/>
    <w:semiHidden/>
    <w:unhideWhenUsed/>
    <w:rsid w:val="00311D15"/>
    <w:pPr>
      <w:spacing w:after="0"/>
    </w:pPr>
    <w:rPr>
      <w:i/>
      <w:iCs/>
    </w:rPr>
  </w:style>
  <w:style w:type="character" w:customStyle="1" w:styleId="HTMLAddressChar">
    <w:name w:val="HTML Address Char"/>
    <w:basedOn w:val="DefaultParagraphFont"/>
    <w:link w:val="HTMLAddress"/>
    <w:uiPriority w:val="99"/>
    <w:semiHidden/>
    <w:rsid w:val="00311D15"/>
    <w:rPr>
      <w:i/>
      <w:iCs/>
      <w:color w:val="595959" w:themeColor="text2"/>
      <w:sz w:val="20"/>
      <w:lang w:val="en-US"/>
    </w:rPr>
  </w:style>
  <w:style w:type="paragraph" w:styleId="HTMLPreformatted">
    <w:name w:val="HTML Preformatted"/>
    <w:basedOn w:val="Normal"/>
    <w:link w:val="HTMLPreformattedChar"/>
    <w:uiPriority w:val="99"/>
    <w:semiHidden/>
    <w:unhideWhenUsed/>
    <w:rsid w:val="00311D15"/>
    <w:pPr>
      <w:spacing w:after="0"/>
    </w:pPr>
    <w:rPr>
      <w:rFonts w:ascii="Consolas" w:hAnsi="Consolas"/>
      <w:szCs w:val="20"/>
    </w:rPr>
  </w:style>
  <w:style w:type="character" w:customStyle="1" w:styleId="HTMLPreformattedChar">
    <w:name w:val="HTML Preformatted Char"/>
    <w:basedOn w:val="DefaultParagraphFont"/>
    <w:link w:val="HTMLPreformatted"/>
    <w:uiPriority w:val="99"/>
    <w:semiHidden/>
    <w:rsid w:val="00311D15"/>
    <w:rPr>
      <w:rFonts w:ascii="Consolas" w:hAnsi="Consolas"/>
      <w:color w:val="595959" w:themeColor="text2"/>
      <w:sz w:val="20"/>
      <w:szCs w:val="20"/>
      <w:lang w:val="en-US"/>
    </w:rPr>
  </w:style>
  <w:style w:type="paragraph" w:styleId="Index1">
    <w:name w:val="index 1"/>
    <w:basedOn w:val="Normal"/>
    <w:next w:val="Normal"/>
    <w:autoRedefine/>
    <w:uiPriority w:val="99"/>
    <w:semiHidden/>
    <w:unhideWhenUsed/>
    <w:rsid w:val="00311D15"/>
    <w:pPr>
      <w:spacing w:after="0"/>
      <w:ind w:left="220" w:hanging="220"/>
    </w:pPr>
  </w:style>
  <w:style w:type="paragraph" w:styleId="Index2">
    <w:name w:val="index 2"/>
    <w:basedOn w:val="Normal"/>
    <w:next w:val="Normal"/>
    <w:autoRedefine/>
    <w:uiPriority w:val="99"/>
    <w:semiHidden/>
    <w:unhideWhenUsed/>
    <w:rsid w:val="00311D15"/>
    <w:pPr>
      <w:spacing w:after="0"/>
      <w:ind w:left="440" w:hanging="220"/>
    </w:pPr>
  </w:style>
  <w:style w:type="paragraph" w:styleId="Index3">
    <w:name w:val="index 3"/>
    <w:basedOn w:val="Normal"/>
    <w:next w:val="Normal"/>
    <w:autoRedefine/>
    <w:uiPriority w:val="99"/>
    <w:semiHidden/>
    <w:unhideWhenUsed/>
    <w:rsid w:val="00311D15"/>
    <w:pPr>
      <w:spacing w:after="0"/>
      <w:ind w:left="660" w:hanging="220"/>
    </w:pPr>
  </w:style>
  <w:style w:type="paragraph" w:styleId="Index4">
    <w:name w:val="index 4"/>
    <w:basedOn w:val="Normal"/>
    <w:next w:val="Normal"/>
    <w:autoRedefine/>
    <w:uiPriority w:val="99"/>
    <w:semiHidden/>
    <w:unhideWhenUsed/>
    <w:rsid w:val="00311D15"/>
    <w:pPr>
      <w:spacing w:after="0"/>
      <w:ind w:left="880" w:hanging="220"/>
    </w:pPr>
  </w:style>
  <w:style w:type="paragraph" w:styleId="Index5">
    <w:name w:val="index 5"/>
    <w:basedOn w:val="Normal"/>
    <w:next w:val="Normal"/>
    <w:autoRedefine/>
    <w:uiPriority w:val="99"/>
    <w:semiHidden/>
    <w:unhideWhenUsed/>
    <w:rsid w:val="00311D15"/>
    <w:pPr>
      <w:spacing w:after="0"/>
      <w:ind w:left="1100" w:hanging="220"/>
    </w:pPr>
  </w:style>
  <w:style w:type="paragraph" w:styleId="Index6">
    <w:name w:val="index 6"/>
    <w:basedOn w:val="Normal"/>
    <w:next w:val="Normal"/>
    <w:autoRedefine/>
    <w:uiPriority w:val="99"/>
    <w:semiHidden/>
    <w:unhideWhenUsed/>
    <w:rsid w:val="00311D15"/>
    <w:pPr>
      <w:spacing w:after="0"/>
      <w:ind w:left="1320" w:hanging="220"/>
    </w:pPr>
  </w:style>
  <w:style w:type="paragraph" w:styleId="Index7">
    <w:name w:val="index 7"/>
    <w:basedOn w:val="Normal"/>
    <w:next w:val="Normal"/>
    <w:autoRedefine/>
    <w:uiPriority w:val="99"/>
    <w:semiHidden/>
    <w:unhideWhenUsed/>
    <w:rsid w:val="00311D15"/>
    <w:pPr>
      <w:spacing w:after="0"/>
      <w:ind w:left="1540" w:hanging="220"/>
    </w:pPr>
  </w:style>
  <w:style w:type="paragraph" w:styleId="Index8">
    <w:name w:val="index 8"/>
    <w:basedOn w:val="Normal"/>
    <w:next w:val="Normal"/>
    <w:autoRedefine/>
    <w:uiPriority w:val="99"/>
    <w:semiHidden/>
    <w:unhideWhenUsed/>
    <w:rsid w:val="00311D15"/>
    <w:pPr>
      <w:spacing w:after="0"/>
      <w:ind w:left="1760" w:hanging="220"/>
    </w:pPr>
  </w:style>
  <w:style w:type="paragraph" w:styleId="Index9">
    <w:name w:val="index 9"/>
    <w:basedOn w:val="Normal"/>
    <w:next w:val="Normal"/>
    <w:autoRedefine/>
    <w:uiPriority w:val="99"/>
    <w:semiHidden/>
    <w:unhideWhenUsed/>
    <w:rsid w:val="00311D15"/>
    <w:pPr>
      <w:spacing w:after="0"/>
      <w:ind w:left="1980" w:hanging="220"/>
    </w:pPr>
  </w:style>
  <w:style w:type="paragraph" w:styleId="IndexHeading">
    <w:name w:val="index heading"/>
    <w:basedOn w:val="Normal"/>
    <w:next w:val="Index1"/>
    <w:uiPriority w:val="99"/>
    <w:semiHidden/>
    <w:unhideWhenUsed/>
    <w:rsid w:val="00311D15"/>
    <w:rPr>
      <w:rFonts w:asciiTheme="majorHAnsi" w:eastAsiaTheme="majorEastAsia" w:hAnsiTheme="majorHAnsi" w:cstheme="majorBidi"/>
      <w:b/>
      <w:bCs/>
    </w:rPr>
  </w:style>
  <w:style w:type="character" w:customStyle="1" w:styleId="Heading1Char">
    <w:name w:val="Heading 1 Char"/>
    <w:basedOn w:val="DefaultParagraphFont"/>
    <w:link w:val="Heading1"/>
    <w:uiPriority w:val="9"/>
    <w:rsid w:val="00E85A78"/>
    <w:rPr>
      <w:rFonts w:ascii="Calibri" w:eastAsiaTheme="majorEastAsia" w:hAnsi="Calibri" w:cstheme="majorBidi"/>
      <w:color w:val="046B99" w:themeColor="accent5"/>
      <w:sz w:val="44"/>
      <w:szCs w:val="32"/>
      <w:lang w:val="en-US"/>
    </w:rPr>
  </w:style>
  <w:style w:type="paragraph" w:styleId="TOCHeading">
    <w:name w:val="TOC Heading"/>
    <w:basedOn w:val="Heading1"/>
    <w:next w:val="Normal"/>
    <w:uiPriority w:val="39"/>
    <w:unhideWhenUsed/>
    <w:qFormat/>
    <w:rsid w:val="00311D15"/>
    <w:pPr>
      <w:numPr>
        <w:numId w:val="0"/>
      </w:numPr>
      <w:outlineLvl w:val="9"/>
    </w:pPr>
  </w:style>
  <w:style w:type="paragraph" w:styleId="List">
    <w:name w:val="List"/>
    <w:basedOn w:val="Normal"/>
    <w:uiPriority w:val="99"/>
    <w:semiHidden/>
    <w:unhideWhenUsed/>
    <w:rsid w:val="00311D15"/>
    <w:pPr>
      <w:ind w:left="283" w:hanging="283"/>
      <w:contextualSpacing/>
    </w:pPr>
  </w:style>
  <w:style w:type="paragraph" w:styleId="List2">
    <w:name w:val="List 2"/>
    <w:basedOn w:val="Normal"/>
    <w:uiPriority w:val="99"/>
    <w:semiHidden/>
    <w:unhideWhenUsed/>
    <w:rsid w:val="00311D15"/>
    <w:pPr>
      <w:ind w:left="566" w:hanging="283"/>
      <w:contextualSpacing/>
    </w:pPr>
  </w:style>
  <w:style w:type="paragraph" w:styleId="List3">
    <w:name w:val="List 3"/>
    <w:basedOn w:val="Normal"/>
    <w:uiPriority w:val="99"/>
    <w:semiHidden/>
    <w:unhideWhenUsed/>
    <w:rsid w:val="00311D15"/>
    <w:pPr>
      <w:ind w:left="849" w:hanging="283"/>
      <w:contextualSpacing/>
    </w:pPr>
  </w:style>
  <w:style w:type="paragraph" w:styleId="List4">
    <w:name w:val="List 4"/>
    <w:basedOn w:val="Normal"/>
    <w:uiPriority w:val="99"/>
    <w:semiHidden/>
    <w:unhideWhenUsed/>
    <w:rsid w:val="00311D15"/>
    <w:pPr>
      <w:ind w:left="1132" w:hanging="283"/>
      <w:contextualSpacing/>
    </w:pPr>
  </w:style>
  <w:style w:type="paragraph" w:styleId="List5">
    <w:name w:val="List 5"/>
    <w:basedOn w:val="Normal"/>
    <w:uiPriority w:val="99"/>
    <w:semiHidden/>
    <w:unhideWhenUsed/>
    <w:rsid w:val="00311D15"/>
    <w:pPr>
      <w:ind w:left="1415" w:hanging="283"/>
      <w:contextualSpacing/>
    </w:pPr>
  </w:style>
  <w:style w:type="paragraph" w:styleId="ListContinue">
    <w:name w:val="List Continue"/>
    <w:basedOn w:val="Normal"/>
    <w:uiPriority w:val="99"/>
    <w:semiHidden/>
    <w:unhideWhenUsed/>
    <w:rsid w:val="00311D15"/>
    <w:pPr>
      <w:ind w:left="283"/>
      <w:contextualSpacing/>
    </w:pPr>
  </w:style>
  <w:style w:type="paragraph" w:styleId="ListContinue2">
    <w:name w:val="List Continue 2"/>
    <w:basedOn w:val="Normal"/>
    <w:uiPriority w:val="99"/>
    <w:semiHidden/>
    <w:unhideWhenUsed/>
    <w:rsid w:val="00311D15"/>
    <w:pPr>
      <w:ind w:left="566"/>
      <w:contextualSpacing/>
    </w:pPr>
  </w:style>
  <w:style w:type="paragraph" w:styleId="ListContinue3">
    <w:name w:val="List Continue 3"/>
    <w:basedOn w:val="Normal"/>
    <w:uiPriority w:val="99"/>
    <w:semiHidden/>
    <w:unhideWhenUsed/>
    <w:rsid w:val="00311D15"/>
    <w:pPr>
      <w:ind w:left="849"/>
      <w:contextualSpacing/>
    </w:pPr>
  </w:style>
  <w:style w:type="paragraph" w:styleId="ListContinue4">
    <w:name w:val="List Continue 4"/>
    <w:basedOn w:val="Normal"/>
    <w:uiPriority w:val="99"/>
    <w:semiHidden/>
    <w:unhideWhenUsed/>
    <w:rsid w:val="00311D15"/>
    <w:pPr>
      <w:ind w:left="1132"/>
      <w:contextualSpacing/>
    </w:pPr>
  </w:style>
  <w:style w:type="paragraph" w:styleId="ListContinue5">
    <w:name w:val="List Continue 5"/>
    <w:basedOn w:val="Normal"/>
    <w:uiPriority w:val="99"/>
    <w:semiHidden/>
    <w:unhideWhenUsed/>
    <w:rsid w:val="00311D15"/>
    <w:pPr>
      <w:ind w:left="1415"/>
      <w:contextualSpacing/>
    </w:pPr>
  </w:style>
  <w:style w:type="paragraph" w:styleId="ListNumber">
    <w:name w:val="List Number"/>
    <w:basedOn w:val="Normal"/>
    <w:uiPriority w:val="99"/>
    <w:semiHidden/>
    <w:unhideWhenUsed/>
    <w:rsid w:val="00311D15"/>
    <w:pPr>
      <w:numPr>
        <w:numId w:val="10"/>
      </w:numPr>
      <w:contextualSpacing/>
    </w:pPr>
  </w:style>
  <w:style w:type="paragraph" w:styleId="ListNumber2">
    <w:name w:val="List Number 2"/>
    <w:basedOn w:val="Normal"/>
    <w:uiPriority w:val="99"/>
    <w:semiHidden/>
    <w:unhideWhenUsed/>
    <w:rsid w:val="00311D15"/>
    <w:pPr>
      <w:numPr>
        <w:numId w:val="11"/>
      </w:numPr>
      <w:contextualSpacing/>
    </w:pPr>
  </w:style>
  <w:style w:type="paragraph" w:styleId="ListNumber3">
    <w:name w:val="List Number 3"/>
    <w:basedOn w:val="Normal"/>
    <w:uiPriority w:val="99"/>
    <w:semiHidden/>
    <w:unhideWhenUsed/>
    <w:rsid w:val="00311D15"/>
    <w:pPr>
      <w:numPr>
        <w:numId w:val="12"/>
      </w:numPr>
      <w:contextualSpacing/>
    </w:pPr>
  </w:style>
  <w:style w:type="paragraph" w:styleId="ListNumber4">
    <w:name w:val="List Number 4"/>
    <w:basedOn w:val="Normal"/>
    <w:uiPriority w:val="99"/>
    <w:semiHidden/>
    <w:unhideWhenUsed/>
    <w:rsid w:val="00311D15"/>
    <w:pPr>
      <w:numPr>
        <w:numId w:val="13"/>
      </w:numPr>
      <w:contextualSpacing/>
    </w:pPr>
  </w:style>
  <w:style w:type="paragraph" w:styleId="ListNumber5">
    <w:name w:val="List Number 5"/>
    <w:basedOn w:val="Normal"/>
    <w:uiPriority w:val="99"/>
    <w:semiHidden/>
    <w:unhideWhenUsed/>
    <w:rsid w:val="00311D15"/>
    <w:pPr>
      <w:numPr>
        <w:numId w:val="14"/>
      </w:numPr>
      <w:contextualSpacing/>
    </w:pPr>
  </w:style>
  <w:style w:type="paragraph" w:styleId="Bibliography">
    <w:name w:val="Bibliography"/>
    <w:basedOn w:val="Normal"/>
    <w:next w:val="Normal"/>
    <w:uiPriority w:val="37"/>
    <w:semiHidden/>
    <w:unhideWhenUsed/>
    <w:rsid w:val="00311D15"/>
  </w:style>
  <w:style w:type="paragraph" w:styleId="MacroText">
    <w:name w:val="macro"/>
    <w:link w:val="MacroTextChar"/>
    <w:uiPriority w:val="99"/>
    <w:semiHidden/>
    <w:unhideWhenUsed/>
    <w:rsid w:val="00311D15"/>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311D15"/>
    <w:rPr>
      <w:rFonts w:ascii="Consolas" w:hAnsi="Consolas"/>
      <w:sz w:val="20"/>
      <w:szCs w:val="20"/>
    </w:rPr>
  </w:style>
  <w:style w:type="paragraph" w:styleId="MessageHeader">
    <w:name w:val="Message Header"/>
    <w:basedOn w:val="Normal"/>
    <w:link w:val="MessageHeaderChar"/>
    <w:uiPriority w:val="99"/>
    <w:semiHidden/>
    <w:unhideWhenUsed/>
    <w:rsid w:val="00311D15"/>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311D15"/>
    <w:rPr>
      <w:rFonts w:asciiTheme="majorHAnsi" w:eastAsiaTheme="majorEastAsia" w:hAnsiTheme="majorHAnsi" w:cstheme="majorBidi"/>
      <w:color w:val="595959" w:themeColor="text2"/>
      <w:sz w:val="24"/>
      <w:szCs w:val="24"/>
      <w:shd w:val="pct20" w:color="auto" w:fill="auto"/>
      <w:lang w:val="en-US"/>
    </w:rPr>
  </w:style>
  <w:style w:type="paragraph" w:styleId="PlainText">
    <w:name w:val="Plain Text"/>
    <w:basedOn w:val="Normal"/>
    <w:link w:val="PlainTextChar"/>
    <w:uiPriority w:val="99"/>
    <w:semiHidden/>
    <w:unhideWhenUsed/>
    <w:rsid w:val="00311D15"/>
    <w:pPr>
      <w:spacing w:after="0"/>
    </w:pPr>
    <w:rPr>
      <w:rFonts w:ascii="Consolas" w:hAnsi="Consolas"/>
      <w:sz w:val="21"/>
      <w:szCs w:val="21"/>
    </w:rPr>
  </w:style>
  <w:style w:type="character" w:customStyle="1" w:styleId="PlainTextChar">
    <w:name w:val="Plain Text Char"/>
    <w:basedOn w:val="DefaultParagraphFont"/>
    <w:link w:val="PlainText"/>
    <w:uiPriority w:val="99"/>
    <w:semiHidden/>
    <w:rsid w:val="00311D15"/>
    <w:rPr>
      <w:rFonts w:ascii="Consolas" w:hAnsi="Consolas"/>
      <w:color w:val="595959" w:themeColor="text2"/>
      <w:sz w:val="21"/>
      <w:szCs w:val="21"/>
      <w:lang w:val="en-US"/>
    </w:rPr>
  </w:style>
  <w:style w:type="paragraph" w:styleId="TableofAuthorities">
    <w:name w:val="table of authorities"/>
    <w:basedOn w:val="Normal"/>
    <w:next w:val="Normal"/>
    <w:uiPriority w:val="99"/>
    <w:semiHidden/>
    <w:unhideWhenUsed/>
    <w:rsid w:val="00311D15"/>
    <w:pPr>
      <w:spacing w:after="0"/>
      <w:ind w:left="220" w:hanging="220"/>
    </w:pPr>
  </w:style>
  <w:style w:type="paragraph" w:styleId="TOAHeading">
    <w:name w:val="toa heading"/>
    <w:basedOn w:val="Normal"/>
    <w:next w:val="Normal"/>
    <w:uiPriority w:val="99"/>
    <w:semiHidden/>
    <w:unhideWhenUsed/>
    <w:rsid w:val="00311D15"/>
    <w:pPr>
      <w:spacing w:before="120"/>
    </w:pPr>
    <w:rPr>
      <w:rFonts w:asciiTheme="majorHAnsi" w:eastAsiaTheme="majorEastAsia" w:hAnsiTheme="majorHAnsi" w:cstheme="majorBidi"/>
      <w:b/>
      <w:bCs/>
      <w:sz w:val="24"/>
      <w:szCs w:val="24"/>
    </w:rPr>
  </w:style>
  <w:style w:type="paragraph" w:styleId="BalloonText">
    <w:name w:val="Balloon Text"/>
    <w:basedOn w:val="Normal"/>
    <w:link w:val="BalloonTextChar"/>
    <w:uiPriority w:val="99"/>
    <w:semiHidden/>
    <w:unhideWhenUsed/>
    <w:rsid w:val="00311D1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1D15"/>
    <w:rPr>
      <w:rFonts w:ascii="Segoe UI" w:hAnsi="Segoe UI" w:cs="Segoe UI"/>
      <w:color w:val="595959" w:themeColor="text2"/>
      <w:sz w:val="18"/>
      <w:szCs w:val="18"/>
      <w:lang w:val="en-US"/>
    </w:rPr>
  </w:style>
  <w:style w:type="paragraph" w:styleId="NormalIndent">
    <w:name w:val="Normal Indent"/>
    <w:basedOn w:val="Normal"/>
    <w:uiPriority w:val="99"/>
    <w:semiHidden/>
    <w:unhideWhenUsed/>
    <w:rsid w:val="00311D15"/>
    <w:pPr>
      <w:ind w:left="708"/>
    </w:pPr>
  </w:style>
  <w:style w:type="paragraph" w:styleId="BodyText">
    <w:name w:val="Body Text"/>
    <w:basedOn w:val="Normal"/>
    <w:link w:val="BodyTextChar"/>
    <w:uiPriority w:val="99"/>
    <w:semiHidden/>
    <w:unhideWhenUsed/>
    <w:rsid w:val="00311D15"/>
  </w:style>
  <w:style w:type="character" w:customStyle="1" w:styleId="BodyTextChar">
    <w:name w:val="Body Text Char"/>
    <w:basedOn w:val="DefaultParagraphFont"/>
    <w:link w:val="BodyText"/>
    <w:uiPriority w:val="99"/>
    <w:semiHidden/>
    <w:rsid w:val="00311D15"/>
    <w:rPr>
      <w:color w:val="595959" w:themeColor="text2"/>
      <w:sz w:val="20"/>
      <w:lang w:val="en-US"/>
    </w:rPr>
  </w:style>
  <w:style w:type="paragraph" w:styleId="BodyText2">
    <w:name w:val="Body Text 2"/>
    <w:basedOn w:val="Normal"/>
    <w:link w:val="BodyText2Char"/>
    <w:uiPriority w:val="99"/>
    <w:semiHidden/>
    <w:unhideWhenUsed/>
    <w:rsid w:val="00311D15"/>
    <w:pPr>
      <w:spacing w:line="480" w:lineRule="auto"/>
    </w:pPr>
  </w:style>
  <w:style w:type="character" w:customStyle="1" w:styleId="BodyText2Char">
    <w:name w:val="Body Text 2 Char"/>
    <w:basedOn w:val="DefaultParagraphFont"/>
    <w:link w:val="BodyText2"/>
    <w:uiPriority w:val="99"/>
    <w:semiHidden/>
    <w:rsid w:val="00311D15"/>
    <w:rPr>
      <w:color w:val="595959" w:themeColor="text2"/>
      <w:sz w:val="20"/>
      <w:lang w:val="en-US"/>
    </w:rPr>
  </w:style>
  <w:style w:type="paragraph" w:styleId="BodyText3">
    <w:name w:val="Body Text 3"/>
    <w:basedOn w:val="Normal"/>
    <w:link w:val="BodyText3Char"/>
    <w:uiPriority w:val="99"/>
    <w:semiHidden/>
    <w:unhideWhenUsed/>
    <w:rsid w:val="00311D15"/>
    <w:rPr>
      <w:sz w:val="16"/>
      <w:szCs w:val="16"/>
    </w:rPr>
  </w:style>
  <w:style w:type="character" w:customStyle="1" w:styleId="BodyText3Char">
    <w:name w:val="Body Text 3 Char"/>
    <w:basedOn w:val="DefaultParagraphFont"/>
    <w:link w:val="BodyText3"/>
    <w:uiPriority w:val="99"/>
    <w:semiHidden/>
    <w:rsid w:val="00311D15"/>
    <w:rPr>
      <w:color w:val="595959" w:themeColor="text2"/>
      <w:sz w:val="16"/>
      <w:szCs w:val="16"/>
      <w:lang w:val="en-US"/>
    </w:rPr>
  </w:style>
  <w:style w:type="paragraph" w:styleId="BodyTextIndent2">
    <w:name w:val="Body Text Indent 2"/>
    <w:basedOn w:val="Normal"/>
    <w:link w:val="BodyTextIndent2Char"/>
    <w:uiPriority w:val="99"/>
    <w:semiHidden/>
    <w:unhideWhenUsed/>
    <w:rsid w:val="00311D15"/>
    <w:pPr>
      <w:spacing w:line="480" w:lineRule="auto"/>
      <w:ind w:left="283"/>
    </w:pPr>
  </w:style>
  <w:style w:type="character" w:customStyle="1" w:styleId="BodyTextIndent2Char">
    <w:name w:val="Body Text Indent 2 Char"/>
    <w:basedOn w:val="DefaultParagraphFont"/>
    <w:link w:val="BodyTextIndent2"/>
    <w:uiPriority w:val="99"/>
    <w:semiHidden/>
    <w:rsid w:val="00311D15"/>
    <w:rPr>
      <w:color w:val="595959" w:themeColor="text2"/>
      <w:sz w:val="20"/>
      <w:lang w:val="en-US"/>
    </w:rPr>
  </w:style>
  <w:style w:type="paragraph" w:styleId="BodyTextIndent3">
    <w:name w:val="Body Text Indent 3"/>
    <w:basedOn w:val="Normal"/>
    <w:link w:val="BodyTextIndent3Char"/>
    <w:uiPriority w:val="99"/>
    <w:semiHidden/>
    <w:unhideWhenUsed/>
    <w:rsid w:val="00311D15"/>
    <w:pPr>
      <w:ind w:left="283"/>
    </w:pPr>
    <w:rPr>
      <w:sz w:val="16"/>
      <w:szCs w:val="16"/>
    </w:rPr>
  </w:style>
  <w:style w:type="character" w:customStyle="1" w:styleId="BodyTextIndent3Char">
    <w:name w:val="Body Text Indent 3 Char"/>
    <w:basedOn w:val="DefaultParagraphFont"/>
    <w:link w:val="BodyTextIndent3"/>
    <w:uiPriority w:val="99"/>
    <w:semiHidden/>
    <w:rsid w:val="00311D15"/>
    <w:rPr>
      <w:color w:val="595959" w:themeColor="text2"/>
      <w:sz w:val="16"/>
      <w:szCs w:val="16"/>
      <w:lang w:val="en-US"/>
    </w:rPr>
  </w:style>
  <w:style w:type="paragraph" w:styleId="BodyTextFirstIndent">
    <w:name w:val="Body Text First Indent"/>
    <w:basedOn w:val="BodyText"/>
    <w:link w:val="BodyTextFirstIndentChar"/>
    <w:uiPriority w:val="99"/>
    <w:semiHidden/>
    <w:unhideWhenUsed/>
    <w:rsid w:val="00311D15"/>
    <w:pPr>
      <w:spacing w:after="160"/>
      <w:ind w:firstLine="360"/>
    </w:pPr>
  </w:style>
  <w:style w:type="character" w:customStyle="1" w:styleId="BodyTextFirstIndentChar">
    <w:name w:val="Body Text First Indent Char"/>
    <w:basedOn w:val="BodyTextChar"/>
    <w:link w:val="BodyTextFirstIndent"/>
    <w:uiPriority w:val="99"/>
    <w:semiHidden/>
    <w:rsid w:val="00311D15"/>
    <w:rPr>
      <w:color w:val="595959" w:themeColor="text2"/>
      <w:sz w:val="20"/>
      <w:lang w:val="en-US"/>
    </w:rPr>
  </w:style>
  <w:style w:type="paragraph" w:styleId="BodyTextIndent">
    <w:name w:val="Body Text Indent"/>
    <w:basedOn w:val="Normal"/>
    <w:link w:val="BodyTextIndentChar"/>
    <w:uiPriority w:val="99"/>
    <w:semiHidden/>
    <w:unhideWhenUsed/>
    <w:rsid w:val="00311D15"/>
    <w:pPr>
      <w:ind w:left="283"/>
    </w:pPr>
  </w:style>
  <w:style w:type="character" w:customStyle="1" w:styleId="BodyTextIndentChar">
    <w:name w:val="Body Text Indent Char"/>
    <w:basedOn w:val="DefaultParagraphFont"/>
    <w:link w:val="BodyTextIndent"/>
    <w:uiPriority w:val="99"/>
    <w:semiHidden/>
    <w:rsid w:val="00311D15"/>
    <w:rPr>
      <w:color w:val="595959" w:themeColor="text2"/>
      <w:sz w:val="20"/>
      <w:lang w:val="en-US"/>
    </w:rPr>
  </w:style>
  <w:style w:type="paragraph" w:styleId="BodyTextFirstIndent2">
    <w:name w:val="Body Text First Indent 2"/>
    <w:basedOn w:val="BodyTextIndent"/>
    <w:link w:val="BodyTextFirstIndent2Char"/>
    <w:uiPriority w:val="99"/>
    <w:semiHidden/>
    <w:unhideWhenUsed/>
    <w:rsid w:val="00311D15"/>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311D15"/>
    <w:rPr>
      <w:color w:val="595959" w:themeColor="text2"/>
      <w:sz w:val="20"/>
      <w:lang w:val="en-US"/>
    </w:rPr>
  </w:style>
  <w:style w:type="character" w:customStyle="1" w:styleId="Heading2Char">
    <w:name w:val="Heading 2 Char"/>
    <w:basedOn w:val="DefaultParagraphFont"/>
    <w:link w:val="Heading2"/>
    <w:uiPriority w:val="9"/>
    <w:rsid w:val="00E85A78"/>
    <w:rPr>
      <w:rFonts w:ascii="Calibri" w:eastAsiaTheme="majorEastAsia" w:hAnsi="Calibri" w:cstheme="majorBidi"/>
      <w:color w:val="046B99" w:themeColor="accent5"/>
      <w:sz w:val="24"/>
      <w:szCs w:val="26"/>
      <w:lang w:val="en-US"/>
    </w:rPr>
  </w:style>
  <w:style w:type="character" w:customStyle="1" w:styleId="Heading3Char">
    <w:name w:val="Heading 3 Char"/>
    <w:basedOn w:val="DefaultParagraphFont"/>
    <w:link w:val="Heading3"/>
    <w:uiPriority w:val="9"/>
    <w:rsid w:val="00E85A78"/>
    <w:rPr>
      <w:rFonts w:ascii="Calibri" w:eastAsiaTheme="majorEastAsia" w:hAnsi="Calibri" w:cstheme="majorBidi"/>
      <w:color w:val="046B99" w:themeColor="accent5"/>
      <w:szCs w:val="24"/>
      <w:lang w:val="en-US"/>
    </w:rPr>
  </w:style>
  <w:style w:type="character" w:customStyle="1" w:styleId="Heading4Char">
    <w:name w:val="Heading 4 Char"/>
    <w:basedOn w:val="DefaultParagraphFont"/>
    <w:link w:val="Heading4"/>
    <w:uiPriority w:val="9"/>
    <w:rsid w:val="00E85A78"/>
    <w:rPr>
      <w:rFonts w:ascii="Calibri" w:eastAsiaTheme="majorEastAsia" w:hAnsi="Calibri" w:cstheme="majorBidi"/>
      <w:iCs/>
      <w:color w:val="046B99" w:themeColor="accent5"/>
      <w:lang w:val="en-US"/>
    </w:rPr>
  </w:style>
  <w:style w:type="character" w:customStyle="1" w:styleId="Heading5Char">
    <w:name w:val="Heading 5 Char"/>
    <w:basedOn w:val="DefaultParagraphFont"/>
    <w:link w:val="Heading5"/>
    <w:uiPriority w:val="9"/>
    <w:rsid w:val="00311D15"/>
    <w:rPr>
      <w:rFonts w:ascii="Calibri" w:eastAsiaTheme="majorEastAsia" w:hAnsi="Calibri" w:cstheme="majorBidi"/>
      <w:iCs/>
      <w:color w:val="046B99" w:themeColor="accent5"/>
      <w:lang w:val="en-US"/>
    </w:rPr>
  </w:style>
  <w:style w:type="character" w:customStyle="1" w:styleId="Heading6Char">
    <w:name w:val="Heading 6 Char"/>
    <w:basedOn w:val="DefaultParagraphFont"/>
    <w:link w:val="Heading6"/>
    <w:uiPriority w:val="9"/>
    <w:rsid w:val="00E85A78"/>
    <w:rPr>
      <w:rFonts w:ascii="Calibri" w:eastAsiaTheme="majorEastAsia" w:hAnsi="Calibri" w:cstheme="majorBidi"/>
      <w:color w:val="046B99" w:themeColor="accent5"/>
      <w:lang w:val="en-US"/>
    </w:rPr>
  </w:style>
  <w:style w:type="character" w:customStyle="1" w:styleId="Heading7Char">
    <w:name w:val="Heading 7 Char"/>
    <w:basedOn w:val="DefaultParagraphFont"/>
    <w:link w:val="Heading7"/>
    <w:uiPriority w:val="9"/>
    <w:rsid w:val="00E85A78"/>
    <w:rPr>
      <w:rFonts w:ascii="Calibri" w:eastAsiaTheme="majorEastAsia" w:hAnsi="Calibri" w:cstheme="majorBidi"/>
      <w:iCs/>
      <w:color w:val="046B99" w:themeColor="accent5"/>
      <w:sz w:val="20"/>
      <w:lang w:val="en-US"/>
    </w:rPr>
  </w:style>
  <w:style w:type="character" w:customStyle="1" w:styleId="Heading8Char">
    <w:name w:val="Heading 8 Char"/>
    <w:basedOn w:val="DefaultParagraphFont"/>
    <w:link w:val="Heading8"/>
    <w:uiPriority w:val="9"/>
    <w:rsid w:val="00E85A78"/>
    <w:rPr>
      <w:rFonts w:ascii="Calibri" w:eastAsiaTheme="majorEastAsia" w:hAnsi="Calibri" w:cstheme="majorBidi"/>
      <w:color w:val="046B99" w:themeColor="accent5"/>
      <w:sz w:val="21"/>
      <w:szCs w:val="21"/>
      <w:lang w:val="en-US"/>
    </w:rPr>
  </w:style>
  <w:style w:type="character" w:customStyle="1" w:styleId="Heading9Char">
    <w:name w:val="Heading 9 Char"/>
    <w:basedOn w:val="DefaultParagraphFont"/>
    <w:link w:val="Heading9"/>
    <w:uiPriority w:val="9"/>
    <w:semiHidden/>
    <w:rsid w:val="00311D15"/>
    <w:rPr>
      <w:rFonts w:asciiTheme="majorHAnsi" w:eastAsiaTheme="majorEastAsia" w:hAnsiTheme="majorHAnsi" w:cstheme="majorBidi"/>
      <w:i/>
      <w:iCs/>
      <w:color w:val="272727" w:themeColor="text1" w:themeTint="D8"/>
      <w:sz w:val="21"/>
      <w:szCs w:val="21"/>
      <w:lang w:val="en-US"/>
    </w:rPr>
  </w:style>
  <w:style w:type="paragraph" w:styleId="EnvelopeReturn">
    <w:name w:val="envelope return"/>
    <w:basedOn w:val="Normal"/>
    <w:uiPriority w:val="99"/>
    <w:semiHidden/>
    <w:unhideWhenUsed/>
    <w:rsid w:val="00311D15"/>
    <w:pPr>
      <w:spacing w:after="0"/>
    </w:pPr>
    <w:rPr>
      <w:rFonts w:asciiTheme="majorHAnsi" w:eastAsiaTheme="majorEastAsia" w:hAnsiTheme="majorHAnsi" w:cstheme="majorBidi"/>
      <w:szCs w:val="20"/>
    </w:rPr>
  </w:style>
  <w:style w:type="paragraph" w:styleId="EnvelopeAddress">
    <w:name w:val="envelope address"/>
    <w:basedOn w:val="Normal"/>
    <w:uiPriority w:val="99"/>
    <w:semiHidden/>
    <w:unhideWhenUsed/>
    <w:rsid w:val="00311D15"/>
    <w:pPr>
      <w:framePr w:w="4320" w:h="2160" w:hRule="exact" w:hSpace="141" w:wrap="auto" w:hAnchor="page" w:xAlign="center" w:yAlign="bottom"/>
      <w:spacing w:after="0"/>
      <w:ind w:left="1"/>
    </w:pPr>
    <w:rPr>
      <w:rFonts w:asciiTheme="majorHAnsi" w:eastAsiaTheme="majorEastAsia" w:hAnsiTheme="majorHAnsi" w:cstheme="majorBidi"/>
      <w:sz w:val="24"/>
      <w:szCs w:val="24"/>
    </w:rPr>
  </w:style>
  <w:style w:type="paragraph" w:styleId="Signature">
    <w:name w:val="Signature"/>
    <w:basedOn w:val="Normal"/>
    <w:link w:val="SignatureChar"/>
    <w:uiPriority w:val="99"/>
    <w:semiHidden/>
    <w:unhideWhenUsed/>
    <w:rsid w:val="00311D15"/>
    <w:pPr>
      <w:spacing w:after="0"/>
      <w:ind w:left="4252"/>
    </w:pPr>
  </w:style>
  <w:style w:type="character" w:customStyle="1" w:styleId="SignatureChar">
    <w:name w:val="Signature Char"/>
    <w:basedOn w:val="DefaultParagraphFont"/>
    <w:link w:val="Signature"/>
    <w:uiPriority w:val="99"/>
    <w:semiHidden/>
    <w:rsid w:val="00311D15"/>
    <w:rPr>
      <w:color w:val="595959" w:themeColor="text2"/>
      <w:sz w:val="20"/>
      <w:lang w:val="en-US"/>
    </w:rPr>
  </w:style>
  <w:style w:type="character" w:styleId="PlaceholderText">
    <w:name w:val="Placeholder Text"/>
    <w:basedOn w:val="DefaultParagraphFont"/>
    <w:uiPriority w:val="99"/>
    <w:semiHidden/>
    <w:rsid w:val="00311D15"/>
    <w:rPr>
      <w:color w:val="808080"/>
    </w:rPr>
  </w:style>
  <w:style w:type="paragraph" w:styleId="TOC1">
    <w:name w:val="toc 1"/>
    <w:basedOn w:val="Normal"/>
    <w:next w:val="Normal"/>
    <w:autoRedefine/>
    <w:uiPriority w:val="39"/>
    <w:rsid w:val="0034409B"/>
    <w:pPr>
      <w:tabs>
        <w:tab w:val="left" w:pos="567"/>
        <w:tab w:val="right" w:pos="9072"/>
      </w:tabs>
      <w:spacing w:before="240" w:after="0"/>
    </w:pPr>
    <w:rPr>
      <w:rFonts w:ascii="Manrope SemiBold" w:hAnsi="Manrope SemiBold"/>
      <w:noProof/>
      <w:color w:val="046B99" w:themeColor="accent5"/>
      <w:sz w:val="24"/>
    </w:rPr>
  </w:style>
  <w:style w:type="paragraph" w:styleId="TOC2">
    <w:name w:val="toc 2"/>
    <w:basedOn w:val="Normal"/>
    <w:next w:val="Normal"/>
    <w:autoRedefine/>
    <w:uiPriority w:val="39"/>
    <w:rsid w:val="00311D15"/>
    <w:pPr>
      <w:tabs>
        <w:tab w:val="left" w:pos="880"/>
        <w:tab w:val="right" w:pos="9062"/>
      </w:tabs>
      <w:spacing w:before="40" w:after="40"/>
      <w:ind w:left="221"/>
    </w:pPr>
    <w:rPr>
      <w:noProof/>
    </w:rPr>
  </w:style>
  <w:style w:type="paragraph" w:styleId="TOC3">
    <w:name w:val="toc 3"/>
    <w:basedOn w:val="Normal"/>
    <w:next w:val="Normal"/>
    <w:autoRedefine/>
    <w:uiPriority w:val="39"/>
    <w:rsid w:val="00FE02E5"/>
    <w:pPr>
      <w:tabs>
        <w:tab w:val="left" w:pos="1100"/>
        <w:tab w:val="right" w:pos="9062"/>
      </w:tabs>
      <w:spacing w:after="100"/>
      <w:ind w:left="567"/>
    </w:pPr>
    <w:rPr>
      <w:noProof/>
    </w:rPr>
  </w:style>
  <w:style w:type="paragraph" w:styleId="TOC4">
    <w:name w:val="toc 4"/>
    <w:basedOn w:val="Normal"/>
    <w:next w:val="Normal"/>
    <w:autoRedefine/>
    <w:uiPriority w:val="39"/>
    <w:semiHidden/>
    <w:unhideWhenUsed/>
    <w:rsid w:val="00311D15"/>
    <w:pPr>
      <w:spacing w:after="100"/>
      <w:ind w:left="660"/>
    </w:pPr>
    <w:rPr>
      <w:rFonts w:ascii="Arial" w:hAnsi="Arial"/>
    </w:rPr>
  </w:style>
  <w:style w:type="paragraph" w:styleId="TOC5">
    <w:name w:val="toc 5"/>
    <w:basedOn w:val="Normal"/>
    <w:next w:val="Normal"/>
    <w:autoRedefine/>
    <w:uiPriority w:val="39"/>
    <w:semiHidden/>
    <w:unhideWhenUsed/>
    <w:rsid w:val="00311D15"/>
    <w:pPr>
      <w:spacing w:after="100"/>
      <w:ind w:left="880"/>
    </w:pPr>
    <w:rPr>
      <w:rFonts w:ascii="Arial" w:hAnsi="Arial"/>
    </w:rPr>
  </w:style>
  <w:style w:type="paragraph" w:styleId="TOC6">
    <w:name w:val="toc 6"/>
    <w:basedOn w:val="Normal"/>
    <w:next w:val="Normal"/>
    <w:autoRedefine/>
    <w:uiPriority w:val="39"/>
    <w:semiHidden/>
    <w:unhideWhenUsed/>
    <w:rsid w:val="00311D15"/>
    <w:pPr>
      <w:spacing w:after="100"/>
      <w:ind w:left="1100"/>
    </w:pPr>
    <w:rPr>
      <w:rFonts w:ascii="Arial" w:hAnsi="Arial"/>
    </w:rPr>
  </w:style>
  <w:style w:type="paragraph" w:styleId="TOC7">
    <w:name w:val="toc 7"/>
    <w:basedOn w:val="Normal"/>
    <w:next w:val="Normal"/>
    <w:autoRedefine/>
    <w:uiPriority w:val="39"/>
    <w:semiHidden/>
    <w:unhideWhenUsed/>
    <w:rsid w:val="00311D15"/>
    <w:pPr>
      <w:spacing w:after="100"/>
      <w:ind w:left="1320"/>
    </w:pPr>
    <w:rPr>
      <w:rFonts w:ascii="Arial" w:hAnsi="Arial"/>
    </w:rPr>
  </w:style>
  <w:style w:type="paragraph" w:styleId="TOC8">
    <w:name w:val="toc 8"/>
    <w:basedOn w:val="Normal"/>
    <w:next w:val="Normal"/>
    <w:autoRedefine/>
    <w:uiPriority w:val="39"/>
    <w:semiHidden/>
    <w:unhideWhenUsed/>
    <w:rsid w:val="00311D15"/>
    <w:pPr>
      <w:spacing w:after="100"/>
      <w:ind w:left="1540"/>
    </w:pPr>
    <w:rPr>
      <w:rFonts w:ascii="Arial" w:hAnsi="Arial"/>
    </w:rPr>
  </w:style>
  <w:style w:type="paragraph" w:styleId="TOC9">
    <w:name w:val="toc 9"/>
    <w:basedOn w:val="Normal"/>
    <w:next w:val="Normal"/>
    <w:autoRedefine/>
    <w:uiPriority w:val="39"/>
    <w:semiHidden/>
    <w:unhideWhenUsed/>
    <w:rsid w:val="00311D15"/>
    <w:pPr>
      <w:spacing w:after="100"/>
      <w:ind w:left="1760"/>
    </w:pPr>
    <w:rPr>
      <w:rFonts w:ascii="Arial" w:hAnsi="Arial"/>
    </w:rPr>
  </w:style>
  <w:style w:type="character" w:customStyle="1" w:styleId="ListParagraphChar">
    <w:name w:val="List Paragraph Char"/>
    <w:basedOn w:val="DefaultParagraphFont"/>
    <w:link w:val="ListParagraph"/>
    <w:uiPriority w:val="34"/>
    <w:rsid w:val="00311D15"/>
    <w:rPr>
      <w:color w:val="595959" w:themeColor="text2"/>
      <w:sz w:val="20"/>
      <w:lang w:val="en-US"/>
    </w:rPr>
  </w:style>
  <w:style w:type="table" w:styleId="GridTable4-Accent2">
    <w:name w:val="Grid Table 4 Accent 2"/>
    <w:basedOn w:val="TableNormal"/>
    <w:uiPriority w:val="49"/>
    <w:rsid w:val="00311D15"/>
    <w:pPr>
      <w:spacing w:after="0" w:line="240" w:lineRule="auto"/>
    </w:pPr>
    <w:tblPr>
      <w:tblStyleRowBandSize w:val="1"/>
      <w:tblStyleColBandSize w:val="1"/>
      <w:tblBorders>
        <w:top w:val="single" w:sz="4" w:space="0" w:color="D3E27E" w:themeColor="accent2" w:themeTint="99"/>
        <w:left w:val="single" w:sz="4" w:space="0" w:color="D3E27E" w:themeColor="accent2" w:themeTint="99"/>
        <w:bottom w:val="single" w:sz="4" w:space="0" w:color="D3E27E" w:themeColor="accent2" w:themeTint="99"/>
        <w:right w:val="single" w:sz="4" w:space="0" w:color="D3E27E" w:themeColor="accent2" w:themeTint="99"/>
        <w:insideH w:val="single" w:sz="4" w:space="0" w:color="D3E27E" w:themeColor="accent2" w:themeTint="99"/>
        <w:insideV w:val="single" w:sz="4" w:space="0" w:color="D3E27E" w:themeColor="accent2" w:themeTint="99"/>
      </w:tblBorders>
    </w:tblPr>
    <w:tblStylePr w:type="firstRow">
      <w:rPr>
        <w:b/>
        <w:bCs/>
        <w:color w:val="FFFFFF" w:themeColor="background1"/>
      </w:rPr>
      <w:tblPr/>
      <w:tcPr>
        <w:tcBorders>
          <w:top w:val="single" w:sz="4" w:space="0" w:color="B3CB2D" w:themeColor="accent2"/>
          <w:left w:val="single" w:sz="4" w:space="0" w:color="B3CB2D" w:themeColor="accent2"/>
          <w:bottom w:val="single" w:sz="4" w:space="0" w:color="B3CB2D" w:themeColor="accent2"/>
          <w:right w:val="single" w:sz="4" w:space="0" w:color="B3CB2D" w:themeColor="accent2"/>
          <w:insideH w:val="nil"/>
          <w:insideV w:val="nil"/>
        </w:tcBorders>
        <w:shd w:val="clear" w:color="auto" w:fill="B3CB2D" w:themeFill="accent2"/>
      </w:tcPr>
    </w:tblStylePr>
    <w:tblStylePr w:type="lastRow">
      <w:rPr>
        <w:b/>
        <w:bCs/>
      </w:rPr>
      <w:tblPr/>
      <w:tcPr>
        <w:tcBorders>
          <w:top w:val="double" w:sz="4" w:space="0" w:color="B3CB2D" w:themeColor="accent2"/>
        </w:tcBorders>
      </w:tcPr>
    </w:tblStylePr>
    <w:tblStylePr w:type="firstCol">
      <w:rPr>
        <w:b/>
        <w:bCs/>
      </w:rPr>
    </w:tblStylePr>
    <w:tblStylePr w:type="lastCol">
      <w:rPr>
        <w:b/>
        <w:bCs/>
      </w:rPr>
    </w:tblStylePr>
    <w:tblStylePr w:type="band1Vert">
      <w:tblPr/>
      <w:tcPr>
        <w:shd w:val="clear" w:color="auto" w:fill="F0F5D3" w:themeFill="accent2" w:themeFillTint="33"/>
      </w:tcPr>
    </w:tblStylePr>
    <w:tblStylePr w:type="band1Horz">
      <w:tblPr/>
      <w:tcPr>
        <w:shd w:val="clear" w:color="auto" w:fill="F0F5D3" w:themeFill="accent2" w:themeFillTint="33"/>
      </w:tcPr>
    </w:tblStylePr>
  </w:style>
  <w:style w:type="character" w:styleId="FootnoteReference">
    <w:name w:val="footnote reference"/>
    <w:basedOn w:val="DefaultParagraphFont"/>
    <w:uiPriority w:val="99"/>
    <w:unhideWhenUsed/>
    <w:rsid w:val="00311D15"/>
    <w:rPr>
      <w:rFonts w:asciiTheme="minorHAnsi" w:hAnsiTheme="minorHAnsi"/>
      <w:color w:val="595959" w:themeColor="text2"/>
      <w:sz w:val="16"/>
      <w:vertAlign w:val="superscript"/>
    </w:rPr>
  </w:style>
  <w:style w:type="character" w:styleId="Emphasis">
    <w:name w:val="Emphasis"/>
    <w:basedOn w:val="DefaultParagraphFont"/>
    <w:uiPriority w:val="20"/>
    <w:semiHidden/>
    <w:qFormat/>
    <w:rsid w:val="00311D15"/>
    <w:rPr>
      <w:i/>
      <w:iCs/>
    </w:rPr>
  </w:style>
  <w:style w:type="character" w:styleId="UnresolvedMention">
    <w:name w:val="Unresolved Mention"/>
    <w:basedOn w:val="DefaultParagraphFont"/>
    <w:uiPriority w:val="99"/>
    <w:semiHidden/>
    <w:unhideWhenUsed/>
    <w:rsid w:val="00311D15"/>
    <w:rPr>
      <w:color w:val="605E5C"/>
      <w:shd w:val="clear" w:color="auto" w:fill="E1DFDD"/>
    </w:rPr>
  </w:style>
  <w:style w:type="table" w:styleId="PlainTable3">
    <w:name w:val="Plain Table 3"/>
    <w:basedOn w:val="TableNormal"/>
    <w:uiPriority w:val="43"/>
    <w:rsid w:val="00311D1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Accent1">
    <w:name w:val="Grid Table 1 Light Accent 1"/>
    <w:basedOn w:val="TableNormal"/>
    <w:uiPriority w:val="46"/>
    <w:rsid w:val="00311D15"/>
    <w:pPr>
      <w:spacing w:after="0" w:line="240" w:lineRule="auto"/>
    </w:pPr>
    <w:tblPr>
      <w:tblStyleRowBandSize w:val="1"/>
      <w:tblStyleColBandSize w:val="1"/>
      <w:tblBorders>
        <w:top w:val="single" w:sz="4" w:space="0" w:color="FFDB99" w:themeColor="accent1" w:themeTint="66"/>
        <w:left w:val="single" w:sz="4" w:space="0" w:color="FFDB99" w:themeColor="accent1" w:themeTint="66"/>
        <w:bottom w:val="single" w:sz="4" w:space="0" w:color="FFDB99" w:themeColor="accent1" w:themeTint="66"/>
        <w:right w:val="single" w:sz="4" w:space="0" w:color="FFDB99" w:themeColor="accent1" w:themeTint="66"/>
        <w:insideH w:val="single" w:sz="4" w:space="0" w:color="FFDB99" w:themeColor="accent1" w:themeTint="66"/>
        <w:insideV w:val="single" w:sz="4" w:space="0" w:color="FFDB99" w:themeColor="accent1" w:themeTint="66"/>
      </w:tblBorders>
    </w:tblPr>
    <w:tblStylePr w:type="firstRow">
      <w:rPr>
        <w:b/>
        <w:bCs/>
      </w:rPr>
      <w:tblPr/>
      <w:tcPr>
        <w:tcBorders>
          <w:bottom w:val="single" w:sz="12" w:space="0" w:color="FFC966" w:themeColor="accent1" w:themeTint="99"/>
        </w:tcBorders>
      </w:tcPr>
    </w:tblStylePr>
    <w:tblStylePr w:type="lastRow">
      <w:rPr>
        <w:b/>
        <w:bCs/>
      </w:rPr>
      <w:tblPr/>
      <w:tcPr>
        <w:tcBorders>
          <w:top w:val="double" w:sz="2" w:space="0" w:color="FFC966"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311D15"/>
    <w:pPr>
      <w:spacing w:after="0" w:line="240" w:lineRule="auto"/>
    </w:pPr>
    <w:tblPr>
      <w:tblStyleRowBandSize w:val="1"/>
      <w:tblStyleColBandSize w:val="1"/>
      <w:tblBorders>
        <w:top w:val="single" w:sz="2" w:space="0" w:color="FFC966" w:themeColor="accent1" w:themeTint="99"/>
        <w:bottom w:val="single" w:sz="2" w:space="0" w:color="FFC966" w:themeColor="accent1" w:themeTint="99"/>
        <w:insideH w:val="single" w:sz="2" w:space="0" w:color="FFC966" w:themeColor="accent1" w:themeTint="99"/>
        <w:insideV w:val="single" w:sz="2" w:space="0" w:color="FFC966" w:themeColor="accent1" w:themeTint="99"/>
      </w:tblBorders>
    </w:tblPr>
    <w:tblStylePr w:type="firstRow">
      <w:rPr>
        <w:b/>
        <w:bCs/>
      </w:rPr>
      <w:tblPr/>
      <w:tcPr>
        <w:tcBorders>
          <w:top w:val="nil"/>
          <w:bottom w:val="single" w:sz="12" w:space="0" w:color="FFC966" w:themeColor="accent1" w:themeTint="99"/>
          <w:insideH w:val="nil"/>
          <w:insideV w:val="nil"/>
        </w:tcBorders>
        <w:shd w:val="clear" w:color="auto" w:fill="FFFFFF" w:themeFill="background1"/>
      </w:tcPr>
    </w:tblStylePr>
    <w:tblStylePr w:type="lastRow">
      <w:rPr>
        <w:b/>
        <w:bCs/>
      </w:rPr>
      <w:tblPr/>
      <w:tcPr>
        <w:tcBorders>
          <w:top w:val="double" w:sz="2" w:space="0" w:color="FFC966"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EDCC" w:themeFill="accent1" w:themeFillTint="33"/>
      </w:tcPr>
    </w:tblStylePr>
    <w:tblStylePr w:type="band1Horz">
      <w:tblPr/>
      <w:tcPr>
        <w:shd w:val="clear" w:color="auto" w:fill="FFEDCC" w:themeFill="accent1" w:themeFillTint="33"/>
      </w:tcPr>
    </w:tblStylePr>
  </w:style>
  <w:style w:type="table" w:styleId="ListTable3-Accent1">
    <w:name w:val="List Table 3 Accent 1"/>
    <w:basedOn w:val="TableNormal"/>
    <w:uiPriority w:val="48"/>
    <w:rsid w:val="00311D15"/>
    <w:pPr>
      <w:spacing w:after="0" w:line="240" w:lineRule="auto"/>
    </w:pPr>
    <w:tblPr>
      <w:tblStyleRowBandSize w:val="1"/>
      <w:tblStyleColBandSize w:val="1"/>
      <w:tblBorders>
        <w:top w:val="single" w:sz="4" w:space="0" w:color="FFA600" w:themeColor="accent1"/>
        <w:left w:val="single" w:sz="4" w:space="0" w:color="FFA600" w:themeColor="accent1"/>
        <w:bottom w:val="single" w:sz="4" w:space="0" w:color="FFA600" w:themeColor="accent1"/>
        <w:right w:val="single" w:sz="4" w:space="0" w:color="FFA600" w:themeColor="accent1"/>
      </w:tblBorders>
    </w:tblPr>
    <w:tblStylePr w:type="firstRow">
      <w:rPr>
        <w:b/>
        <w:bCs/>
        <w:color w:val="FFFFFF" w:themeColor="background1"/>
      </w:rPr>
      <w:tblPr/>
      <w:tcPr>
        <w:shd w:val="clear" w:color="auto" w:fill="FFA600" w:themeFill="accent1"/>
      </w:tcPr>
    </w:tblStylePr>
    <w:tblStylePr w:type="lastRow">
      <w:rPr>
        <w:b/>
        <w:bCs/>
      </w:rPr>
      <w:tblPr/>
      <w:tcPr>
        <w:tcBorders>
          <w:top w:val="double" w:sz="4" w:space="0" w:color="FFA600"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A600" w:themeColor="accent1"/>
          <w:right w:val="single" w:sz="4" w:space="0" w:color="FFA600" w:themeColor="accent1"/>
        </w:tcBorders>
      </w:tcPr>
    </w:tblStylePr>
    <w:tblStylePr w:type="band1Horz">
      <w:tblPr/>
      <w:tcPr>
        <w:tcBorders>
          <w:top w:val="single" w:sz="4" w:space="0" w:color="FFA600" w:themeColor="accent1"/>
          <w:bottom w:val="single" w:sz="4" w:space="0" w:color="FFA600"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A600" w:themeColor="accent1"/>
          <w:left w:val="nil"/>
        </w:tcBorders>
      </w:tcPr>
    </w:tblStylePr>
    <w:tblStylePr w:type="swCell">
      <w:tblPr/>
      <w:tcPr>
        <w:tcBorders>
          <w:top w:val="double" w:sz="4" w:space="0" w:color="FFA600" w:themeColor="accent1"/>
          <w:right w:val="nil"/>
        </w:tcBorders>
      </w:tcPr>
    </w:tblStylePr>
  </w:style>
  <w:style w:type="character" w:styleId="Strong">
    <w:name w:val="Strong"/>
    <w:basedOn w:val="DefaultParagraphFont"/>
    <w:uiPriority w:val="22"/>
    <w:qFormat/>
    <w:rsid w:val="00311D15"/>
    <w:rPr>
      <w:rFonts w:ascii="Manrope SemiBold" w:hAnsi="Manrope SemiBold"/>
      <w:b w:val="0"/>
      <w:bCs/>
      <w:color w:val="595959" w:themeColor="text2"/>
    </w:rPr>
  </w:style>
  <w:style w:type="paragraph" w:styleId="Revision">
    <w:name w:val="Revision"/>
    <w:hidden/>
    <w:uiPriority w:val="99"/>
    <w:semiHidden/>
    <w:rsid w:val="005016D1"/>
    <w:pPr>
      <w:spacing w:after="0" w:line="240" w:lineRule="auto"/>
    </w:pPr>
    <w:rPr>
      <w:rFonts w:ascii="Libre Franklin" w:hAnsi="Libre Franklin"/>
      <w:color w:val="000000" w:themeColor="text1"/>
      <w:sz w:val="20"/>
    </w:rPr>
  </w:style>
  <w:style w:type="table" w:styleId="GridTable5Dark-Accent1">
    <w:name w:val="Grid Table 5 Dark Accent 1"/>
    <w:basedOn w:val="TableNormal"/>
    <w:uiPriority w:val="50"/>
    <w:rsid w:val="00311D15"/>
    <w:pPr>
      <w:spacing w:after="0" w:line="240" w:lineRule="auto"/>
    </w:pPr>
    <w:rPr>
      <w:color w:val="595959" w:themeColor="text2"/>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57" w:type="dxa"/>
        <w:bottom w:w="57" w:type="dxa"/>
      </w:tblCellMar>
    </w:tblPr>
    <w:tcPr>
      <w:shd w:val="clear" w:color="auto" w:fill="F5F6F4"/>
    </w:tcPr>
    <w:tblStylePr w:type="firstRow">
      <w:rPr>
        <w:rFonts w:asciiTheme="majorHAnsi" w:hAnsiTheme="majorHAnsi"/>
        <w:b/>
        <w:bCs/>
        <w:color w:val="FFFFFF" w:themeColor="background1"/>
        <w:sz w:val="20"/>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A600" w:themeFill="accent1"/>
      </w:tcPr>
    </w:tblStylePr>
    <w:tblStylePr w:type="lastRow">
      <w:rPr>
        <w:rFonts w:asciiTheme="minorHAnsi" w:hAnsiTheme="minorHAnsi"/>
        <w:b/>
        <w:bCs/>
        <w:color w:val="FFFFFF" w:themeColor="background1"/>
        <w:sz w:val="20"/>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A600" w:themeFill="accent1"/>
      </w:tcPr>
    </w:tblStylePr>
    <w:tblStylePr w:type="firstCol">
      <w:rPr>
        <w:rFonts w:ascii="Cambria" w:hAnsi="Cambria"/>
        <w:b w:val="0"/>
        <w:bCs/>
        <w:color w:val="FFFFFF" w:themeColor="background1"/>
        <w:sz w:val="20"/>
        <w:u w:color="595959" w:themeColor="text2"/>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A600" w:themeFill="accent1"/>
      </w:tcPr>
    </w:tblStylePr>
    <w:tblStylePr w:type="lastCol">
      <w:rPr>
        <w:rFonts w:asciiTheme="minorHAnsi" w:hAnsiTheme="minorHAnsi"/>
        <w:b/>
        <w:bCs/>
        <w:color w:val="FFFFFF" w:themeColor="background1"/>
        <w:sz w:val="20"/>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A600" w:themeFill="accent1"/>
      </w:tcPr>
    </w:tblStylePr>
    <w:tblStylePr w:type="band1Vert">
      <w:rPr>
        <w:rFonts w:asciiTheme="minorHAnsi" w:hAnsiTheme="minorHAnsi"/>
        <w:sz w:val="20"/>
      </w:rPr>
      <w:tblPr/>
      <w:tcPr>
        <w:shd w:val="clear" w:color="auto" w:fill="FFDB99" w:themeFill="accent1" w:themeFillTint="66"/>
      </w:tcPr>
    </w:tblStylePr>
    <w:tblStylePr w:type="band2Vert">
      <w:rPr>
        <w:rFonts w:asciiTheme="minorHAnsi" w:hAnsiTheme="minorHAnsi"/>
        <w:sz w:val="20"/>
      </w:rPr>
    </w:tblStylePr>
    <w:tblStylePr w:type="band1Horz">
      <w:rPr>
        <w:rFonts w:asciiTheme="minorHAnsi" w:hAnsiTheme="minorHAnsi"/>
        <w:sz w:val="20"/>
      </w:rPr>
      <w:tblPr/>
      <w:tcPr>
        <w:shd w:val="clear" w:color="auto" w:fill="FFFFFF" w:themeFill="background1"/>
      </w:tcPr>
    </w:tblStylePr>
    <w:tblStylePr w:type="band2Horz">
      <w:rPr>
        <w:rFonts w:asciiTheme="minorHAnsi" w:hAnsiTheme="minorHAnsi"/>
        <w:sz w:val="20"/>
      </w:rPr>
    </w:tblStylePr>
    <w:tblStylePr w:type="neCell">
      <w:rPr>
        <w:rFonts w:asciiTheme="minorHAnsi" w:hAnsiTheme="minorHAnsi"/>
        <w:sz w:val="20"/>
      </w:rPr>
    </w:tblStylePr>
    <w:tblStylePr w:type="nwCell">
      <w:rPr>
        <w:rFonts w:asciiTheme="minorHAnsi" w:hAnsiTheme="minorHAnsi"/>
        <w:sz w:val="20"/>
      </w:rPr>
    </w:tblStylePr>
    <w:tblStylePr w:type="seCell">
      <w:rPr>
        <w:rFonts w:asciiTheme="minorHAnsi" w:hAnsiTheme="minorHAnsi"/>
        <w:sz w:val="20"/>
      </w:rPr>
    </w:tblStylePr>
    <w:tblStylePr w:type="swCell">
      <w:rPr>
        <w:rFonts w:asciiTheme="minorHAnsi" w:hAnsiTheme="minorHAnsi"/>
        <w:sz w:val="20"/>
      </w:rPr>
    </w:tblStylePr>
  </w:style>
  <w:style w:type="table" w:styleId="GridTable2-Accent3">
    <w:name w:val="Grid Table 2 Accent 3"/>
    <w:basedOn w:val="TableNormal"/>
    <w:uiPriority w:val="47"/>
    <w:rsid w:val="00311D15"/>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FollowedHyperlink">
    <w:name w:val="FollowedHyperlink"/>
    <w:basedOn w:val="DefaultParagraphFont"/>
    <w:uiPriority w:val="99"/>
    <w:semiHidden/>
    <w:unhideWhenUsed/>
    <w:rsid w:val="00311D15"/>
    <w:rPr>
      <w:color w:val="595959" w:themeColor="followedHyperlink"/>
      <w:u w:val="single"/>
    </w:rPr>
  </w:style>
  <w:style w:type="table" w:styleId="PlainTable5">
    <w:name w:val="Plain Table 5"/>
    <w:basedOn w:val="TableNormal"/>
    <w:uiPriority w:val="45"/>
    <w:rsid w:val="00311D1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0">
    <w:name w:val="Table Grid0"/>
    <w:rsid w:val="00311D15"/>
    <w:pPr>
      <w:spacing w:after="0" w:line="240" w:lineRule="auto"/>
    </w:pPr>
    <w:rPr>
      <w:rFonts w:eastAsiaTheme="minorEastAsia"/>
      <w:lang w:eastAsia="de-DE"/>
    </w:rPr>
    <w:tblPr>
      <w:tblCellMar>
        <w:top w:w="0" w:type="dxa"/>
        <w:left w:w="0" w:type="dxa"/>
        <w:bottom w:w="0" w:type="dxa"/>
        <w:right w:w="0" w:type="dxa"/>
      </w:tblCellMar>
    </w:tblPr>
  </w:style>
  <w:style w:type="paragraph" w:styleId="Title">
    <w:name w:val="Title"/>
    <w:basedOn w:val="Normal"/>
    <w:next w:val="Normal"/>
    <w:link w:val="TitleChar"/>
    <w:uiPriority w:val="10"/>
    <w:rsid w:val="00311D15"/>
    <w:pPr>
      <w:spacing w:after="0"/>
      <w:contextualSpacing/>
      <w:jc w:val="left"/>
    </w:pPr>
    <w:rPr>
      <w:rFonts w:ascii="Manrope SemiBold" w:eastAsiaTheme="majorEastAsia" w:hAnsi="Manrope SemiBold" w:cstheme="majorBidi"/>
      <w:color w:val="FFFFFF" w:themeColor="background1"/>
      <w:spacing w:val="-10"/>
      <w:kern w:val="28"/>
      <w:sz w:val="56"/>
      <w:szCs w:val="56"/>
    </w:rPr>
  </w:style>
  <w:style w:type="character" w:customStyle="1" w:styleId="TitleChar">
    <w:name w:val="Title Char"/>
    <w:basedOn w:val="DefaultParagraphFont"/>
    <w:link w:val="Title"/>
    <w:uiPriority w:val="10"/>
    <w:rsid w:val="00311D15"/>
    <w:rPr>
      <w:rFonts w:ascii="Manrope SemiBold" w:eastAsiaTheme="majorEastAsia" w:hAnsi="Manrope SemiBold" w:cstheme="majorBidi"/>
      <w:color w:val="FFFFFF" w:themeColor="background1"/>
      <w:spacing w:val="-10"/>
      <w:kern w:val="28"/>
      <w:sz w:val="56"/>
      <w:szCs w:val="56"/>
      <w:lang w:val="en-US"/>
    </w:rPr>
  </w:style>
  <w:style w:type="paragraph" w:styleId="Subtitle">
    <w:name w:val="Subtitle"/>
    <w:basedOn w:val="Normal"/>
    <w:next w:val="Normal"/>
    <w:link w:val="SubtitleChar"/>
    <w:uiPriority w:val="11"/>
    <w:rsid w:val="00311D15"/>
    <w:pPr>
      <w:numPr>
        <w:ilvl w:val="1"/>
      </w:numPr>
    </w:pPr>
    <w:rPr>
      <w:rFonts w:eastAsiaTheme="minorEastAsia"/>
      <w:color w:val="5A5A5A" w:themeColor="text1" w:themeTint="A5"/>
      <w:spacing w:val="15"/>
      <w:sz w:val="22"/>
    </w:rPr>
  </w:style>
  <w:style w:type="character" w:customStyle="1" w:styleId="SubtitleChar">
    <w:name w:val="Subtitle Char"/>
    <w:basedOn w:val="DefaultParagraphFont"/>
    <w:link w:val="Subtitle"/>
    <w:uiPriority w:val="11"/>
    <w:rsid w:val="00311D15"/>
    <w:rPr>
      <w:rFonts w:eastAsiaTheme="minorEastAsia"/>
      <w:color w:val="5A5A5A" w:themeColor="text1" w:themeTint="A5"/>
      <w:spacing w:val="15"/>
      <w:lang w:val="en-US"/>
    </w:rPr>
  </w:style>
  <w:style w:type="table" w:styleId="GridTable6Colorful-Accent3">
    <w:name w:val="Grid Table 6 Colorful Accent 3"/>
    <w:basedOn w:val="TableNormal"/>
    <w:uiPriority w:val="51"/>
    <w:rsid w:val="00311D15"/>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Cantena-XTable">
    <w:name w:val="Cantena-X Table"/>
    <w:basedOn w:val="TableNormal"/>
    <w:uiPriority w:val="99"/>
    <w:rsid w:val="00311D15"/>
    <w:pPr>
      <w:spacing w:after="0" w:line="240" w:lineRule="auto"/>
    </w:pPr>
    <w:tblPr/>
  </w:style>
  <w:style w:type="table" w:styleId="GridTable6Colorful-Accent5">
    <w:name w:val="Grid Table 6 Colorful Accent 5"/>
    <w:basedOn w:val="TableNormal"/>
    <w:uiPriority w:val="51"/>
    <w:rsid w:val="00311D15"/>
    <w:pPr>
      <w:spacing w:after="0" w:line="240" w:lineRule="auto"/>
    </w:pPr>
    <w:rPr>
      <w:color w:val="034F72" w:themeColor="accent5" w:themeShade="BF"/>
    </w:rPr>
    <w:tblPr>
      <w:tblStyleRowBandSize w:val="1"/>
      <w:tblStyleColBandSize w:val="1"/>
      <w:tblBorders>
        <w:top w:val="single" w:sz="4" w:space="0" w:color="30BBF9" w:themeColor="accent5" w:themeTint="99"/>
        <w:left w:val="single" w:sz="4" w:space="0" w:color="30BBF9" w:themeColor="accent5" w:themeTint="99"/>
        <w:bottom w:val="single" w:sz="4" w:space="0" w:color="30BBF9" w:themeColor="accent5" w:themeTint="99"/>
        <w:right w:val="single" w:sz="4" w:space="0" w:color="30BBF9" w:themeColor="accent5" w:themeTint="99"/>
        <w:insideH w:val="single" w:sz="4" w:space="0" w:color="30BBF9" w:themeColor="accent5" w:themeTint="99"/>
        <w:insideV w:val="single" w:sz="4" w:space="0" w:color="30BBF9" w:themeColor="accent5" w:themeTint="99"/>
      </w:tblBorders>
    </w:tblPr>
    <w:tblStylePr w:type="firstRow">
      <w:rPr>
        <w:b/>
        <w:bCs/>
      </w:rPr>
      <w:tblPr/>
      <w:tcPr>
        <w:tcBorders>
          <w:bottom w:val="single" w:sz="12" w:space="0" w:color="30BBF9" w:themeColor="accent5" w:themeTint="99"/>
        </w:tcBorders>
      </w:tcPr>
    </w:tblStylePr>
    <w:tblStylePr w:type="lastRow">
      <w:rPr>
        <w:b/>
        <w:bCs/>
      </w:rPr>
      <w:tblPr/>
      <w:tcPr>
        <w:tcBorders>
          <w:top w:val="double" w:sz="4" w:space="0" w:color="30BBF9" w:themeColor="accent5" w:themeTint="99"/>
        </w:tcBorders>
      </w:tcPr>
    </w:tblStylePr>
    <w:tblStylePr w:type="firstCol">
      <w:rPr>
        <w:b/>
        <w:bCs/>
      </w:rPr>
    </w:tblStylePr>
    <w:tblStylePr w:type="lastCol">
      <w:rPr>
        <w:b/>
        <w:bCs/>
      </w:rPr>
    </w:tblStylePr>
    <w:tblStylePr w:type="band1Vert">
      <w:tblPr/>
      <w:tcPr>
        <w:shd w:val="clear" w:color="auto" w:fill="BAE8FD" w:themeFill="accent5" w:themeFillTint="33"/>
      </w:tcPr>
    </w:tblStylePr>
    <w:tblStylePr w:type="band1Horz">
      <w:tblPr/>
      <w:tcPr>
        <w:shd w:val="clear" w:color="auto" w:fill="BAE8FD" w:themeFill="accent5" w:themeFillTint="33"/>
      </w:tcPr>
    </w:tblStylePr>
  </w:style>
  <w:style w:type="table" w:styleId="GridTable6Colorful-Accent6">
    <w:name w:val="Grid Table 6 Colorful Accent 6"/>
    <w:basedOn w:val="TableNormal"/>
    <w:uiPriority w:val="51"/>
    <w:rsid w:val="00311D15"/>
    <w:pPr>
      <w:spacing w:after="0" w:line="240" w:lineRule="auto"/>
    </w:pPr>
    <w:rPr>
      <w:color w:val="A21512" w:themeColor="accent6" w:themeShade="BF"/>
    </w:rPr>
    <w:tblPr>
      <w:tblStyleRowBandSize w:val="1"/>
      <w:tblStyleColBandSize w:val="1"/>
      <w:tblBorders>
        <w:top w:val="single" w:sz="4" w:space="0" w:color="EF706D" w:themeColor="accent6" w:themeTint="99"/>
        <w:left w:val="single" w:sz="4" w:space="0" w:color="EF706D" w:themeColor="accent6" w:themeTint="99"/>
        <w:bottom w:val="single" w:sz="4" w:space="0" w:color="EF706D" w:themeColor="accent6" w:themeTint="99"/>
        <w:right w:val="single" w:sz="4" w:space="0" w:color="EF706D" w:themeColor="accent6" w:themeTint="99"/>
        <w:insideH w:val="single" w:sz="4" w:space="0" w:color="EF706D" w:themeColor="accent6" w:themeTint="99"/>
        <w:insideV w:val="single" w:sz="4" w:space="0" w:color="EF706D" w:themeColor="accent6" w:themeTint="99"/>
      </w:tblBorders>
    </w:tblPr>
    <w:tblStylePr w:type="firstRow">
      <w:rPr>
        <w:b/>
        <w:bCs/>
      </w:rPr>
      <w:tblPr/>
      <w:tcPr>
        <w:tcBorders>
          <w:bottom w:val="single" w:sz="12" w:space="0" w:color="EF706D" w:themeColor="accent6" w:themeTint="99"/>
        </w:tcBorders>
      </w:tcPr>
    </w:tblStylePr>
    <w:tblStylePr w:type="lastRow">
      <w:rPr>
        <w:b/>
        <w:bCs/>
      </w:rPr>
      <w:tblPr/>
      <w:tcPr>
        <w:tcBorders>
          <w:top w:val="double" w:sz="4" w:space="0" w:color="EF706D" w:themeColor="accent6" w:themeTint="99"/>
        </w:tcBorders>
      </w:tcPr>
    </w:tblStylePr>
    <w:tblStylePr w:type="firstCol">
      <w:rPr>
        <w:b/>
        <w:bCs/>
      </w:rPr>
    </w:tblStylePr>
    <w:tblStylePr w:type="lastCol">
      <w:rPr>
        <w:b/>
        <w:bCs/>
      </w:rPr>
    </w:tblStylePr>
    <w:tblStylePr w:type="band1Vert">
      <w:tblPr/>
      <w:tcPr>
        <w:shd w:val="clear" w:color="auto" w:fill="F9CFCE" w:themeFill="accent6" w:themeFillTint="33"/>
      </w:tcPr>
    </w:tblStylePr>
    <w:tblStylePr w:type="band1Horz">
      <w:tblPr/>
      <w:tcPr>
        <w:shd w:val="clear" w:color="auto" w:fill="F9CFCE" w:themeFill="accent6" w:themeFillTint="33"/>
      </w:tcPr>
    </w:tblStylePr>
  </w:style>
  <w:style w:type="table" w:styleId="GridTable6Colorful-Accent4">
    <w:name w:val="Grid Table 6 Colorful Accent 4"/>
    <w:basedOn w:val="TableNormal"/>
    <w:uiPriority w:val="51"/>
    <w:rsid w:val="00311D15"/>
    <w:pPr>
      <w:spacing w:after="0" w:line="240" w:lineRule="auto"/>
    </w:pPr>
    <w:rPr>
      <w:color w:val="D7A400" w:themeColor="accent4" w:themeShade="BF"/>
    </w:rPr>
    <w:tblPr>
      <w:tblStyleRowBandSize w:val="1"/>
      <w:tblStyleColBandSize w:val="1"/>
      <w:tblBorders>
        <w:top w:val="single" w:sz="4" w:space="0" w:color="FFDF79" w:themeColor="accent4" w:themeTint="99"/>
        <w:left w:val="single" w:sz="4" w:space="0" w:color="FFDF79" w:themeColor="accent4" w:themeTint="99"/>
        <w:bottom w:val="single" w:sz="4" w:space="0" w:color="FFDF79" w:themeColor="accent4" w:themeTint="99"/>
        <w:right w:val="single" w:sz="4" w:space="0" w:color="FFDF79" w:themeColor="accent4" w:themeTint="99"/>
        <w:insideH w:val="single" w:sz="4" w:space="0" w:color="FFDF79" w:themeColor="accent4" w:themeTint="99"/>
        <w:insideV w:val="single" w:sz="4" w:space="0" w:color="FFDF79" w:themeColor="accent4" w:themeTint="99"/>
      </w:tblBorders>
    </w:tblPr>
    <w:tblStylePr w:type="firstRow">
      <w:rPr>
        <w:b/>
        <w:bCs/>
      </w:rPr>
      <w:tblPr/>
      <w:tcPr>
        <w:tcBorders>
          <w:bottom w:val="single" w:sz="12" w:space="0" w:color="FFDF79" w:themeColor="accent4" w:themeTint="99"/>
        </w:tcBorders>
      </w:tcPr>
    </w:tblStylePr>
    <w:tblStylePr w:type="lastRow">
      <w:rPr>
        <w:b/>
        <w:bCs/>
      </w:rPr>
      <w:tblPr/>
      <w:tcPr>
        <w:tcBorders>
          <w:top w:val="double" w:sz="4" w:space="0" w:color="FFDF79" w:themeColor="accent4" w:themeTint="99"/>
        </w:tcBorders>
      </w:tcPr>
    </w:tblStylePr>
    <w:tblStylePr w:type="firstCol">
      <w:rPr>
        <w:b/>
        <w:bCs/>
      </w:rPr>
    </w:tblStylePr>
    <w:tblStylePr w:type="lastCol">
      <w:rPr>
        <w:b/>
        <w:bCs/>
      </w:rPr>
    </w:tblStylePr>
    <w:tblStylePr w:type="band1Vert">
      <w:tblPr/>
      <w:tcPr>
        <w:shd w:val="clear" w:color="auto" w:fill="FFF4D2" w:themeFill="accent4" w:themeFillTint="33"/>
      </w:tcPr>
    </w:tblStylePr>
    <w:tblStylePr w:type="band1Horz">
      <w:tblPr/>
      <w:tcPr>
        <w:shd w:val="clear" w:color="auto" w:fill="FFF4D2" w:themeFill="accent4" w:themeFillTint="33"/>
      </w:tcPr>
    </w:tblStylePr>
  </w:style>
  <w:style w:type="table" w:customStyle="1" w:styleId="Cantena-X">
    <w:name w:val="Cantena-X"/>
    <w:basedOn w:val="TableNormal"/>
    <w:uiPriority w:val="99"/>
    <w:rsid w:val="00311D15"/>
    <w:pPr>
      <w:spacing w:after="0" w:line="240" w:lineRule="auto"/>
    </w:p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595959" w:themeColor="text2"/>
        <w:sz w:val="20"/>
      </w:rPr>
      <w:tblPr/>
      <w:tcPr>
        <w:shd w:val="clear" w:color="auto" w:fill="FFA600" w:themeFill="accent1"/>
      </w:tcPr>
    </w:tblStylePr>
    <w:tblStylePr w:type="band1Horz">
      <w:tblPr/>
      <w:tcPr>
        <w:tcBorders>
          <w:insideH w:val="nil"/>
          <w:insideV w:val="nil"/>
        </w:tcBorders>
        <w:shd w:val="clear" w:color="auto" w:fill="FFFFFF" w:themeFill="background1"/>
      </w:tcPr>
    </w:tblStylePr>
    <w:tblStylePr w:type="band2Horz">
      <w:rPr>
        <w:color w:val="595959" w:themeColor="text2"/>
      </w:rPr>
      <w:tblPr/>
      <w:tcPr>
        <w:shd w:val="clear" w:color="auto" w:fill="F5F6F4"/>
      </w:tcPr>
    </w:tblStylePr>
  </w:style>
  <w:style w:type="paragraph" w:customStyle="1" w:styleId="TableText">
    <w:name w:val="Table Text"/>
    <w:qFormat/>
    <w:rsid w:val="00311D15"/>
    <w:pPr>
      <w:spacing w:after="0" w:line="240" w:lineRule="auto"/>
    </w:pPr>
    <w:rPr>
      <w:rFonts w:asciiTheme="majorHAnsi" w:eastAsia="Times New Roman" w:hAnsiTheme="majorHAnsi" w:cs="Times New Roman"/>
      <w:color w:val="595959" w:themeColor="text2"/>
      <w:sz w:val="20"/>
      <w:szCs w:val="20"/>
      <w:lang w:val="en-US" w:eastAsia="de-DE"/>
    </w:rPr>
  </w:style>
  <w:style w:type="table" w:styleId="GridTable4-Accent1">
    <w:name w:val="Grid Table 4 Accent 1"/>
    <w:basedOn w:val="TableNormal"/>
    <w:uiPriority w:val="49"/>
    <w:rsid w:val="00311D15"/>
    <w:pPr>
      <w:spacing w:after="0" w:line="240" w:lineRule="auto"/>
    </w:pPr>
    <w:tblPr>
      <w:tblStyleRowBandSize w:val="1"/>
      <w:tblStyleColBandSize w:val="1"/>
      <w:tblBorders>
        <w:top w:val="single" w:sz="4" w:space="0" w:color="FFC966" w:themeColor="accent1" w:themeTint="99"/>
        <w:left w:val="single" w:sz="4" w:space="0" w:color="FFC966" w:themeColor="accent1" w:themeTint="99"/>
        <w:bottom w:val="single" w:sz="4" w:space="0" w:color="FFC966" w:themeColor="accent1" w:themeTint="99"/>
        <w:right w:val="single" w:sz="4" w:space="0" w:color="FFC966" w:themeColor="accent1" w:themeTint="99"/>
        <w:insideH w:val="single" w:sz="4" w:space="0" w:color="FFC966" w:themeColor="accent1" w:themeTint="99"/>
        <w:insideV w:val="single" w:sz="4" w:space="0" w:color="FFC966" w:themeColor="accent1" w:themeTint="99"/>
      </w:tblBorders>
    </w:tblPr>
    <w:tblStylePr w:type="firstRow">
      <w:rPr>
        <w:b/>
        <w:bCs/>
        <w:color w:val="FFFFFF" w:themeColor="background1"/>
      </w:rPr>
      <w:tblPr/>
      <w:tcPr>
        <w:tcBorders>
          <w:top w:val="single" w:sz="4" w:space="0" w:color="FFA600" w:themeColor="accent1"/>
          <w:left w:val="single" w:sz="4" w:space="0" w:color="FFA600" w:themeColor="accent1"/>
          <w:bottom w:val="single" w:sz="4" w:space="0" w:color="FFA600" w:themeColor="accent1"/>
          <w:right w:val="single" w:sz="4" w:space="0" w:color="FFA600" w:themeColor="accent1"/>
          <w:insideH w:val="nil"/>
          <w:insideV w:val="nil"/>
        </w:tcBorders>
        <w:shd w:val="clear" w:color="auto" w:fill="FFA600" w:themeFill="accent1"/>
      </w:tcPr>
    </w:tblStylePr>
    <w:tblStylePr w:type="lastRow">
      <w:rPr>
        <w:b/>
        <w:bCs/>
      </w:rPr>
      <w:tblPr/>
      <w:tcPr>
        <w:tcBorders>
          <w:top w:val="double" w:sz="4" w:space="0" w:color="FFA600" w:themeColor="accent1"/>
        </w:tcBorders>
      </w:tcPr>
    </w:tblStylePr>
    <w:tblStylePr w:type="firstCol">
      <w:rPr>
        <w:b/>
        <w:bCs/>
      </w:rPr>
    </w:tblStylePr>
    <w:tblStylePr w:type="lastCol">
      <w:rPr>
        <w:b/>
        <w:bCs/>
      </w:rPr>
    </w:tblStylePr>
    <w:tblStylePr w:type="band1Vert">
      <w:tblPr/>
      <w:tcPr>
        <w:shd w:val="clear" w:color="auto" w:fill="FFEDCC" w:themeFill="accent1" w:themeFillTint="33"/>
      </w:tcPr>
    </w:tblStylePr>
    <w:tblStylePr w:type="band1Horz">
      <w:tblPr/>
      <w:tcPr>
        <w:shd w:val="clear" w:color="auto" w:fill="FFEDCC" w:themeFill="accent1" w:themeFillTint="33"/>
      </w:tcPr>
    </w:tblStylePr>
  </w:style>
  <w:style w:type="table" w:styleId="GridTable5Dark-Accent2">
    <w:name w:val="Grid Table 5 Dark Accent 2"/>
    <w:basedOn w:val="TableNormal"/>
    <w:uiPriority w:val="50"/>
    <w:rsid w:val="00311D1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0F5D3"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3CB2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3CB2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3CB2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3CB2D" w:themeFill="accent2"/>
      </w:tcPr>
    </w:tblStylePr>
    <w:tblStylePr w:type="band1Vert">
      <w:tblPr/>
      <w:tcPr>
        <w:shd w:val="clear" w:color="auto" w:fill="E1ECA9" w:themeFill="accent2" w:themeFillTint="66"/>
      </w:tcPr>
    </w:tblStylePr>
    <w:tblStylePr w:type="band1Horz">
      <w:tblPr/>
      <w:tcPr>
        <w:shd w:val="clear" w:color="auto" w:fill="E1ECA9" w:themeFill="accent2" w:themeFillTint="66"/>
      </w:tcPr>
    </w:tblStylePr>
  </w:style>
  <w:style w:type="table" w:styleId="GridTable5Dark-Accent3">
    <w:name w:val="Grid Table 5 Dark Accent 3"/>
    <w:basedOn w:val="TableNormal"/>
    <w:uiPriority w:val="50"/>
    <w:rsid w:val="00311D1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est">
    <w:name w:val="test"/>
    <w:basedOn w:val="TableNormal"/>
    <w:uiPriority w:val="99"/>
    <w:rsid w:val="00311D15"/>
    <w:pPr>
      <w:spacing w:after="0" w:line="240" w:lineRule="auto"/>
    </w:pPr>
    <w:tblPr/>
  </w:style>
  <w:style w:type="character" w:styleId="EndnoteReference">
    <w:name w:val="endnote reference"/>
    <w:basedOn w:val="DefaultParagraphFont"/>
    <w:uiPriority w:val="99"/>
    <w:semiHidden/>
    <w:unhideWhenUsed/>
    <w:rsid w:val="00311D15"/>
    <w:rPr>
      <w:vertAlign w:val="superscript"/>
    </w:rPr>
  </w:style>
  <w:style w:type="paragraph" w:styleId="CommentText">
    <w:name w:val="annotation text"/>
    <w:basedOn w:val="Normal"/>
    <w:link w:val="CommentTextChar"/>
    <w:uiPriority w:val="99"/>
    <w:unhideWhenUsed/>
    <w:rsid w:val="00311D15"/>
    <w:rPr>
      <w:szCs w:val="20"/>
    </w:rPr>
  </w:style>
  <w:style w:type="character" w:customStyle="1" w:styleId="CommentTextChar">
    <w:name w:val="Comment Text Char"/>
    <w:basedOn w:val="DefaultParagraphFont"/>
    <w:link w:val="CommentText"/>
    <w:uiPriority w:val="99"/>
    <w:rsid w:val="00311D15"/>
    <w:rPr>
      <w:color w:val="595959" w:themeColor="text2"/>
      <w:sz w:val="20"/>
      <w:szCs w:val="20"/>
      <w:lang w:val="en-US"/>
    </w:rPr>
  </w:style>
  <w:style w:type="character" w:styleId="Hyperlink">
    <w:name w:val="Hyperlink"/>
    <w:basedOn w:val="DefaultParagraphFont"/>
    <w:uiPriority w:val="99"/>
    <w:unhideWhenUsed/>
    <w:rsid w:val="00A6454B"/>
    <w:rPr>
      <w:color w:val="595959" w:themeColor="hyperlink"/>
      <w:u w:val="single"/>
    </w:rPr>
  </w:style>
  <w:style w:type="character" w:styleId="LineNumber">
    <w:name w:val="line number"/>
    <w:basedOn w:val="DefaultParagraphFont"/>
    <w:uiPriority w:val="99"/>
    <w:semiHidden/>
    <w:unhideWhenUsed/>
    <w:rsid w:val="0021723B"/>
  </w:style>
  <w:style w:type="table" w:styleId="PlainTable1">
    <w:name w:val="Plain Table 1"/>
    <w:basedOn w:val="TableNormal"/>
    <w:uiPriority w:val="41"/>
    <w:rsid w:val="00E36A4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nnex">
    <w:name w:val="Annex"/>
    <w:basedOn w:val="Heading1"/>
    <w:link w:val="AnnexZchn"/>
    <w:qFormat/>
    <w:rsid w:val="0094308A"/>
    <w:pPr>
      <w:numPr>
        <w:numId w:val="0"/>
      </w:numPr>
    </w:pPr>
  </w:style>
  <w:style w:type="paragraph" w:customStyle="1" w:styleId="AnnexSubchapter">
    <w:name w:val="Annex Subchapter"/>
    <w:basedOn w:val="Heading2"/>
    <w:link w:val="AnnexSubchapterZchn"/>
    <w:qFormat/>
    <w:rsid w:val="00305D6C"/>
    <w:pPr>
      <w:numPr>
        <w:numId w:val="2"/>
      </w:numPr>
    </w:pPr>
  </w:style>
  <w:style w:type="character" w:customStyle="1" w:styleId="AnnexZchn">
    <w:name w:val="Annex Zchn"/>
    <w:basedOn w:val="Heading1Char"/>
    <w:link w:val="Annex"/>
    <w:rsid w:val="0094308A"/>
    <w:rPr>
      <w:rFonts w:ascii="Manrope SemiBold" w:eastAsiaTheme="majorEastAsia" w:hAnsi="Manrope SemiBold" w:cstheme="majorBidi"/>
      <w:color w:val="FFA600" w:themeColor="accent1"/>
      <w:sz w:val="44"/>
      <w:szCs w:val="32"/>
      <w:lang w:val="en-US"/>
    </w:rPr>
  </w:style>
  <w:style w:type="character" w:customStyle="1" w:styleId="AnnexSubchapterZchn">
    <w:name w:val="Annex Subchapter Zchn"/>
    <w:basedOn w:val="Heading2Char"/>
    <w:link w:val="AnnexSubchapter"/>
    <w:rsid w:val="00305D6C"/>
    <w:rPr>
      <w:rFonts w:ascii="Calibri" w:eastAsiaTheme="majorEastAsia" w:hAnsi="Calibri" w:cstheme="majorBidi"/>
      <w:color w:val="046B99" w:themeColor="accent5"/>
      <w:sz w:val="24"/>
      <w:szCs w:val="26"/>
      <w:lang w:val="en-US"/>
    </w:rPr>
  </w:style>
  <w:style w:type="paragraph" w:styleId="NoSpacing">
    <w:name w:val="No Spacing"/>
    <w:uiPriority w:val="1"/>
    <w:qFormat/>
    <w:rsid w:val="00FB4ADF"/>
    <w:pPr>
      <w:spacing w:after="0" w:line="240" w:lineRule="auto"/>
      <w:jc w:val="both"/>
    </w:pPr>
    <w:rPr>
      <w:color w:val="595959" w:themeColor="text2"/>
      <w:sz w:val="20"/>
      <w:lang w:val="en-US"/>
    </w:rPr>
  </w:style>
  <w:style w:type="character" w:customStyle="1" w:styleId="sts-tbx-note-label">
    <w:name w:val="sts-tbx-note-label"/>
    <w:basedOn w:val="DefaultParagraphFont"/>
    <w:rsid w:val="00C6101B"/>
  </w:style>
  <w:style w:type="character" w:customStyle="1" w:styleId="hit">
    <w:name w:val="hit"/>
    <w:basedOn w:val="DefaultParagraphFont"/>
    <w:rsid w:val="00001D14"/>
  </w:style>
  <w:style w:type="paragraph" w:customStyle="1" w:styleId="paragraph">
    <w:name w:val="paragraph"/>
    <w:basedOn w:val="Normal"/>
    <w:rsid w:val="008C6C05"/>
    <w:pPr>
      <w:spacing w:before="100" w:beforeAutospacing="1" w:after="100" w:afterAutospacing="1"/>
      <w:jc w:val="left"/>
    </w:pPr>
    <w:rPr>
      <w:rFonts w:ascii="Times New Roman" w:eastAsia="Times New Roman" w:hAnsi="Times New Roman" w:cs="Times New Roman"/>
      <w:color w:val="auto"/>
      <w:sz w:val="24"/>
      <w:szCs w:val="24"/>
    </w:rPr>
  </w:style>
  <w:style w:type="character" w:customStyle="1" w:styleId="normaltextrun">
    <w:name w:val="normaltextrun"/>
    <w:basedOn w:val="DefaultParagraphFont"/>
    <w:rsid w:val="008C6C05"/>
  </w:style>
  <w:style w:type="character" w:customStyle="1" w:styleId="eop">
    <w:name w:val="eop"/>
    <w:basedOn w:val="DefaultParagraphFont"/>
    <w:rsid w:val="008C6C05"/>
  </w:style>
  <w:style w:type="character" w:customStyle="1" w:styleId="advancedproofingissue">
    <w:name w:val="advancedproofingissue"/>
    <w:basedOn w:val="DefaultParagraphFont"/>
    <w:rsid w:val="008C6C05"/>
  </w:style>
  <w:style w:type="character" w:customStyle="1" w:styleId="cf01">
    <w:name w:val="cf01"/>
    <w:basedOn w:val="DefaultParagraphFont"/>
    <w:rsid w:val="00336BCC"/>
    <w:rPr>
      <w:rFonts w:ascii="Segoe UI" w:hAnsi="Segoe UI" w:cs="Segoe UI" w:hint="default"/>
      <w:sz w:val="18"/>
      <w:szCs w:val="18"/>
    </w:rPr>
  </w:style>
  <w:style w:type="character" w:customStyle="1" w:styleId="superscript">
    <w:name w:val="superscript"/>
    <w:basedOn w:val="DefaultParagraphFont"/>
    <w:rsid w:val="00CA400D"/>
  </w:style>
  <w:style w:type="character" w:customStyle="1" w:styleId="ui-provider">
    <w:name w:val="ui-provider"/>
    <w:basedOn w:val="DefaultParagraphFont"/>
    <w:rsid w:val="00291D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708859">
      <w:bodyDiv w:val="1"/>
      <w:marLeft w:val="0"/>
      <w:marRight w:val="0"/>
      <w:marTop w:val="0"/>
      <w:marBottom w:val="0"/>
      <w:divBdr>
        <w:top w:val="none" w:sz="0" w:space="0" w:color="auto"/>
        <w:left w:val="none" w:sz="0" w:space="0" w:color="auto"/>
        <w:bottom w:val="none" w:sz="0" w:space="0" w:color="auto"/>
        <w:right w:val="none" w:sz="0" w:space="0" w:color="auto"/>
      </w:divBdr>
    </w:div>
    <w:div w:id="64302541">
      <w:bodyDiv w:val="1"/>
      <w:marLeft w:val="0"/>
      <w:marRight w:val="0"/>
      <w:marTop w:val="0"/>
      <w:marBottom w:val="0"/>
      <w:divBdr>
        <w:top w:val="none" w:sz="0" w:space="0" w:color="auto"/>
        <w:left w:val="none" w:sz="0" w:space="0" w:color="auto"/>
        <w:bottom w:val="none" w:sz="0" w:space="0" w:color="auto"/>
        <w:right w:val="none" w:sz="0" w:space="0" w:color="auto"/>
      </w:divBdr>
    </w:div>
    <w:div w:id="68817648">
      <w:bodyDiv w:val="1"/>
      <w:marLeft w:val="0"/>
      <w:marRight w:val="0"/>
      <w:marTop w:val="0"/>
      <w:marBottom w:val="0"/>
      <w:divBdr>
        <w:top w:val="none" w:sz="0" w:space="0" w:color="auto"/>
        <w:left w:val="none" w:sz="0" w:space="0" w:color="auto"/>
        <w:bottom w:val="none" w:sz="0" w:space="0" w:color="auto"/>
        <w:right w:val="none" w:sz="0" w:space="0" w:color="auto"/>
      </w:divBdr>
    </w:div>
    <w:div w:id="112601326">
      <w:bodyDiv w:val="1"/>
      <w:marLeft w:val="0"/>
      <w:marRight w:val="0"/>
      <w:marTop w:val="0"/>
      <w:marBottom w:val="0"/>
      <w:divBdr>
        <w:top w:val="none" w:sz="0" w:space="0" w:color="auto"/>
        <w:left w:val="none" w:sz="0" w:space="0" w:color="auto"/>
        <w:bottom w:val="none" w:sz="0" w:space="0" w:color="auto"/>
        <w:right w:val="none" w:sz="0" w:space="0" w:color="auto"/>
      </w:divBdr>
    </w:div>
    <w:div w:id="128979956">
      <w:bodyDiv w:val="1"/>
      <w:marLeft w:val="0"/>
      <w:marRight w:val="0"/>
      <w:marTop w:val="0"/>
      <w:marBottom w:val="0"/>
      <w:divBdr>
        <w:top w:val="none" w:sz="0" w:space="0" w:color="auto"/>
        <w:left w:val="none" w:sz="0" w:space="0" w:color="auto"/>
        <w:bottom w:val="none" w:sz="0" w:space="0" w:color="auto"/>
        <w:right w:val="none" w:sz="0" w:space="0" w:color="auto"/>
      </w:divBdr>
    </w:div>
    <w:div w:id="142044188">
      <w:bodyDiv w:val="1"/>
      <w:marLeft w:val="0"/>
      <w:marRight w:val="0"/>
      <w:marTop w:val="0"/>
      <w:marBottom w:val="0"/>
      <w:divBdr>
        <w:top w:val="none" w:sz="0" w:space="0" w:color="auto"/>
        <w:left w:val="none" w:sz="0" w:space="0" w:color="auto"/>
        <w:bottom w:val="none" w:sz="0" w:space="0" w:color="auto"/>
        <w:right w:val="none" w:sz="0" w:space="0" w:color="auto"/>
      </w:divBdr>
      <w:divsChild>
        <w:div w:id="59905845">
          <w:marLeft w:val="0"/>
          <w:marRight w:val="0"/>
          <w:marTop w:val="0"/>
          <w:marBottom w:val="0"/>
          <w:divBdr>
            <w:top w:val="none" w:sz="0" w:space="0" w:color="auto"/>
            <w:left w:val="none" w:sz="0" w:space="0" w:color="auto"/>
            <w:bottom w:val="none" w:sz="0" w:space="0" w:color="auto"/>
            <w:right w:val="none" w:sz="0" w:space="0" w:color="auto"/>
          </w:divBdr>
        </w:div>
        <w:div w:id="142091820">
          <w:marLeft w:val="0"/>
          <w:marRight w:val="0"/>
          <w:marTop w:val="0"/>
          <w:marBottom w:val="0"/>
          <w:divBdr>
            <w:top w:val="none" w:sz="0" w:space="0" w:color="auto"/>
            <w:left w:val="none" w:sz="0" w:space="0" w:color="auto"/>
            <w:bottom w:val="none" w:sz="0" w:space="0" w:color="auto"/>
            <w:right w:val="none" w:sz="0" w:space="0" w:color="auto"/>
          </w:divBdr>
        </w:div>
        <w:div w:id="311565143">
          <w:marLeft w:val="0"/>
          <w:marRight w:val="0"/>
          <w:marTop w:val="0"/>
          <w:marBottom w:val="0"/>
          <w:divBdr>
            <w:top w:val="none" w:sz="0" w:space="0" w:color="auto"/>
            <w:left w:val="none" w:sz="0" w:space="0" w:color="auto"/>
            <w:bottom w:val="none" w:sz="0" w:space="0" w:color="auto"/>
            <w:right w:val="none" w:sz="0" w:space="0" w:color="auto"/>
          </w:divBdr>
          <w:divsChild>
            <w:div w:id="152796222">
              <w:marLeft w:val="0"/>
              <w:marRight w:val="0"/>
              <w:marTop w:val="0"/>
              <w:marBottom w:val="0"/>
              <w:divBdr>
                <w:top w:val="none" w:sz="0" w:space="0" w:color="auto"/>
                <w:left w:val="none" w:sz="0" w:space="0" w:color="auto"/>
                <w:bottom w:val="none" w:sz="0" w:space="0" w:color="auto"/>
                <w:right w:val="none" w:sz="0" w:space="0" w:color="auto"/>
              </w:divBdr>
            </w:div>
            <w:div w:id="1250238088">
              <w:marLeft w:val="0"/>
              <w:marRight w:val="0"/>
              <w:marTop w:val="0"/>
              <w:marBottom w:val="0"/>
              <w:divBdr>
                <w:top w:val="none" w:sz="0" w:space="0" w:color="auto"/>
                <w:left w:val="none" w:sz="0" w:space="0" w:color="auto"/>
                <w:bottom w:val="none" w:sz="0" w:space="0" w:color="auto"/>
                <w:right w:val="none" w:sz="0" w:space="0" w:color="auto"/>
              </w:divBdr>
            </w:div>
          </w:divsChild>
        </w:div>
        <w:div w:id="361516720">
          <w:marLeft w:val="0"/>
          <w:marRight w:val="0"/>
          <w:marTop w:val="0"/>
          <w:marBottom w:val="0"/>
          <w:divBdr>
            <w:top w:val="none" w:sz="0" w:space="0" w:color="auto"/>
            <w:left w:val="none" w:sz="0" w:space="0" w:color="auto"/>
            <w:bottom w:val="none" w:sz="0" w:space="0" w:color="auto"/>
            <w:right w:val="none" w:sz="0" w:space="0" w:color="auto"/>
          </w:divBdr>
        </w:div>
        <w:div w:id="456920440">
          <w:marLeft w:val="0"/>
          <w:marRight w:val="0"/>
          <w:marTop w:val="0"/>
          <w:marBottom w:val="0"/>
          <w:divBdr>
            <w:top w:val="none" w:sz="0" w:space="0" w:color="auto"/>
            <w:left w:val="none" w:sz="0" w:space="0" w:color="auto"/>
            <w:bottom w:val="none" w:sz="0" w:space="0" w:color="auto"/>
            <w:right w:val="none" w:sz="0" w:space="0" w:color="auto"/>
          </w:divBdr>
          <w:divsChild>
            <w:div w:id="352003216">
              <w:marLeft w:val="0"/>
              <w:marRight w:val="0"/>
              <w:marTop w:val="0"/>
              <w:marBottom w:val="0"/>
              <w:divBdr>
                <w:top w:val="none" w:sz="0" w:space="0" w:color="auto"/>
                <w:left w:val="none" w:sz="0" w:space="0" w:color="auto"/>
                <w:bottom w:val="none" w:sz="0" w:space="0" w:color="auto"/>
                <w:right w:val="none" w:sz="0" w:space="0" w:color="auto"/>
              </w:divBdr>
            </w:div>
            <w:div w:id="816800372">
              <w:marLeft w:val="0"/>
              <w:marRight w:val="0"/>
              <w:marTop w:val="0"/>
              <w:marBottom w:val="0"/>
              <w:divBdr>
                <w:top w:val="none" w:sz="0" w:space="0" w:color="auto"/>
                <w:left w:val="none" w:sz="0" w:space="0" w:color="auto"/>
                <w:bottom w:val="none" w:sz="0" w:space="0" w:color="auto"/>
                <w:right w:val="none" w:sz="0" w:space="0" w:color="auto"/>
              </w:divBdr>
            </w:div>
            <w:div w:id="1972126109">
              <w:marLeft w:val="0"/>
              <w:marRight w:val="0"/>
              <w:marTop w:val="0"/>
              <w:marBottom w:val="0"/>
              <w:divBdr>
                <w:top w:val="none" w:sz="0" w:space="0" w:color="auto"/>
                <w:left w:val="none" w:sz="0" w:space="0" w:color="auto"/>
                <w:bottom w:val="none" w:sz="0" w:space="0" w:color="auto"/>
                <w:right w:val="none" w:sz="0" w:space="0" w:color="auto"/>
              </w:divBdr>
            </w:div>
          </w:divsChild>
        </w:div>
        <w:div w:id="504711553">
          <w:marLeft w:val="0"/>
          <w:marRight w:val="0"/>
          <w:marTop w:val="0"/>
          <w:marBottom w:val="0"/>
          <w:divBdr>
            <w:top w:val="none" w:sz="0" w:space="0" w:color="auto"/>
            <w:left w:val="none" w:sz="0" w:space="0" w:color="auto"/>
            <w:bottom w:val="none" w:sz="0" w:space="0" w:color="auto"/>
            <w:right w:val="none" w:sz="0" w:space="0" w:color="auto"/>
          </w:divBdr>
          <w:divsChild>
            <w:div w:id="250706032">
              <w:marLeft w:val="0"/>
              <w:marRight w:val="0"/>
              <w:marTop w:val="0"/>
              <w:marBottom w:val="0"/>
              <w:divBdr>
                <w:top w:val="none" w:sz="0" w:space="0" w:color="auto"/>
                <w:left w:val="none" w:sz="0" w:space="0" w:color="auto"/>
                <w:bottom w:val="none" w:sz="0" w:space="0" w:color="auto"/>
                <w:right w:val="none" w:sz="0" w:space="0" w:color="auto"/>
              </w:divBdr>
            </w:div>
            <w:div w:id="816608661">
              <w:marLeft w:val="0"/>
              <w:marRight w:val="0"/>
              <w:marTop w:val="0"/>
              <w:marBottom w:val="0"/>
              <w:divBdr>
                <w:top w:val="none" w:sz="0" w:space="0" w:color="auto"/>
                <w:left w:val="none" w:sz="0" w:space="0" w:color="auto"/>
                <w:bottom w:val="none" w:sz="0" w:space="0" w:color="auto"/>
                <w:right w:val="none" w:sz="0" w:space="0" w:color="auto"/>
              </w:divBdr>
            </w:div>
            <w:div w:id="872575774">
              <w:marLeft w:val="0"/>
              <w:marRight w:val="0"/>
              <w:marTop w:val="0"/>
              <w:marBottom w:val="0"/>
              <w:divBdr>
                <w:top w:val="none" w:sz="0" w:space="0" w:color="auto"/>
                <w:left w:val="none" w:sz="0" w:space="0" w:color="auto"/>
                <w:bottom w:val="none" w:sz="0" w:space="0" w:color="auto"/>
                <w:right w:val="none" w:sz="0" w:space="0" w:color="auto"/>
              </w:divBdr>
            </w:div>
            <w:div w:id="1682321435">
              <w:marLeft w:val="0"/>
              <w:marRight w:val="0"/>
              <w:marTop w:val="0"/>
              <w:marBottom w:val="0"/>
              <w:divBdr>
                <w:top w:val="none" w:sz="0" w:space="0" w:color="auto"/>
                <w:left w:val="none" w:sz="0" w:space="0" w:color="auto"/>
                <w:bottom w:val="none" w:sz="0" w:space="0" w:color="auto"/>
                <w:right w:val="none" w:sz="0" w:space="0" w:color="auto"/>
              </w:divBdr>
            </w:div>
            <w:div w:id="1813979400">
              <w:marLeft w:val="0"/>
              <w:marRight w:val="0"/>
              <w:marTop w:val="0"/>
              <w:marBottom w:val="0"/>
              <w:divBdr>
                <w:top w:val="none" w:sz="0" w:space="0" w:color="auto"/>
                <w:left w:val="none" w:sz="0" w:space="0" w:color="auto"/>
                <w:bottom w:val="none" w:sz="0" w:space="0" w:color="auto"/>
                <w:right w:val="none" w:sz="0" w:space="0" w:color="auto"/>
              </w:divBdr>
            </w:div>
          </w:divsChild>
        </w:div>
        <w:div w:id="943726973">
          <w:marLeft w:val="0"/>
          <w:marRight w:val="0"/>
          <w:marTop w:val="0"/>
          <w:marBottom w:val="0"/>
          <w:divBdr>
            <w:top w:val="none" w:sz="0" w:space="0" w:color="auto"/>
            <w:left w:val="none" w:sz="0" w:space="0" w:color="auto"/>
            <w:bottom w:val="none" w:sz="0" w:space="0" w:color="auto"/>
            <w:right w:val="none" w:sz="0" w:space="0" w:color="auto"/>
          </w:divBdr>
        </w:div>
        <w:div w:id="1516386265">
          <w:marLeft w:val="0"/>
          <w:marRight w:val="0"/>
          <w:marTop w:val="0"/>
          <w:marBottom w:val="0"/>
          <w:divBdr>
            <w:top w:val="none" w:sz="0" w:space="0" w:color="auto"/>
            <w:left w:val="none" w:sz="0" w:space="0" w:color="auto"/>
            <w:bottom w:val="none" w:sz="0" w:space="0" w:color="auto"/>
            <w:right w:val="none" w:sz="0" w:space="0" w:color="auto"/>
          </w:divBdr>
        </w:div>
        <w:div w:id="1601792344">
          <w:marLeft w:val="0"/>
          <w:marRight w:val="0"/>
          <w:marTop w:val="0"/>
          <w:marBottom w:val="0"/>
          <w:divBdr>
            <w:top w:val="none" w:sz="0" w:space="0" w:color="auto"/>
            <w:left w:val="none" w:sz="0" w:space="0" w:color="auto"/>
            <w:bottom w:val="none" w:sz="0" w:space="0" w:color="auto"/>
            <w:right w:val="none" w:sz="0" w:space="0" w:color="auto"/>
          </w:divBdr>
        </w:div>
        <w:div w:id="1942298096">
          <w:marLeft w:val="0"/>
          <w:marRight w:val="0"/>
          <w:marTop w:val="0"/>
          <w:marBottom w:val="0"/>
          <w:divBdr>
            <w:top w:val="none" w:sz="0" w:space="0" w:color="auto"/>
            <w:left w:val="none" w:sz="0" w:space="0" w:color="auto"/>
            <w:bottom w:val="none" w:sz="0" w:space="0" w:color="auto"/>
            <w:right w:val="none" w:sz="0" w:space="0" w:color="auto"/>
          </w:divBdr>
        </w:div>
      </w:divsChild>
    </w:div>
    <w:div w:id="150602193">
      <w:bodyDiv w:val="1"/>
      <w:marLeft w:val="0"/>
      <w:marRight w:val="0"/>
      <w:marTop w:val="0"/>
      <w:marBottom w:val="0"/>
      <w:divBdr>
        <w:top w:val="none" w:sz="0" w:space="0" w:color="auto"/>
        <w:left w:val="none" w:sz="0" w:space="0" w:color="auto"/>
        <w:bottom w:val="none" w:sz="0" w:space="0" w:color="auto"/>
        <w:right w:val="none" w:sz="0" w:space="0" w:color="auto"/>
      </w:divBdr>
    </w:div>
    <w:div w:id="152795653">
      <w:bodyDiv w:val="1"/>
      <w:marLeft w:val="0"/>
      <w:marRight w:val="0"/>
      <w:marTop w:val="0"/>
      <w:marBottom w:val="0"/>
      <w:divBdr>
        <w:top w:val="none" w:sz="0" w:space="0" w:color="auto"/>
        <w:left w:val="none" w:sz="0" w:space="0" w:color="auto"/>
        <w:bottom w:val="none" w:sz="0" w:space="0" w:color="auto"/>
        <w:right w:val="none" w:sz="0" w:space="0" w:color="auto"/>
      </w:divBdr>
    </w:div>
    <w:div w:id="153687580">
      <w:bodyDiv w:val="1"/>
      <w:marLeft w:val="0"/>
      <w:marRight w:val="0"/>
      <w:marTop w:val="0"/>
      <w:marBottom w:val="0"/>
      <w:divBdr>
        <w:top w:val="none" w:sz="0" w:space="0" w:color="auto"/>
        <w:left w:val="none" w:sz="0" w:space="0" w:color="auto"/>
        <w:bottom w:val="none" w:sz="0" w:space="0" w:color="auto"/>
        <w:right w:val="none" w:sz="0" w:space="0" w:color="auto"/>
      </w:divBdr>
      <w:divsChild>
        <w:div w:id="216010949">
          <w:marLeft w:val="0"/>
          <w:marRight w:val="0"/>
          <w:marTop w:val="0"/>
          <w:marBottom w:val="0"/>
          <w:divBdr>
            <w:top w:val="none" w:sz="0" w:space="0" w:color="auto"/>
            <w:left w:val="none" w:sz="0" w:space="0" w:color="auto"/>
            <w:bottom w:val="none" w:sz="0" w:space="0" w:color="auto"/>
            <w:right w:val="none" w:sz="0" w:space="0" w:color="auto"/>
          </w:divBdr>
        </w:div>
        <w:div w:id="1451049111">
          <w:marLeft w:val="0"/>
          <w:marRight w:val="0"/>
          <w:marTop w:val="0"/>
          <w:marBottom w:val="0"/>
          <w:divBdr>
            <w:top w:val="none" w:sz="0" w:space="0" w:color="auto"/>
            <w:left w:val="none" w:sz="0" w:space="0" w:color="auto"/>
            <w:bottom w:val="none" w:sz="0" w:space="0" w:color="auto"/>
            <w:right w:val="none" w:sz="0" w:space="0" w:color="auto"/>
          </w:divBdr>
        </w:div>
      </w:divsChild>
    </w:div>
    <w:div w:id="162018778">
      <w:bodyDiv w:val="1"/>
      <w:marLeft w:val="0"/>
      <w:marRight w:val="0"/>
      <w:marTop w:val="0"/>
      <w:marBottom w:val="0"/>
      <w:divBdr>
        <w:top w:val="none" w:sz="0" w:space="0" w:color="auto"/>
        <w:left w:val="none" w:sz="0" w:space="0" w:color="auto"/>
        <w:bottom w:val="none" w:sz="0" w:space="0" w:color="auto"/>
        <w:right w:val="none" w:sz="0" w:space="0" w:color="auto"/>
      </w:divBdr>
    </w:div>
    <w:div w:id="172114197">
      <w:bodyDiv w:val="1"/>
      <w:marLeft w:val="0"/>
      <w:marRight w:val="0"/>
      <w:marTop w:val="0"/>
      <w:marBottom w:val="0"/>
      <w:divBdr>
        <w:top w:val="none" w:sz="0" w:space="0" w:color="auto"/>
        <w:left w:val="none" w:sz="0" w:space="0" w:color="auto"/>
        <w:bottom w:val="none" w:sz="0" w:space="0" w:color="auto"/>
        <w:right w:val="none" w:sz="0" w:space="0" w:color="auto"/>
      </w:divBdr>
    </w:div>
    <w:div w:id="319844596">
      <w:bodyDiv w:val="1"/>
      <w:marLeft w:val="0"/>
      <w:marRight w:val="0"/>
      <w:marTop w:val="0"/>
      <w:marBottom w:val="0"/>
      <w:divBdr>
        <w:top w:val="none" w:sz="0" w:space="0" w:color="auto"/>
        <w:left w:val="none" w:sz="0" w:space="0" w:color="auto"/>
        <w:bottom w:val="none" w:sz="0" w:space="0" w:color="auto"/>
        <w:right w:val="none" w:sz="0" w:space="0" w:color="auto"/>
      </w:divBdr>
    </w:div>
    <w:div w:id="324675438">
      <w:bodyDiv w:val="1"/>
      <w:marLeft w:val="0"/>
      <w:marRight w:val="0"/>
      <w:marTop w:val="0"/>
      <w:marBottom w:val="0"/>
      <w:divBdr>
        <w:top w:val="none" w:sz="0" w:space="0" w:color="auto"/>
        <w:left w:val="none" w:sz="0" w:space="0" w:color="auto"/>
        <w:bottom w:val="none" w:sz="0" w:space="0" w:color="auto"/>
        <w:right w:val="none" w:sz="0" w:space="0" w:color="auto"/>
      </w:divBdr>
    </w:div>
    <w:div w:id="330527397">
      <w:bodyDiv w:val="1"/>
      <w:marLeft w:val="0"/>
      <w:marRight w:val="0"/>
      <w:marTop w:val="0"/>
      <w:marBottom w:val="0"/>
      <w:divBdr>
        <w:top w:val="none" w:sz="0" w:space="0" w:color="auto"/>
        <w:left w:val="none" w:sz="0" w:space="0" w:color="auto"/>
        <w:bottom w:val="none" w:sz="0" w:space="0" w:color="auto"/>
        <w:right w:val="none" w:sz="0" w:space="0" w:color="auto"/>
      </w:divBdr>
      <w:divsChild>
        <w:div w:id="1187716639">
          <w:marLeft w:val="360"/>
          <w:marRight w:val="0"/>
          <w:marTop w:val="0"/>
          <w:marBottom w:val="0"/>
          <w:divBdr>
            <w:top w:val="none" w:sz="0" w:space="0" w:color="auto"/>
            <w:left w:val="none" w:sz="0" w:space="0" w:color="auto"/>
            <w:bottom w:val="none" w:sz="0" w:space="0" w:color="auto"/>
            <w:right w:val="none" w:sz="0" w:space="0" w:color="auto"/>
          </w:divBdr>
        </w:div>
        <w:div w:id="1677809848">
          <w:marLeft w:val="360"/>
          <w:marRight w:val="0"/>
          <w:marTop w:val="0"/>
          <w:marBottom w:val="0"/>
          <w:divBdr>
            <w:top w:val="none" w:sz="0" w:space="0" w:color="auto"/>
            <w:left w:val="none" w:sz="0" w:space="0" w:color="auto"/>
            <w:bottom w:val="none" w:sz="0" w:space="0" w:color="auto"/>
            <w:right w:val="none" w:sz="0" w:space="0" w:color="auto"/>
          </w:divBdr>
        </w:div>
        <w:div w:id="1919366640">
          <w:marLeft w:val="360"/>
          <w:marRight w:val="0"/>
          <w:marTop w:val="0"/>
          <w:marBottom w:val="0"/>
          <w:divBdr>
            <w:top w:val="none" w:sz="0" w:space="0" w:color="auto"/>
            <w:left w:val="none" w:sz="0" w:space="0" w:color="auto"/>
            <w:bottom w:val="none" w:sz="0" w:space="0" w:color="auto"/>
            <w:right w:val="none" w:sz="0" w:space="0" w:color="auto"/>
          </w:divBdr>
        </w:div>
      </w:divsChild>
    </w:div>
    <w:div w:id="338586114">
      <w:bodyDiv w:val="1"/>
      <w:marLeft w:val="0"/>
      <w:marRight w:val="0"/>
      <w:marTop w:val="0"/>
      <w:marBottom w:val="0"/>
      <w:divBdr>
        <w:top w:val="none" w:sz="0" w:space="0" w:color="auto"/>
        <w:left w:val="none" w:sz="0" w:space="0" w:color="auto"/>
        <w:bottom w:val="none" w:sz="0" w:space="0" w:color="auto"/>
        <w:right w:val="none" w:sz="0" w:space="0" w:color="auto"/>
      </w:divBdr>
    </w:div>
    <w:div w:id="342780281">
      <w:bodyDiv w:val="1"/>
      <w:marLeft w:val="0"/>
      <w:marRight w:val="0"/>
      <w:marTop w:val="0"/>
      <w:marBottom w:val="0"/>
      <w:divBdr>
        <w:top w:val="none" w:sz="0" w:space="0" w:color="auto"/>
        <w:left w:val="none" w:sz="0" w:space="0" w:color="auto"/>
        <w:bottom w:val="none" w:sz="0" w:space="0" w:color="auto"/>
        <w:right w:val="none" w:sz="0" w:space="0" w:color="auto"/>
      </w:divBdr>
      <w:divsChild>
        <w:div w:id="354815263">
          <w:marLeft w:val="0"/>
          <w:marRight w:val="0"/>
          <w:marTop w:val="0"/>
          <w:marBottom w:val="0"/>
          <w:divBdr>
            <w:top w:val="none" w:sz="0" w:space="0" w:color="auto"/>
            <w:left w:val="none" w:sz="0" w:space="0" w:color="auto"/>
            <w:bottom w:val="none" w:sz="0" w:space="0" w:color="auto"/>
            <w:right w:val="none" w:sz="0" w:space="0" w:color="auto"/>
          </w:divBdr>
        </w:div>
        <w:div w:id="694498683">
          <w:marLeft w:val="0"/>
          <w:marRight w:val="0"/>
          <w:marTop w:val="0"/>
          <w:marBottom w:val="0"/>
          <w:divBdr>
            <w:top w:val="none" w:sz="0" w:space="0" w:color="auto"/>
            <w:left w:val="none" w:sz="0" w:space="0" w:color="auto"/>
            <w:bottom w:val="none" w:sz="0" w:space="0" w:color="auto"/>
            <w:right w:val="none" w:sz="0" w:space="0" w:color="auto"/>
          </w:divBdr>
        </w:div>
        <w:div w:id="1367171960">
          <w:marLeft w:val="0"/>
          <w:marRight w:val="0"/>
          <w:marTop w:val="0"/>
          <w:marBottom w:val="0"/>
          <w:divBdr>
            <w:top w:val="none" w:sz="0" w:space="0" w:color="auto"/>
            <w:left w:val="none" w:sz="0" w:space="0" w:color="auto"/>
            <w:bottom w:val="none" w:sz="0" w:space="0" w:color="auto"/>
            <w:right w:val="none" w:sz="0" w:space="0" w:color="auto"/>
          </w:divBdr>
        </w:div>
        <w:div w:id="1434011850">
          <w:marLeft w:val="0"/>
          <w:marRight w:val="0"/>
          <w:marTop w:val="0"/>
          <w:marBottom w:val="0"/>
          <w:divBdr>
            <w:top w:val="none" w:sz="0" w:space="0" w:color="auto"/>
            <w:left w:val="none" w:sz="0" w:space="0" w:color="auto"/>
            <w:bottom w:val="none" w:sz="0" w:space="0" w:color="auto"/>
            <w:right w:val="none" w:sz="0" w:space="0" w:color="auto"/>
          </w:divBdr>
        </w:div>
        <w:div w:id="1766268969">
          <w:marLeft w:val="0"/>
          <w:marRight w:val="0"/>
          <w:marTop w:val="0"/>
          <w:marBottom w:val="0"/>
          <w:divBdr>
            <w:top w:val="none" w:sz="0" w:space="0" w:color="auto"/>
            <w:left w:val="none" w:sz="0" w:space="0" w:color="auto"/>
            <w:bottom w:val="none" w:sz="0" w:space="0" w:color="auto"/>
            <w:right w:val="none" w:sz="0" w:space="0" w:color="auto"/>
          </w:divBdr>
        </w:div>
        <w:div w:id="1791509015">
          <w:marLeft w:val="0"/>
          <w:marRight w:val="0"/>
          <w:marTop w:val="0"/>
          <w:marBottom w:val="0"/>
          <w:divBdr>
            <w:top w:val="none" w:sz="0" w:space="0" w:color="auto"/>
            <w:left w:val="none" w:sz="0" w:space="0" w:color="auto"/>
            <w:bottom w:val="none" w:sz="0" w:space="0" w:color="auto"/>
            <w:right w:val="none" w:sz="0" w:space="0" w:color="auto"/>
          </w:divBdr>
        </w:div>
        <w:div w:id="1971474977">
          <w:marLeft w:val="0"/>
          <w:marRight w:val="0"/>
          <w:marTop w:val="0"/>
          <w:marBottom w:val="0"/>
          <w:divBdr>
            <w:top w:val="none" w:sz="0" w:space="0" w:color="auto"/>
            <w:left w:val="none" w:sz="0" w:space="0" w:color="auto"/>
            <w:bottom w:val="none" w:sz="0" w:space="0" w:color="auto"/>
            <w:right w:val="none" w:sz="0" w:space="0" w:color="auto"/>
          </w:divBdr>
        </w:div>
        <w:div w:id="2094081928">
          <w:marLeft w:val="0"/>
          <w:marRight w:val="0"/>
          <w:marTop w:val="0"/>
          <w:marBottom w:val="0"/>
          <w:divBdr>
            <w:top w:val="none" w:sz="0" w:space="0" w:color="auto"/>
            <w:left w:val="none" w:sz="0" w:space="0" w:color="auto"/>
            <w:bottom w:val="none" w:sz="0" w:space="0" w:color="auto"/>
            <w:right w:val="none" w:sz="0" w:space="0" w:color="auto"/>
          </w:divBdr>
        </w:div>
      </w:divsChild>
    </w:div>
    <w:div w:id="360056786">
      <w:bodyDiv w:val="1"/>
      <w:marLeft w:val="0"/>
      <w:marRight w:val="0"/>
      <w:marTop w:val="0"/>
      <w:marBottom w:val="0"/>
      <w:divBdr>
        <w:top w:val="none" w:sz="0" w:space="0" w:color="auto"/>
        <w:left w:val="none" w:sz="0" w:space="0" w:color="auto"/>
        <w:bottom w:val="none" w:sz="0" w:space="0" w:color="auto"/>
        <w:right w:val="none" w:sz="0" w:space="0" w:color="auto"/>
      </w:divBdr>
    </w:div>
    <w:div w:id="362367952">
      <w:bodyDiv w:val="1"/>
      <w:marLeft w:val="0"/>
      <w:marRight w:val="0"/>
      <w:marTop w:val="0"/>
      <w:marBottom w:val="0"/>
      <w:divBdr>
        <w:top w:val="none" w:sz="0" w:space="0" w:color="auto"/>
        <w:left w:val="none" w:sz="0" w:space="0" w:color="auto"/>
        <w:bottom w:val="none" w:sz="0" w:space="0" w:color="auto"/>
        <w:right w:val="none" w:sz="0" w:space="0" w:color="auto"/>
      </w:divBdr>
      <w:divsChild>
        <w:div w:id="964967771">
          <w:marLeft w:val="0"/>
          <w:marRight w:val="0"/>
          <w:marTop w:val="0"/>
          <w:marBottom w:val="0"/>
          <w:divBdr>
            <w:top w:val="none" w:sz="0" w:space="0" w:color="auto"/>
            <w:left w:val="none" w:sz="0" w:space="0" w:color="auto"/>
            <w:bottom w:val="none" w:sz="0" w:space="0" w:color="auto"/>
            <w:right w:val="none" w:sz="0" w:space="0" w:color="auto"/>
          </w:divBdr>
        </w:div>
        <w:div w:id="1896162374">
          <w:marLeft w:val="0"/>
          <w:marRight w:val="0"/>
          <w:marTop w:val="0"/>
          <w:marBottom w:val="0"/>
          <w:divBdr>
            <w:top w:val="none" w:sz="0" w:space="0" w:color="auto"/>
            <w:left w:val="none" w:sz="0" w:space="0" w:color="auto"/>
            <w:bottom w:val="none" w:sz="0" w:space="0" w:color="auto"/>
            <w:right w:val="none" w:sz="0" w:space="0" w:color="auto"/>
          </w:divBdr>
        </w:div>
        <w:div w:id="453448365">
          <w:marLeft w:val="0"/>
          <w:marRight w:val="0"/>
          <w:marTop w:val="0"/>
          <w:marBottom w:val="0"/>
          <w:divBdr>
            <w:top w:val="none" w:sz="0" w:space="0" w:color="auto"/>
            <w:left w:val="none" w:sz="0" w:space="0" w:color="auto"/>
            <w:bottom w:val="none" w:sz="0" w:space="0" w:color="auto"/>
            <w:right w:val="none" w:sz="0" w:space="0" w:color="auto"/>
          </w:divBdr>
        </w:div>
      </w:divsChild>
    </w:div>
    <w:div w:id="437868942">
      <w:bodyDiv w:val="1"/>
      <w:marLeft w:val="0"/>
      <w:marRight w:val="0"/>
      <w:marTop w:val="0"/>
      <w:marBottom w:val="0"/>
      <w:divBdr>
        <w:top w:val="none" w:sz="0" w:space="0" w:color="auto"/>
        <w:left w:val="none" w:sz="0" w:space="0" w:color="auto"/>
        <w:bottom w:val="none" w:sz="0" w:space="0" w:color="auto"/>
        <w:right w:val="none" w:sz="0" w:space="0" w:color="auto"/>
      </w:divBdr>
      <w:divsChild>
        <w:div w:id="2034839336">
          <w:marLeft w:val="0"/>
          <w:marRight w:val="0"/>
          <w:marTop w:val="150"/>
          <w:marBottom w:val="0"/>
          <w:divBdr>
            <w:top w:val="none" w:sz="0" w:space="0" w:color="auto"/>
            <w:left w:val="none" w:sz="0" w:space="0" w:color="auto"/>
            <w:bottom w:val="none" w:sz="0" w:space="0" w:color="auto"/>
            <w:right w:val="none" w:sz="0" w:space="0" w:color="auto"/>
          </w:divBdr>
        </w:div>
      </w:divsChild>
    </w:div>
    <w:div w:id="451096223">
      <w:bodyDiv w:val="1"/>
      <w:marLeft w:val="0"/>
      <w:marRight w:val="0"/>
      <w:marTop w:val="0"/>
      <w:marBottom w:val="0"/>
      <w:divBdr>
        <w:top w:val="none" w:sz="0" w:space="0" w:color="auto"/>
        <w:left w:val="none" w:sz="0" w:space="0" w:color="auto"/>
        <w:bottom w:val="none" w:sz="0" w:space="0" w:color="auto"/>
        <w:right w:val="none" w:sz="0" w:space="0" w:color="auto"/>
      </w:divBdr>
    </w:div>
    <w:div w:id="464129461">
      <w:bodyDiv w:val="1"/>
      <w:marLeft w:val="0"/>
      <w:marRight w:val="0"/>
      <w:marTop w:val="0"/>
      <w:marBottom w:val="0"/>
      <w:divBdr>
        <w:top w:val="none" w:sz="0" w:space="0" w:color="auto"/>
        <w:left w:val="none" w:sz="0" w:space="0" w:color="auto"/>
        <w:bottom w:val="none" w:sz="0" w:space="0" w:color="auto"/>
        <w:right w:val="none" w:sz="0" w:space="0" w:color="auto"/>
      </w:divBdr>
    </w:div>
    <w:div w:id="465658298">
      <w:bodyDiv w:val="1"/>
      <w:marLeft w:val="0"/>
      <w:marRight w:val="0"/>
      <w:marTop w:val="0"/>
      <w:marBottom w:val="0"/>
      <w:divBdr>
        <w:top w:val="none" w:sz="0" w:space="0" w:color="auto"/>
        <w:left w:val="none" w:sz="0" w:space="0" w:color="auto"/>
        <w:bottom w:val="none" w:sz="0" w:space="0" w:color="auto"/>
        <w:right w:val="none" w:sz="0" w:space="0" w:color="auto"/>
      </w:divBdr>
      <w:divsChild>
        <w:div w:id="1214922333">
          <w:marLeft w:val="0"/>
          <w:marRight w:val="0"/>
          <w:marTop w:val="150"/>
          <w:marBottom w:val="0"/>
          <w:divBdr>
            <w:top w:val="none" w:sz="0" w:space="0" w:color="auto"/>
            <w:left w:val="none" w:sz="0" w:space="0" w:color="auto"/>
            <w:bottom w:val="none" w:sz="0" w:space="0" w:color="auto"/>
            <w:right w:val="none" w:sz="0" w:space="0" w:color="auto"/>
          </w:divBdr>
        </w:div>
      </w:divsChild>
    </w:div>
    <w:div w:id="521748230">
      <w:bodyDiv w:val="1"/>
      <w:marLeft w:val="0"/>
      <w:marRight w:val="0"/>
      <w:marTop w:val="0"/>
      <w:marBottom w:val="0"/>
      <w:divBdr>
        <w:top w:val="none" w:sz="0" w:space="0" w:color="auto"/>
        <w:left w:val="none" w:sz="0" w:space="0" w:color="auto"/>
        <w:bottom w:val="none" w:sz="0" w:space="0" w:color="auto"/>
        <w:right w:val="none" w:sz="0" w:space="0" w:color="auto"/>
      </w:divBdr>
    </w:div>
    <w:div w:id="551892389">
      <w:bodyDiv w:val="1"/>
      <w:marLeft w:val="0"/>
      <w:marRight w:val="0"/>
      <w:marTop w:val="0"/>
      <w:marBottom w:val="0"/>
      <w:divBdr>
        <w:top w:val="none" w:sz="0" w:space="0" w:color="auto"/>
        <w:left w:val="none" w:sz="0" w:space="0" w:color="auto"/>
        <w:bottom w:val="none" w:sz="0" w:space="0" w:color="auto"/>
        <w:right w:val="none" w:sz="0" w:space="0" w:color="auto"/>
      </w:divBdr>
    </w:div>
    <w:div w:id="567807584">
      <w:bodyDiv w:val="1"/>
      <w:marLeft w:val="0"/>
      <w:marRight w:val="0"/>
      <w:marTop w:val="0"/>
      <w:marBottom w:val="0"/>
      <w:divBdr>
        <w:top w:val="none" w:sz="0" w:space="0" w:color="auto"/>
        <w:left w:val="none" w:sz="0" w:space="0" w:color="auto"/>
        <w:bottom w:val="none" w:sz="0" w:space="0" w:color="auto"/>
        <w:right w:val="none" w:sz="0" w:space="0" w:color="auto"/>
      </w:divBdr>
    </w:div>
    <w:div w:id="570890335">
      <w:bodyDiv w:val="1"/>
      <w:marLeft w:val="0"/>
      <w:marRight w:val="0"/>
      <w:marTop w:val="0"/>
      <w:marBottom w:val="0"/>
      <w:divBdr>
        <w:top w:val="none" w:sz="0" w:space="0" w:color="auto"/>
        <w:left w:val="none" w:sz="0" w:space="0" w:color="auto"/>
        <w:bottom w:val="none" w:sz="0" w:space="0" w:color="auto"/>
        <w:right w:val="none" w:sz="0" w:space="0" w:color="auto"/>
      </w:divBdr>
    </w:div>
    <w:div w:id="596131886">
      <w:bodyDiv w:val="1"/>
      <w:marLeft w:val="0"/>
      <w:marRight w:val="0"/>
      <w:marTop w:val="0"/>
      <w:marBottom w:val="0"/>
      <w:divBdr>
        <w:top w:val="none" w:sz="0" w:space="0" w:color="auto"/>
        <w:left w:val="none" w:sz="0" w:space="0" w:color="auto"/>
        <w:bottom w:val="none" w:sz="0" w:space="0" w:color="auto"/>
        <w:right w:val="none" w:sz="0" w:space="0" w:color="auto"/>
      </w:divBdr>
      <w:divsChild>
        <w:div w:id="1963609588">
          <w:marLeft w:val="0"/>
          <w:marRight w:val="0"/>
          <w:marTop w:val="150"/>
          <w:marBottom w:val="0"/>
          <w:divBdr>
            <w:top w:val="none" w:sz="0" w:space="0" w:color="auto"/>
            <w:left w:val="none" w:sz="0" w:space="0" w:color="auto"/>
            <w:bottom w:val="none" w:sz="0" w:space="0" w:color="auto"/>
            <w:right w:val="none" w:sz="0" w:space="0" w:color="auto"/>
          </w:divBdr>
        </w:div>
      </w:divsChild>
    </w:div>
    <w:div w:id="606231820">
      <w:bodyDiv w:val="1"/>
      <w:marLeft w:val="0"/>
      <w:marRight w:val="0"/>
      <w:marTop w:val="0"/>
      <w:marBottom w:val="0"/>
      <w:divBdr>
        <w:top w:val="none" w:sz="0" w:space="0" w:color="auto"/>
        <w:left w:val="none" w:sz="0" w:space="0" w:color="auto"/>
        <w:bottom w:val="none" w:sz="0" w:space="0" w:color="auto"/>
        <w:right w:val="none" w:sz="0" w:space="0" w:color="auto"/>
      </w:divBdr>
      <w:divsChild>
        <w:div w:id="90316156">
          <w:marLeft w:val="0"/>
          <w:marRight w:val="0"/>
          <w:marTop w:val="0"/>
          <w:marBottom w:val="0"/>
          <w:divBdr>
            <w:top w:val="none" w:sz="0" w:space="0" w:color="auto"/>
            <w:left w:val="none" w:sz="0" w:space="0" w:color="auto"/>
            <w:bottom w:val="none" w:sz="0" w:space="0" w:color="auto"/>
            <w:right w:val="none" w:sz="0" w:space="0" w:color="auto"/>
          </w:divBdr>
          <w:divsChild>
            <w:div w:id="372268340">
              <w:marLeft w:val="0"/>
              <w:marRight w:val="0"/>
              <w:marTop w:val="0"/>
              <w:marBottom w:val="0"/>
              <w:divBdr>
                <w:top w:val="none" w:sz="0" w:space="0" w:color="auto"/>
                <w:left w:val="none" w:sz="0" w:space="0" w:color="auto"/>
                <w:bottom w:val="none" w:sz="0" w:space="0" w:color="auto"/>
                <w:right w:val="none" w:sz="0" w:space="0" w:color="auto"/>
              </w:divBdr>
              <w:divsChild>
                <w:div w:id="206340081">
                  <w:marLeft w:val="0"/>
                  <w:marRight w:val="0"/>
                  <w:marTop w:val="0"/>
                  <w:marBottom w:val="0"/>
                  <w:divBdr>
                    <w:top w:val="none" w:sz="0" w:space="0" w:color="auto"/>
                    <w:left w:val="none" w:sz="0" w:space="0" w:color="auto"/>
                    <w:bottom w:val="none" w:sz="0" w:space="0" w:color="auto"/>
                    <w:right w:val="none" w:sz="0" w:space="0" w:color="auto"/>
                  </w:divBdr>
                </w:div>
                <w:div w:id="997461168">
                  <w:marLeft w:val="0"/>
                  <w:marRight w:val="0"/>
                  <w:marTop w:val="0"/>
                  <w:marBottom w:val="0"/>
                  <w:divBdr>
                    <w:top w:val="none" w:sz="0" w:space="0" w:color="auto"/>
                    <w:left w:val="none" w:sz="0" w:space="0" w:color="auto"/>
                    <w:bottom w:val="none" w:sz="0" w:space="0" w:color="auto"/>
                    <w:right w:val="none" w:sz="0" w:space="0" w:color="auto"/>
                  </w:divBdr>
                </w:div>
                <w:div w:id="1009606054">
                  <w:marLeft w:val="0"/>
                  <w:marRight w:val="0"/>
                  <w:marTop w:val="0"/>
                  <w:marBottom w:val="0"/>
                  <w:divBdr>
                    <w:top w:val="none" w:sz="0" w:space="0" w:color="auto"/>
                    <w:left w:val="none" w:sz="0" w:space="0" w:color="auto"/>
                    <w:bottom w:val="none" w:sz="0" w:space="0" w:color="auto"/>
                    <w:right w:val="none" w:sz="0" w:space="0" w:color="auto"/>
                  </w:divBdr>
                </w:div>
                <w:div w:id="1149134462">
                  <w:marLeft w:val="0"/>
                  <w:marRight w:val="0"/>
                  <w:marTop w:val="0"/>
                  <w:marBottom w:val="0"/>
                  <w:divBdr>
                    <w:top w:val="none" w:sz="0" w:space="0" w:color="auto"/>
                    <w:left w:val="none" w:sz="0" w:space="0" w:color="auto"/>
                    <w:bottom w:val="none" w:sz="0" w:space="0" w:color="auto"/>
                    <w:right w:val="none" w:sz="0" w:space="0" w:color="auto"/>
                  </w:divBdr>
                </w:div>
                <w:div w:id="1442719609">
                  <w:marLeft w:val="0"/>
                  <w:marRight w:val="0"/>
                  <w:marTop w:val="0"/>
                  <w:marBottom w:val="0"/>
                  <w:divBdr>
                    <w:top w:val="none" w:sz="0" w:space="0" w:color="auto"/>
                    <w:left w:val="none" w:sz="0" w:space="0" w:color="auto"/>
                    <w:bottom w:val="none" w:sz="0" w:space="0" w:color="auto"/>
                    <w:right w:val="none" w:sz="0" w:space="0" w:color="auto"/>
                  </w:divBdr>
                </w:div>
                <w:div w:id="1474327364">
                  <w:marLeft w:val="0"/>
                  <w:marRight w:val="0"/>
                  <w:marTop w:val="0"/>
                  <w:marBottom w:val="0"/>
                  <w:divBdr>
                    <w:top w:val="none" w:sz="0" w:space="0" w:color="auto"/>
                    <w:left w:val="none" w:sz="0" w:space="0" w:color="auto"/>
                    <w:bottom w:val="none" w:sz="0" w:space="0" w:color="auto"/>
                    <w:right w:val="none" w:sz="0" w:space="0" w:color="auto"/>
                  </w:divBdr>
                </w:div>
                <w:div w:id="1688210675">
                  <w:marLeft w:val="0"/>
                  <w:marRight w:val="0"/>
                  <w:marTop w:val="0"/>
                  <w:marBottom w:val="0"/>
                  <w:divBdr>
                    <w:top w:val="none" w:sz="0" w:space="0" w:color="auto"/>
                    <w:left w:val="none" w:sz="0" w:space="0" w:color="auto"/>
                    <w:bottom w:val="none" w:sz="0" w:space="0" w:color="auto"/>
                    <w:right w:val="none" w:sz="0" w:space="0" w:color="auto"/>
                  </w:divBdr>
                </w:div>
                <w:div w:id="1812332780">
                  <w:marLeft w:val="0"/>
                  <w:marRight w:val="0"/>
                  <w:marTop w:val="0"/>
                  <w:marBottom w:val="0"/>
                  <w:divBdr>
                    <w:top w:val="none" w:sz="0" w:space="0" w:color="auto"/>
                    <w:left w:val="none" w:sz="0" w:space="0" w:color="auto"/>
                    <w:bottom w:val="none" w:sz="0" w:space="0" w:color="auto"/>
                    <w:right w:val="none" w:sz="0" w:space="0" w:color="auto"/>
                  </w:divBdr>
                </w:div>
                <w:div w:id="1942184079">
                  <w:marLeft w:val="0"/>
                  <w:marRight w:val="0"/>
                  <w:marTop w:val="0"/>
                  <w:marBottom w:val="0"/>
                  <w:divBdr>
                    <w:top w:val="none" w:sz="0" w:space="0" w:color="auto"/>
                    <w:left w:val="none" w:sz="0" w:space="0" w:color="auto"/>
                    <w:bottom w:val="none" w:sz="0" w:space="0" w:color="auto"/>
                    <w:right w:val="none" w:sz="0" w:space="0" w:color="auto"/>
                  </w:divBdr>
                </w:div>
                <w:div w:id="1992177322">
                  <w:marLeft w:val="0"/>
                  <w:marRight w:val="0"/>
                  <w:marTop w:val="0"/>
                  <w:marBottom w:val="0"/>
                  <w:divBdr>
                    <w:top w:val="none" w:sz="0" w:space="0" w:color="auto"/>
                    <w:left w:val="none" w:sz="0" w:space="0" w:color="auto"/>
                    <w:bottom w:val="none" w:sz="0" w:space="0" w:color="auto"/>
                    <w:right w:val="none" w:sz="0" w:space="0" w:color="auto"/>
                  </w:divBdr>
                </w:div>
              </w:divsChild>
            </w:div>
            <w:div w:id="685639668">
              <w:marLeft w:val="0"/>
              <w:marRight w:val="0"/>
              <w:marTop w:val="0"/>
              <w:marBottom w:val="0"/>
              <w:divBdr>
                <w:top w:val="none" w:sz="0" w:space="0" w:color="auto"/>
                <w:left w:val="none" w:sz="0" w:space="0" w:color="auto"/>
                <w:bottom w:val="none" w:sz="0" w:space="0" w:color="auto"/>
                <w:right w:val="none" w:sz="0" w:space="0" w:color="auto"/>
              </w:divBdr>
              <w:divsChild>
                <w:div w:id="1278563068">
                  <w:marLeft w:val="0"/>
                  <w:marRight w:val="0"/>
                  <w:marTop w:val="0"/>
                  <w:marBottom w:val="0"/>
                  <w:divBdr>
                    <w:top w:val="none" w:sz="0" w:space="0" w:color="auto"/>
                    <w:left w:val="none" w:sz="0" w:space="0" w:color="auto"/>
                    <w:bottom w:val="none" w:sz="0" w:space="0" w:color="auto"/>
                    <w:right w:val="none" w:sz="0" w:space="0" w:color="auto"/>
                  </w:divBdr>
                </w:div>
              </w:divsChild>
            </w:div>
            <w:div w:id="847715551">
              <w:marLeft w:val="0"/>
              <w:marRight w:val="0"/>
              <w:marTop w:val="0"/>
              <w:marBottom w:val="0"/>
              <w:divBdr>
                <w:top w:val="none" w:sz="0" w:space="0" w:color="auto"/>
                <w:left w:val="none" w:sz="0" w:space="0" w:color="auto"/>
                <w:bottom w:val="none" w:sz="0" w:space="0" w:color="auto"/>
                <w:right w:val="none" w:sz="0" w:space="0" w:color="auto"/>
              </w:divBdr>
              <w:divsChild>
                <w:div w:id="232281623">
                  <w:marLeft w:val="0"/>
                  <w:marRight w:val="0"/>
                  <w:marTop w:val="0"/>
                  <w:marBottom w:val="0"/>
                  <w:divBdr>
                    <w:top w:val="none" w:sz="0" w:space="0" w:color="auto"/>
                    <w:left w:val="none" w:sz="0" w:space="0" w:color="auto"/>
                    <w:bottom w:val="none" w:sz="0" w:space="0" w:color="auto"/>
                    <w:right w:val="none" w:sz="0" w:space="0" w:color="auto"/>
                  </w:divBdr>
                </w:div>
                <w:div w:id="1100955216">
                  <w:marLeft w:val="0"/>
                  <w:marRight w:val="0"/>
                  <w:marTop w:val="0"/>
                  <w:marBottom w:val="0"/>
                  <w:divBdr>
                    <w:top w:val="none" w:sz="0" w:space="0" w:color="auto"/>
                    <w:left w:val="none" w:sz="0" w:space="0" w:color="auto"/>
                    <w:bottom w:val="none" w:sz="0" w:space="0" w:color="auto"/>
                    <w:right w:val="none" w:sz="0" w:space="0" w:color="auto"/>
                  </w:divBdr>
                </w:div>
                <w:div w:id="1150902701">
                  <w:marLeft w:val="0"/>
                  <w:marRight w:val="0"/>
                  <w:marTop w:val="0"/>
                  <w:marBottom w:val="0"/>
                  <w:divBdr>
                    <w:top w:val="none" w:sz="0" w:space="0" w:color="auto"/>
                    <w:left w:val="none" w:sz="0" w:space="0" w:color="auto"/>
                    <w:bottom w:val="none" w:sz="0" w:space="0" w:color="auto"/>
                    <w:right w:val="none" w:sz="0" w:space="0" w:color="auto"/>
                  </w:divBdr>
                </w:div>
                <w:div w:id="1688485537">
                  <w:marLeft w:val="0"/>
                  <w:marRight w:val="0"/>
                  <w:marTop w:val="0"/>
                  <w:marBottom w:val="0"/>
                  <w:divBdr>
                    <w:top w:val="none" w:sz="0" w:space="0" w:color="auto"/>
                    <w:left w:val="none" w:sz="0" w:space="0" w:color="auto"/>
                    <w:bottom w:val="none" w:sz="0" w:space="0" w:color="auto"/>
                    <w:right w:val="none" w:sz="0" w:space="0" w:color="auto"/>
                  </w:divBdr>
                </w:div>
              </w:divsChild>
            </w:div>
            <w:div w:id="850144110">
              <w:marLeft w:val="0"/>
              <w:marRight w:val="0"/>
              <w:marTop w:val="0"/>
              <w:marBottom w:val="0"/>
              <w:divBdr>
                <w:top w:val="none" w:sz="0" w:space="0" w:color="auto"/>
                <w:left w:val="none" w:sz="0" w:space="0" w:color="auto"/>
                <w:bottom w:val="none" w:sz="0" w:space="0" w:color="auto"/>
                <w:right w:val="none" w:sz="0" w:space="0" w:color="auto"/>
              </w:divBdr>
              <w:divsChild>
                <w:div w:id="546262369">
                  <w:marLeft w:val="0"/>
                  <w:marRight w:val="0"/>
                  <w:marTop w:val="0"/>
                  <w:marBottom w:val="0"/>
                  <w:divBdr>
                    <w:top w:val="none" w:sz="0" w:space="0" w:color="auto"/>
                    <w:left w:val="none" w:sz="0" w:space="0" w:color="auto"/>
                    <w:bottom w:val="none" w:sz="0" w:space="0" w:color="auto"/>
                    <w:right w:val="none" w:sz="0" w:space="0" w:color="auto"/>
                  </w:divBdr>
                </w:div>
              </w:divsChild>
            </w:div>
            <w:div w:id="1006371058">
              <w:marLeft w:val="0"/>
              <w:marRight w:val="0"/>
              <w:marTop w:val="0"/>
              <w:marBottom w:val="0"/>
              <w:divBdr>
                <w:top w:val="none" w:sz="0" w:space="0" w:color="auto"/>
                <w:left w:val="none" w:sz="0" w:space="0" w:color="auto"/>
                <w:bottom w:val="none" w:sz="0" w:space="0" w:color="auto"/>
                <w:right w:val="none" w:sz="0" w:space="0" w:color="auto"/>
              </w:divBdr>
              <w:divsChild>
                <w:div w:id="27067498">
                  <w:marLeft w:val="0"/>
                  <w:marRight w:val="0"/>
                  <w:marTop w:val="0"/>
                  <w:marBottom w:val="0"/>
                  <w:divBdr>
                    <w:top w:val="none" w:sz="0" w:space="0" w:color="auto"/>
                    <w:left w:val="none" w:sz="0" w:space="0" w:color="auto"/>
                    <w:bottom w:val="none" w:sz="0" w:space="0" w:color="auto"/>
                    <w:right w:val="none" w:sz="0" w:space="0" w:color="auto"/>
                  </w:divBdr>
                </w:div>
                <w:div w:id="282931642">
                  <w:marLeft w:val="0"/>
                  <w:marRight w:val="0"/>
                  <w:marTop w:val="0"/>
                  <w:marBottom w:val="0"/>
                  <w:divBdr>
                    <w:top w:val="none" w:sz="0" w:space="0" w:color="auto"/>
                    <w:left w:val="none" w:sz="0" w:space="0" w:color="auto"/>
                    <w:bottom w:val="none" w:sz="0" w:space="0" w:color="auto"/>
                    <w:right w:val="none" w:sz="0" w:space="0" w:color="auto"/>
                  </w:divBdr>
                </w:div>
                <w:div w:id="519707214">
                  <w:marLeft w:val="0"/>
                  <w:marRight w:val="0"/>
                  <w:marTop w:val="0"/>
                  <w:marBottom w:val="0"/>
                  <w:divBdr>
                    <w:top w:val="none" w:sz="0" w:space="0" w:color="auto"/>
                    <w:left w:val="none" w:sz="0" w:space="0" w:color="auto"/>
                    <w:bottom w:val="none" w:sz="0" w:space="0" w:color="auto"/>
                    <w:right w:val="none" w:sz="0" w:space="0" w:color="auto"/>
                  </w:divBdr>
                </w:div>
                <w:div w:id="923881450">
                  <w:marLeft w:val="0"/>
                  <w:marRight w:val="0"/>
                  <w:marTop w:val="0"/>
                  <w:marBottom w:val="0"/>
                  <w:divBdr>
                    <w:top w:val="none" w:sz="0" w:space="0" w:color="auto"/>
                    <w:left w:val="none" w:sz="0" w:space="0" w:color="auto"/>
                    <w:bottom w:val="none" w:sz="0" w:space="0" w:color="auto"/>
                    <w:right w:val="none" w:sz="0" w:space="0" w:color="auto"/>
                  </w:divBdr>
                </w:div>
                <w:div w:id="977958873">
                  <w:marLeft w:val="0"/>
                  <w:marRight w:val="0"/>
                  <w:marTop w:val="0"/>
                  <w:marBottom w:val="0"/>
                  <w:divBdr>
                    <w:top w:val="none" w:sz="0" w:space="0" w:color="auto"/>
                    <w:left w:val="none" w:sz="0" w:space="0" w:color="auto"/>
                    <w:bottom w:val="none" w:sz="0" w:space="0" w:color="auto"/>
                    <w:right w:val="none" w:sz="0" w:space="0" w:color="auto"/>
                  </w:divBdr>
                </w:div>
                <w:div w:id="1600868663">
                  <w:marLeft w:val="0"/>
                  <w:marRight w:val="0"/>
                  <w:marTop w:val="0"/>
                  <w:marBottom w:val="0"/>
                  <w:divBdr>
                    <w:top w:val="none" w:sz="0" w:space="0" w:color="auto"/>
                    <w:left w:val="none" w:sz="0" w:space="0" w:color="auto"/>
                    <w:bottom w:val="none" w:sz="0" w:space="0" w:color="auto"/>
                    <w:right w:val="none" w:sz="0" w:space="0" w:color="auto"/>
                  </w:divBdr>
                </w:div>
                <w:div w:id="1643315287">
                  <w:marLeft w:val="0"/>
                  <w:marRight w:val="0"/>
                  <w:marTop w:val="0"/>
                  <w:marBottom w:val="0"/>
                  <w:divBdr>
                    <w:top w:val="none" w:sz="0" w:space="0" w:color="auto"/>
                    <w:left w:val="none" w:sz="0" w:space="0" w:color="auto"/>
                    <w:bottom w:val="none" w:sz="0" w:space="0" w:color="auto"/>
                    <w:right w:val="none" w:sz="0" w:space="0" w:color="auto"/>
                  </w:divBdr>
                </w:div>
                <w:div w:id="1672684300">
                  <w:marLeft w:val="0"/>
                  <w:marRight w:val="0"/>
                  <w:marTop w:val="0"/>
                  <w:marBottom w:val="0"/>
                  <w:divBdr>
                    <w:top w:val="none" w:sz="0" w:space="0" w:color="auto"/>
                    <w:left w:val="none" w:sz="0" w:space="0" w:color="auto"/>
                    <w:bottom w:val="none" w:sz="0" w:space="0" w:color="auto"/>
                    <w:right w:val="none" w:sz="0" w:space="0" w:color="auto"/>
                  </w:divBdr>
                </w:div>
                <w:div w:id="2082291326">
                  <w:marLeft w:val="0"/>
                  <w:marRight w:val="0"/>
                  <w:marTop w:val="0"/>
                  <w:marBottom w:val="0"/>
                  <w:divBdr>
                    <w:top w:val="none" w:sz="0" w:space="0" w:color="auto"/>
                    <w:left w:val="none" w:sz="0" w:space="0" w:color="auto"/>
                    <w:bottom w:val="none" w:sz="0" w:space="0" w:color="auto"/>
                    <w:right w:val="none" w:sz="0" w:space="0" w:color="auto"/>
                  </w:divBdr>
                </w:div>
              </w:divsChild>
            </w:div>
            <w:div w:id="1026102790">
              <w:marLeft w:val="0"/>
              <w:marRight w:val="0"/>
              <w:marTop w:val="0"/>
              <w:marBottom w:val="0"/>
              <w:divBdr>
                <w:top w:val="none" w:sz="0" w:space="0" w:color="auto"/>
                <w:left w:val="none" w:sz="0" w:space="0" w:color="auto"/>
                <w:bottom w:val="none" w:sz="0" w:space="0" w:color="auto"/>
                <w:right w:val="none" w:sz="0" w:space="0" w:color="auto"/>
              </w:divBdr>
              <w:divsChild>
                <w:div w:id="151605435">
                  <w:marLeft w:val="0"/>
                  <w:marRight w:val="0"/>
                  <w:marTop w:val="0"/>
                  <w:marBottom w:val="0"/>
                  <w:divBdr>
                    <w:top w:val="none" w:sz="0" w:space="0" w:color="auto"/>
                    <w:left w:val="none" w:sz="0" w:space="0" w:color="auto"/>
                    <w:bottom w:val="none" w:sz="0" w:space="0" w:color="auto"/>
                    <w:right w:val="none" w:sz="0" w:space="0" w:color="auto"/>
                  </w:divBdr>
                </w:div>
              </w:divsChild>
            </w:div>
            <w:div w:id="1069577451">
              <w:marLeft w:val="0"/>
              <w:marRight w:val="0"/>
              <w:marTop w:val="0"/>
              <w:marBottom w:val="0"/>
              <w:divBdr>
                <w:top w:val="none" w:sz="0" w:space="0" w:color="auto"/>
                <w:left w:val="none" w:sz="0" w:space="0" w:color="auto"/>
                <w:bottom w:val="none" w:sz="0" w:space="0" w:color="auto"/>
                <w:right w:val="none" w:sz="0" w:space="0" w:color="auto"/>
              </w:divBdr>
              <w:divsChild>
                <w:div w:id="408888197">
                  <w:marLeft w:val="0"/>
                  <w:marRight w:val="0"/>
                  <w:marTop w:val="0"/>
                  <w:marBottom w:val="0"/>
                  <w:divBdr>
                    <w:top w:val="none" w:sz="0" w:space="0" w:color="auto"/>
                    <w:left w:val="none" w:sz="0" w:space="0" w:color="auto"/>
                    <w:bottom w:val="none" w:sz="0" w:space="0" w:color="auto"/>
                    <w:right w:val="none" w:sz="0" w:space="0" w:color="auto"/>
                  </w:divBdr>
                </w:div>
              </w:divsChild>
            </w:div>
            <w:div w:id="1421872530">
              <w:marLeft w:val="0"/>
              <w:marRight w:val="0"/>
              <w:marTop w:val="0"/>
              <w:marBottom w:val="0"/>
              <w:divBdr>
                <w:top w:val="none" w:sz="0" w:space="0" w:color="auto"/>
                <w:left w:val="none" w:sz="0" w:space="0" w:color="auto"/>
                <w:bottom w:val="none" w:sz="0" w:space="0" w:color="auto"/>
                <w:right w:val="none" w:sz="0" w:space="0" w:color="auto"/>
              </w:divBdr>
              <w:divsChild>
                <w:div w:id="1572543362">
                  <w:marLeft w:val="0"/>
                  <w:marRight w:val="0"/>
                  <w:marTop w:val="0"/>
                  <w:marBottom w:val="0"/>
                  <w:divBdr>
                    <w:top w:val="none" w:sz="0" w:space="0" w:color="auto"/>
                    <w:left w:val="none" w:sz="0" w:space="0" w:color="auto"/>
                    <w:bottom w:val="none" w:sz="0" w:space="0" w:color="auto"/>
                    <w:right w:val="none" w:sz="0" w:space="0" w:color="auto"/>
                  </w:divBdr>
                </w:div>
              </w:divsChild>
            </w:div>
            <w:div w:id="1485046522">
              <w:marLeft w:val="0"/>
              <w:marRight w:val="0"/>
              <w:marTop w:val="0"/>
              <w:marBottom w:val="0"/>
              <w:divBdr>
                <w:top w:val="none" w:sz="0" w:space="0" w:color="auto"/>
                <w:left w:val="none" w:sz="0" w:space="0" w:color="auto"/>
                <w:bottom w:val="none" w:sz="0" w:space="0" w:color="auto"/>
                <w:right w:val="none" w:sz="0" w:space="0" w:color="auto"/>
              </w:divBdr>
              <w:divsChild>
                <w:div w:id="635569525">
                  <w:marLeft w:val="0"/>
                  <w:marRight w:val="0"/>
                  <w:marTop w:val="0"/>
                  <w:marBottom w:val="0"/>
                  <w:divBdr>
                    <w:top w:val="none" w:sz="0" w:space="0" w:color="auto"/>
                    <w:left w:val="none" w:sz="0" w:space="0" w:color="auto"/>
                    <w:bottom w:val="none" w:sz="0" w:space="0" w:color="auto"/>
                    <w:right w:val="none" w:sz="0" w:space="0" w:color="auto"/>
                  </w:divBdr>
                </w:div>
              </w:divsChild>
            </w:div>
            <w:div w:id="1502895299">
              <w:marLeft w:val="0"/>
              <w:marRight w:val="0"/>
              <w:marTop w:val="0"/>
              <w:marBottom w:val="0"/>
              <w:divBdr>
                <w:top w:val="none" w:sz="0" w:space="0" w:color="auto"/>
                <w:left w:val="none" w:sz="0" w:space="0" w:color="auto"/>
                <w:bottom w:val="none" w:sz="0" w:space="0" w:color="auto"/>
                <w:right w:val="none" w:sz="0" w:space="0" w:color="auto"/>
              </w:divBdr>
              <w:divsChild>
                <w:div w:id="602030477">
                  <w:marLeft w:val="0"/>
                  <w:marRight w:val="0"/>
                  <w:marTop w:val="0"/>
                  <w:marBottom w:val="0"/>
                  <w:divBdr>
                    <w:top w:val="none" w:sz="0" w:space="0" w:color="auto"/>
                    <w:left w:val="none" w:sz="0" w:space="0" w:color="auto"/>
                    <w:bottom w:val="none" w:sz="0" w:space="0" w:color="auto"/>
                    <w:right w:val="none" w:sz="0" w:space="0" w:color="auto"/>
                  </w:divBdr>
                </w:div>
                <w:div w:id="642395983">
                  <w:marLeft w:val="0"/>
                  <w:marRight w:val="0"/>
                  <w:marTop w:val="0"/>
                  <w:marBottom w:val="0"/>
                  <w:divBdr>
                    <w:top w:val="none" w:sz="0" w:space="0" w:color="auto"/>
                    <w:left w:val="none" w:sz="0" w:space="0" w:color="auto"/>
                    <w:bottom w:val="none" w:sz="0" w:space="0" w:color="auto"/>
                    <w:right w:val="none" w:sz="0" w:space="0" w:color="auto"/>
                  </w:divBdr>
                </w:div>
                <w:div w:id="1835341229">
                  <w:marLeft w:val="0"/>
                  <w:marRight w:val="0"/>
                  <w:marTop w:val="0"/>
                  <w:marBottom w:val="0"/>
                  <w:divBdr>
                    <w:top w:val="none" w:sz="0" w:space="0" w:color="auto"/>
                    <w:left w:val="none" w:sz="0" w:space="0" w:color="auto"/>
                    <w:bottom w:val="none" w:sz="0" w:space="0" w:color="auto"/>
                    <w:right w:val="none" w:sz="0" w:space="0" w:color="auto"/>
                  </w:divBdr>
                </w:div>
                <w:div w:id="2070301000">
                  <w:marLeft w:val="0"/>
                  <w:marRight w:val="0"/>
                  <w:marTop w:val="0"/>
                  <w:marBottom w:val="0"/>
                  <w:divBdr>
                    <w:top w:val="none" w:sz="0" w:space="0" w:color="auto"/>
                    <w:left w:val="none" w:sz="0" w:space="0" w:color="auto"/>
                    <w:bottom w:val="none" w:sz="0" w:space="0" w:color="auto"/>
                    <w:right w:val="none" w:sz="0" w:space="0" w:color="auto"/>
                  </w:divBdr>
                </w:div>
              </w:divsChild>
            </w:div>
            <w:div w:id="1990330372">
              <w:marLeft w:val="0"/>
              <w:marRight w:val="0"/>
              <w:marTop w:val="0"/>
              <w:marBottom w:val="0"/>
              <w:divBdr>
                <w:top w:val="none" w:sz="0" w:space="0" w:color="auto"/>
                <w:left w:val="none" w:sz="0" w:space="0" w:color="auto"/>
                <w:bottom w:val="none" w:sz="0" w:space="0" w:color="auto"/>
                <w:right w:val="none" w:sz="0" w:space="0" w:color="auto"/>
              </w:divBdr>
              <w:divsChild>
                <w:div w:id="277565225">
                  <w:marLeft w:val="0"/>
                  <w:marRight w:val="0"/>
                  <w:marTop w:val="0"/>
                  <w:marBottom w:val="0"/>
                  <w:divBdr>
                    <w:top w:val="none" w:sz="0" w:space="0" w:color="auto"/>
                    <w:left w:val="none" w:sz="0" w:space="0" w:color="auto"/>
                    <w:bottom w:val="none" w:sz="0" w:space="0" w:color="auto"/>
                    <w:right w:val="none" w:sz="0" w:space="0" w:color="auto"/>
                  </w:divBdr>
                </w:div>
                <w:div w:id="1187327283">
                  <w:marLeft w:val="0"/>
                  <w:marRight w:val="0"/>
                  <w:marTop w:val="0"/>
                  <w:marBottom w:val="0"/>
                  <w:divBdr>
                    <w:top w:val="none" w:sz="0" w:space="0" w:color="auto"/>
                    <w:left w:val="none" w:sz="0" w:space="0" w:color="auto"/>
                    <w:bottom w:val="none" w:sz="0" w:space="0" w:color="auto"/>
                    <w:right w:val="none" w:sz="0" w:space="0" w:color="auto"/>
                  </w:divBdr>
                </w:div>
                <w:div w:id="1630555081">
                  <w:marLeft w:val="0"/>
                  <w:marRight w:val="0"/>
                  <w:marTop w:val="0"/>
                  <w:marBottom w:val="0"/>
                  <w:divBdr>
                    <w:top w:val="none" w:sz="0" w:space="0" w:color="auto"/>
                    <w:left w:val="none" w:sz="0" w:space="0" w:color="auto"/>
                    <w:bottom w:val="none" w:sz="0" w:space="0" w:color="auto"/>
                    <w:right w:val="none" w:sz="0" w:space="0" w:color="auto"/>
                  </w:divBdr>
                </w:div>
                <w:div w:id="2029944396">
                  <w:marLeft w:val="0"/>
                  <w:marRight w:val="0"/>
                  <w:marTop w:val="0"/>
                  <w:marBottom w:val="0"/>
                  <w:divBdr>
                    <w:top w:val="none" w:sz="0" w:space="0" w:color="auto"/>
                    <w:left w:val="none" w:sz="0" w:space="0" w:color="auto"/>
                    <w:bottom w:val="none" w:sz="0" w:space="0" w:color="auto"/>
                    <w:right w:val="none" w:sz="0" w:space="0" w:color="auto"/>
                  </w:divBdr>
                </w:div>
              </w:divsChild>
            </w:div>
            <w:div w:id="2102948676">
              <w:marLeft w:val="0"/>
              <w:marRight w:val="0"/>
              <w:marTop w:val="0"/>
              <w:marBottom w:val="0"/>
              <w:divBdr>
                <w:top w:val="none" w:sz="0" w:space="0" w:color="auto"/>
                <w:left w:val="none" w:sz="0" w:space="0" w:color="auto"/>
                <w:bottom w:val="none" w:sz="0" w:space="0" w:color="auto"/>
                <w:right w:val="none" w:sz="0" w:space="0" w:color="auto"/>
              </w:divBdr>
              <w:divsChild>
                <w:div w:id="39828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571016">
      <w:bodyDiv w:val="1"/>
      <w:marLeft w:val="0"/>
      <w:marRight w:val="0"/>
      <w:marTop w:val="0"/>
      <w:marBottom w:val="0"/>
      <w:divBdr>
        <w:top w:val="none" w:sz="0" w:space="0" w:color="auto"/>
        <w:left w:val="none" w:sz="0" w:space="0" w:color="auto"/>
        <w:bottom w:val="none" w:sz="0" w:space="0" w:color="auto"/>
        <w:right w:val="none" w:sz="0" w:space="0" w:color="auto"/>
      </w:divBdr>
    </w:div>
    <w:div w:id="677655315">
      <w:bodyDiv w:val="1"/>
      <w:marLeft w:val="0"/>
      <w:marRight w:val="0"/>
      <w:marTop w:val="0"/>
      <w:marBottom w:val="0"/>
      <w:divBdr>
        <w:top w:val="none" w:sz="0" w:space="0" w:color="auto"/>
        <w:left w:val="none" w:sz="0" w:space="0" w:color="auto"/>
        <w:bottom w:val="none" w:sz="0" w:space="0" w:color="auto"/>
        <w:right w:val="none" w:sz="0" w:space="0" w:color="auto"/>
      </w:divBdr>
    </w:div>
    <w:div w:id="688291436">
      <w:bodyDiv w:val="1"/>
      <w:marLeft w:val="0"/>
      <w:marRight w:val="0"/>
      <w:marTop w:val="0"/>
      <w:marBottom w:val="0"/>
      <w:divBdr>
        <w:top w:val="none" w:sz="0" w:space="0" w:color="auto"/>
        <w:left w:val="none" w:sz="0" w:space="0" w:color="auto"/>
        <w:bottom w:val="none" w:sz="0" w:space="0" w:color="auto"/>
        <w:right w:val="none" w:sz="0" w:space="0" w:color="auto"/>
      </w:divBdr>
    </w:div>
    <w:div w:id="724135081">
      <w:bodyDiv w:val="1"/>
      <w:marLeft w:val="0"/>
      <w:marRight w:val="0"/>
      <w:marTop w:val="0"/>
      <w:marBottom w:val="0"/>
      <w:divBdr>
        <w:top w:val="none" w:sz="0" w:space="0" w:color="auto"/>
        <w:left w:val="none" w:sz="0" w:space="0" w:color="auto"/>
        <w:bottom w:val="none" w:sz="0" w:space="0" w:color="auto"/>
        <w:right w:val="none" w:sz="0" w:space="0" w:color="auto"/>
      </w:divBdr>
    </w:div>
    <w:div w:id="732048562">
      <w:bodyDiv w:val="1"/>
      <w:marLeft w:val="0"/>
      <w:marRight w:val="0"/>
      <w:marTop w:val="0"/>
      <w:marBottom w:val="0"/>
      <w:divBdr>
        <w:top w:val="none" w:sz="0" w:space="0" w:color="auto"/>
        <w:left w:val="none" w:sz="0" w:space="0" w:color="auto"/>
        <w:bottom w:val="none" w:sz="0" w:space="0" w:color="auto"/>
        <w:right w:val="none" w:sz="0" w:space="0" w:color="auto"/>
      </w:divBdr>
      <w:divsChild>
        <w:div w:id="517622120">
          <w:marLeft w:val="0"/>
          <w:marRight w:val="0"/>
          <w:marTop w:val="150"/>
          <w:marBottom w:val="0"/>
          <w:divBdr>
            <w:top w:val="none" w:sz="0" w:space="0" w:color="auto"/>
            <w:left w:val="none" w:sz="0" w:space="0" w:color="auto"/>
            <w:bottom w:val="none" w:sz="0" w:space="0" w:color="auto"/>
            <w:right w:val="none" w:sz="0" w:space="0" w:color="auto"/>
          </w:divBdr>
        </w:div>
      </w:divsChild>
    </w:div>
    <w:div w:id="759836997">
      <w:bodyDiv w:val="1"/>
      <w:marLeft w:val="0"/>
      <w:marRight w:val="0"/>
      <w:marTop w:val="0"/>
      <w:marBottom w:val="0"/>
      <w:divBdr>
        <w:top w:val="none" w:sz="0" w:space="0" w:color="auto"/>
        <w:left w:val="none" w:sz="0" w:space="0" w:color="auto"/>
        <w:bottom w:val="none" w:sz="0" w:space="0" w:color="auto"/>
        <w:right w:val="none" w:sz="0" w:space="0" w:color="auto"/>
      </w:divBdr>
      <w:divsChild>
        <w:div w:id="194202118">
          <w:marLeft w:val="-5700"/>
          <w:marRight w:val="0"/>
          <w:marTop w:val="0"/>
          <w:marBottom w:val="0"/>
          <w:divBdr>
            <w:top w:val="none" w:sz="0" w:space="0" w:color="auto"/>
            <w:left w:val="none" w:sz="0" w:space="0" w:color="auto"/>
            <w:bottom w:val="none" w:sz="0" w:space="0" w:color="auto"/>
            <w:right w:val="none" w:sz="0" w:space="0" w:color="auto"/>
          </w:divBdr>
          <w:divsChild>
            <w:div w:id="700208261">
              <w:marLeft w:val="0"/>
              <w:marRight w:val="0"/>
              <w:marTop w:val="0"/>
              <w:marBottom w:val="0"/>
              <w:divBdr>
                <w:top w:val="none" w:sz="0" w:space="0" w:color="auto"/>
                <w:left w:val="none" w:sz="0" w:space="0" w:color="auto"/>
                <w:bottom w:val="none" w:sz="0" w:space="0" w:color="auto"/>
                <w:right w:val="none" w:sz="0" w:space="0" w:color="auto"/>
              </w:divBdr>
            </w:div>
          </w:divsChild>
        </w:div>
        <w:div w:id="460803435">
          <w:marLeft w:val="0"/>
          <w:marRight w:val="0"/>
          <w:marTop w:val="0"/>
          <w:marBottom w:val="0"/>
          <w:divBdr>
            <w:top w:val="none" w:sz="0" w:space="0" w:color="auto"/>
            <w:left w:val="none" w:sz="0" w:space="0" w:color="auto"/>
            <w:bottom w:val="none" w:sz="0" w:space="0" w:color="auto"/>
            <w:right w:val="none" w:sz="0" w:space="0" w:color="auto"/>
          </w:divBdr>
          <w:divsChild>
            <w:div w:id="1134524308">
              <w:marLeft w:val="0"/>
              <w:marRight w:val="0"/>
              <w:marTop w:val="0"/>
              <w:marBottom w:val="0"/>
              <w:divBdr>
                <w:top w:val="none" w:sz="0" w:space="0" w:color="auto"/>
                <w:left w:val="none" w:sz="0" w:space="0" w:color="auto"/>
                <w:bottom w:val="none" w:sz="0" w:space="0" w:color="auto"/>
                <w:right w:val="none" w:sz="0" w:space="0" w:color="auto"/>
              </w:divBdr>
              <w:divsChild>
                <w:div w:id="1749840038">
                  <w:marLeft w:val="0"/>
                  <w:marRight w:val="0"/>
                  <w:marTop w:val="0"/>
                  <w:marBottom w:val="0"/>
                  <w:divBdr>
                    <w:top w:val="none" w:sz="0" w:space="0" w:color="auto"/>
                    <w:left w:val="none" w:sz="0" w:space="0" w:color="auto"/>
                    <w:bottom w:val="none" w:sz="0" w:space="0" w:color="auto"/>
                    <w:right w:val="none" w:sz="0" w:space="0" w:color="auto"/>
                  </w:divBdr>
                  <w:divsChild>
                    <w:div w:id="175770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287005">
      <w:bodyDiv w:val="1"/>
      <w:marLeft w:val="0"/>
      <w:marRight w:val="0"/>
      <w:marTop w:val="0"/>
      <w:marBottom w:val="0"/>
      <w:divBdr>
        <w:top w:val="none" w:sz="0" w:space="0" w:color="auto"/>
        <w:left w:val="none" w:sz="0" w:space="0" w:color="auto"/>
        <w:bottom w:val="none" w:sz="0" w:space="0" w:color="auto"/>
        <w:right w:val="none" w:sz="0" w:space="0" w:color="auto"/>
      </w:divBdr>
    </w:div>
    <w:div w:id="793208099">
      <w:bodyDiv w:val="1"/>
      <w:marLeft w:val="0"/>
      <w:marRight w:val="0"/>
      <w:marTop w:val="0"/>
      <w:marBottom w:val="0"/>
      <w:divBdr>
        <w:top w:val="none" w:sz="0" w:space="0" w:color="auto"/>
        <w:left w:val="none" w:sz="0" w:space="0" w:color="auto"/>
        <w:bottom w:val="none" w:sz="0" w:space="0" w:color="auto"/>
        <w:right w:val="none" w:sz="0" w:space="0" w:color="auto"/>
      </w:divBdr>
      <w:divsChild>
        <w:div w:id="1479960371">
          <w:marLeft w:val="0"/>
          <w:marRight w:val="0"/>
          <w:marTop w:val="0"/>
          <w:marBottom w:val="0"/>
          <w:divBdr>
            <w:top w:val="none" w:sz="0" w:space="0" w:color="auto"/>
            <w:left w:val="none" w:sz="0" w:space="0" w:color="auto"/>
            <w:bottom w:val="none" w:sz="0" w:space="0" w:color="auto"/>
            <w:right w:val="none" w:sz="0" w:space="0" w:color="auto"/>
          </w:divBdr>
        </w:div>
        <w:div w:id="2135252857">
          <w:marLeft w:val="0"/>
          <w:marRight w:val="0"/>
          <w:marTop w:val="0"/>
          <w:marBottom w:val="0"/>
          <w:divBdr>
            <w:top w:val="none" w:sz="0" w:space="0" w:color="auto"/>
            <w:left w:val="none" w:sz="0" w:space="0" w:color="auto"/>
            <w:bottom w:val="none" w:sz="0" w:space="0" w:color="auto"/>
            <w:right w:val="none" w:sz="0" w:space="0" w:color="auto"/>
          </w:divBdr>
        </w:div>
      </w:divsChild>
    </w:div>
    <w:div w:id="804853589">
      <w:bodyDiv w:val="1"/>
      <w:marLeft w:val="0"/>
      <w:marRight w:val="0"/>
      <w:marTop w:val="0"/>
      <w:marBottom w:val="0"/>
      <w:divBdr>
        <w:top w:val="none" w:sz="0" w:space="0" w:color="auto"/>
        <w:left w:val="none" w:sz="0" w:space="0" w:color="auto"/>
        <w:bottom w:val="none" w:sz="0" w:space="0" w:color="auto"/>
        <w:right w:val="none" w:sz="0" w:space="0" w:color="auto"/>
      </w:divBdr>
    </w:div>
    <w:div w:id="841119711">
      <w:bodyDiv w:val="1"/>
      <w:marLeft w:val="0"/>
      <w:marRight w:val="0"/>
      <w:marTop w:val="0"/>
      <w:marBottom w:val="0"/>
      <w:divBdr>
        <w:top w:val="none" w:sz="0" w:space="0" w:color="auto"/>
        <w:left w:val="none" w:sz="0" w:space="0" w:color="auto"/>
        <w:bottom w:val="none" w:sz="0" w:space="0" w:color="auto"/>
        <w:right w:val="none" w:sz="0" w:space="0" w:color="auto"/>
      </w:divBdr>
      <w:divsChild>
        <w:div w:id="607084051">
          <w:marLeft w:val="0"/>
          <w:marRight w:val="0"/>
          <w:marTop w:val="150"/>
          <w:marBottom w:val="0"/>
          <w:divBdr>
            <w:top w:val="none" w:sz="0" w:space="0" w:color="auto"/>
            <w:left w:val="none" w:sz="0" w:space="0" w:color="auto"/>
            <w:bottom w:val="none" w:sz="0" w:space="0" w:color="auto"/>
            <w:right w:val="none" w:sz="0" w:space="0" w:color="auto"/>
          </w:divBdr>
        </w:div>
      </w:divsChild>
    </w:div>
    <w:div w:id="843278022">
      <w:bodyDiv w:val="1"/>
      <w:marLeft w:val="0"/>
      <w:marRight w:val="0"/>
      <w:marTop w:val="0"/>
      <w:marBottom w:val="0"/>
      <w:divBdr>
        <w:top w:val="none" w:sz="0" w:space="0" w:color="auto"/>
        <w:left w:val="none" w:sz="0" w:space="0" w:color="auto"/>
        <w:bottom w:val="none" w:sz="0" w:space="0" w:color="auto"/>
        <w:right w:val="none" w:sz="0" w:space="0" w:color="auto"/>
      </w:divBdr>
    </w:div>
    <w:div w:id="850099699">
      <w:bodyDiv w:val="1"/>
      <w:marLeft w:val="0"/>
      <w:marRight w:val="0"/>
      <w:marTop w:val="0"/>
      <w:marBottom w:val="0"/>
      <w:divBdr>
        <w:top w:val="none" w:sz="0" w:space="0" w:color="auto"/>
        <w:left w:val="none" w:sz="0" w:space="0" w:color="auto"/>
        <w:bottom w:val="none" w:sz="0" w:space="0" w:color="auto"/>
        <w:right w:val="none" w:sz="0" w:space="0" w:color="auto"/>
      </w:divBdr>
    </w:div>
    <w:div w:id="860892907">
      <w:bodyDiv w:val="1"/>
      <w:marLeft w:val="0"/>
      <w:marRight w:val="0"/>
      <w:marTop w:val="0"/>
      <w:marBottom w:val="0"/>
      <w:divBdr>
        <w:top w:val="none" w:sz="0" w:space="0" w:color="auto"/>
        <w:left w:val="none" w:sz="0" w:space="0" w:color="auto"/>
        <w:bottom w:val="none" w:sz="0" w:space="0" w:color="auto"/>
        <w:right w:val="none" w:sz="0" w:space="0" w:color="auto"/>
      </w:divBdr>
    </w:div>
    <w:div w:id="878979464">
      <w:bodyDiv w:val="1"/>
      <w:marLeft w:val="0"/>
      <w:marRight w:val="0"/>
      <w:marTop w:val="0"/>
      <w:marBottom w:val="0"/>
      <w:divBdr>
        <w:top w:val="none" w:sz="0" w:space="0" w:color="auto"/>
        <w:left w:val="none" w:sz="0" w:space="0" w:color="auto"/>
        <w:bottom w:val="none" w:sz="0" w:space="0" w:color="auto"/>
        <w:right w:val="none" w:sz="0" w:space="0" w:color="auto"/>
      </w:divBdr>
    </w:div>
    <w:div w:id="925308532">
      <w:bodyDiv w:val="1"/>
      <w:marLeft w:val="0"/>
      <w:marRight w:val="0"/>
      <w:marTop w:val="0"/>
      <w:marBottom w:val="0"/>
      <w:divBdr>
        <w:top w:val="none" w:sz="0" w:space="0" w:color="auto"/>
        <w:left w:val="none" w:sz="0" w:space="0" w:color="auto"/>
        <w:bottom w:val="none" w:sz="0" w:space="0" w:color="auto"/>
        <w:right w:val="none" w:sz="0" w:space="0" w:color="auto"/>
      </w:divBdr>
    </w:div>
    <w:div w:id="936135154">
      <w:bodyDiv w:val="1"/>
      <w:marLeft w:val="0"/>
      <w:marRight w:val="0"/>
      <w:marTop w:val="0"/>
      <w:marBottom w:val="0"/>
      <w:divBdr>
        <w:top w:val="none" w:sz="0" w:space="0" w:color="auto"/>
        <w:left w:val="none" w:sz="0" w:space="0" w:color="auto"/>
        <w:bottom w:val="none" w:sz="0" w:space="0" w:color="auto"/>
        <w:right w:val="none" w:sz="0" w:space="0" w:color="auto"/>
      </w:divBdr>
    </w:div>
    <w:div w:id="938410050">
      <w:bodyDiv w:val="1"/>
      <w:marLeft w:val="0"/>
      <w:marRight w:val="0"/>
      <w:marTop w:val="0"/>
      <w:marBottom w:val="0"/>
      <w:divBdr>
        <w:top w:val="none" w:sz="0" w:space="0" w:color="auto"/>
        <w:left w:val="none" w:sz="0" w:space="0" w:color="auto"/>
        <w:bottom w:val="none" w:sz="0" w:space="0" w:color="auto"/>
        <w:right w:val="none" w:sz="0" w:space="0" w:color="auto"/>
      </w:divBdr>
      <w:divsChild>
        <w:div w:id="463932061">
          <w:marLeft w:val="0"/>
          <w:marRight w:val="0"/>
          <w:marTop w:val="0"/>
          <w:marBottom w:val="0"/>
          <w:divBdr>
            <w:top w:val="none" w:sz="0" w:space="0" w:color="auto"/>
            <w:left w:val="none" w:sz="0" w:space="0" w:color="auto"/>
            <w:bottom w:val="none" w:sz="0" w:space="0" w:color="auto"/>
            <w:right w:val="none" w:sz="0" w:space="0" w:color="auto"/>
          </w:divBdr>
          <w:divsChild>
            <w:div w:id="89129775">
              <w:marLeft w:val="0"/>
              <w:marRight w:val="0"/>
              <w:marTop w:val="0"/>
              <w:marBottom w:val="0"/>
              <w:divBdr>
                <w:top w:val="none" w:sz="0" w:space="0" w:color="auto"/>
                <w:left w:val="none" w:sz="0" w:space="0" w:color="auto"/>
                <w:bottom w:val="none" w:sz="0" w:space="0" w:color="auto"/>
                <w:right w:val="none" w:sz="0" w:space="0" w:color="auto"/>
              </w:divBdr>
              <w:divsChild>
                <w:div w:id="1441219692">
                  <w:marLeft w:val="0"/>
                  <w:marRight w:val="0"/>
                  <w:marTop w:val="0"/>
                  <w:marBottom w:val="0"/>
                  <w:divBdr>
                    <w:top w:val="none" w:sz="0" w:space="0" w:color="auto"/>
                    <w:left w:val="none" w:sz="0" w:space="0" w:color="auto"/>
                    <w:bottom w:val="none" w:sz="0" w:space="0" w:color="auto"/>
                    <w:right w:val="none" w:sz="0" w:space="0" w:color="auto"/>
                  </w:divBdr>
                </w:div>
              </w:divsChild>
            </w:div>
            <w:div w:id="112988452">
              <w:marLeft w:val="0"/>
              <w:marRight w:val="0"/>
              <w:marTop w:val="0"/>
              <w:marBottom w:val="0"/>
              <w:divBdr>
                <w:top w:val="none" w:sz="0" w:space="0" w:color="auto"/>
                <w:left w:val="none" w:sz="0" w:space="0" w:color="auto"/>
                <w:bottom w:val="none" w:sz="0" w:space="0" w:color="auto"/>
                <w:right w:val="none" w:sz="0" w:space="0" w:color="auto"/>
              </w:divBdr>
              <w:divsChild>
                <w:div w:id="975261278">
                  <w:marLeft w:val="0"/>
                  <w:marRight w:val="0"/>
                  <w:marTop w:val="0"/>
                  <w:marBottom w:val="0"/>
                  <w:divBdr>
                    <w:top w:val="none" w:sz="0" w:space="0" w:color="auto"/>
                    <w:left w:val="none" w:sz="0" w:space="0" w:color="auto"/>
                    <w:bottom w:val="none" w:sz="0" w:space="0" w:color="auto"/>
                    <w:right w:val="none" w:sz="0" w:space="0" w:color="auto"/>
                  </w:divBdr>
                </w:div>
              </w:divsChild>
            </w:div>
            <w:div w:id="323053655">
              <w:marLeft w:val="0"/>
              <w:marRight w:val="0"/>
              <w:marTop w:val="0"/>
              <w:marBottom w:val="0"/>
              <w:divBdr>
                <w:top w:val="none" w:sz="0" w:space="0" w:color="auto"/>
                <w:left w:val="none" w:sz="0" w:space="0" w:color="auto"/>
                <w:bottom w:val="none" w:sz="0" w:space="0" w:color="auto"/>
                <w:right w:val="none" w:sz="0" w:space="0" w:color="auto"/>
              </w:divBdr>
              <w:divsChild>
                <w:div w:id="305398294">
                  <w:marLeft w:val="0"/>
                  <w:marRight w:val="0"/>
                  <w:marTop w:val="0"/>
                  <w:marBottom w:val="0"/>
                  <w:divBdr>
                    <w:top w:val="none" w:sz="0" w:space="0" w:color="auto"/>
                    <w:left w:val="none" w:sz="0" w:space="0" w:color="auto"/>
                    <w:bottom w:val="none" w:sz="0" w:space="0" w:color="auto"/>
                    <w:right w:val="none" w:sz="0" w:space="0" w:color="auto"/>
                  </w:divBdr>
                </w:div>
                <w:div w:id="468595441">
                  <w:marLeft w:val="0"/>
                  <w:marRight w:val="0"/>
                  <w:marTop w:val="0"/>
                  <w:marBottom w:val="0"/>
                  <w:divBdr>
                    <w:top w:val="none" w:sz="0" w:space="0" w:color="auto"/>
                    <w:left w:val="none" w:sz="0" w:space="0" w:color="auto"/>
                    <w:bottom w:val="none" w:sz="0" w:space="0" w:color="auto"/>
                    <w:right w:val="none" w:sz="0" w:space="0" w:color="auto"/>
                  </w:divBdr>
                </w:div>
                <w:div w:id="822963231">
                  <w:marLeft w:val="0"/>
                  <w:marRight w:val="0"/>
                  <w:marTop w:val="0"/>
                  <w:marBottom w:val="0"/>
                  <w:divBdr>
                    <w:top w:val="none" w:sz="0" w:space="0" w:color="auto"/>
                    <w:left w:val="none" w:sz="0" w:space="0" w:color="auto"/>
                    <w:bottom w:val="none" w:sz="0" w:space="0" w:color="auto"/>
                    <w:right w:val="none" w:sz="0" w:space="0" w:color="auto"/>
                  </w:divBdr>
                </w:div>
                <w:div w:id="1190677888">
                  <w:marLeft w:val="0"/>
                  <w:marRight w:val="0"/>
                  <w:marTop w:val="0"/>
                  <w:marBottom w:val="0"/>
                  <w:divBdr>
                    <w:top w:val="none" w:sz="0" w:space="0" w:color="auto"/>
                    <w:left w:val="none" w:sz="0" w:space="0" w:color="auto"/>
                    <w:bottom w:val="none" w:sz="0" w:space="0" w:color="auto"/>
                    <w:right w:val="none" w:sz="0" w:space="0" w:color="auto"/>
                  </w:divBdr>
                </w:div>
                <w:div w:id="1307903502">
                  <w:marLeft w:val="0"/>
                  <w:marRight w:val="0"/>
                  <w:marTop w:val="0"/>
                  <w:marBottom w:val="0"/>
                  <w:divBdr>
                    <w:top w:val="none" w:sz="0" w:space="0" w:color="auto"/>
                    <w:left w:val="none" w:sz="0" w:space="0" w:color="auto"/>
                    <w:bottom w:val="none" w:sz="0" w:space="0" w:color="auto"/>
                    <w:right w:val="none" w:sz="0" w:space="0" w:color="auto"/>
                  </w:divBdr>
                </w:div>
                <w:div w:id="1405642319">
                  <w:marLeft w:val="0"/>
                  <w:marRight w:val="0"/>
                  <w:marTop w:val="0"/>
                  <w:marBottom w:val="0"/>
                  <w:divBdr>
                    <w:top w:val="none" w:sz="0" w:space="0" w:color="auto"/>
                    <w:left w:val="none" w:sz="0" w:space="0" w:color="auto"/>
                    <w:bottom w:val="none" w:sz="0" w:space="0" w:color="auto"/>
                    <w:right w:val="none" w:sz="0" w:space="0" w:color="auto"/>
                  </w:divBdr>
                </w:div>
                <w:div w:id="1428119106">
                  <w:marLeft w:val="0"/>
                  <w:marRight w:val="0"/>
                  <w:marTop w:val="0"/>
                  <w:marBottom w:val="0"/>
                  <w:divBdr>
                    <w:top w:val="none" w:sz="0" w:space="0" w:color="auto"/>
                    <w:left w:val="none" w:sz="0" w:space="0" w:color="auto"/>
                    <w:bottom w:val="none" w:sz="0" w:space="0" w:color="auto"/>
                    <w:right w:val="none" w:sz="0" w:space="0" w:color="auto"/>
                  </w:divBdr>
                </w:div>
                <w:div w:id="1431853845">
                  <w:marLeft w:val="0"/>
                  <w:marRight w:val="0"/>
                  <w:marTop w:val="0"/>
                  <w:marBottom w:val="0"/>
                  <w:divBdr>
                    <w:top w:val="none" w:sz="0" w:space="0" w:color="auto"/>
                    <w:left w:val="none" w:sz="0" w:space="0" w:color="auto"/>
                    <w:bottom w:val="none" w:sz="0" w:space="0" w:color="auto"/>
                    <w:right w:val="none" w:sz="0" w:space="0" w:color="auto"/>
                  </w:divBdr>
                </w:div>
                <w:div w:id="1626234478">
                  <w:marLeft w:val="0"/>
                  <w:marRight w:val="0"/>
                  <w:marTop w:val="0"/>
                  <w:marBottom w:val="0"/>
                  <w:divBdr>
                    <w:top w:val="none" w:sz="0" w:space="0" w:color="auto"/>
                    <w:left w:val="none" w:sz="0" w:space="0" w:color="auto"/>
                    <w:bottom w:val="none" w:sz="0" w:space="0" w:color="auto"/>
                    <w:right w:val="none" w:sz="0" w:space="0" w:color="auto"/>
                  </w:divBdr>
                </w:div>
                <w:div w:id="2103069779">
                  <w:marLeft w:val="0"/>
                  <w:marRight w:val="0"/>
                  <w:marTop w:val="0"/>
                  <w:marBottom w:val="0"/>
                  <w:divBdr>
                    <w:top w:val="none" w:sz="0" w:space="0" w:color="auto"/>
                    <w:left w:val="none" w:sz="0" w:space="0" w:color="auto"/>
                    <w:bottom w:val="none" w:sz="0" w:space="0" w:color="auto"/>
                    <w:right w:val="none" w:sz="0" w:space="0" w:color="auto"/>
                  </w:divBdr>
                </w:div>
              </w:divsChild>
            </w:div>
            <w:div w:id="405687482">
              <w:marLeft w:val="0"/>
              <w:marRight w:val="0"/>
              <w:marTop w:val="0"/>
              <w:marBottom w:val="0"/>
              <w:divBdr>
                <w:top w:val="none" w:sz="0" w:space="0" w:color="auto"/>
                <w:left w:val="none" w:sz="0" w:space="0" w:color="auto"/>
                <w:bottom w:val="none" w:sz="0" w:space="0" w:color="auto"/>
                <w:right w:val="none" w:sz="0" w:space="0" w:color="auto"/>
              </w:divBdr>
              <w:divsChild>
                <w:div w:id="519588243">
                  <w:marLeft w:val="0"/>
                  <w:marRight w:val="0"/>
                  <w:marTop w:val="0"/>
                  <w:marBottom w:val="0"/>
                  <w:divBdr>
                    <w:top w:val="none" w:sz="0" w:space="0" w:color="auto"/>
                    <w:left w:val="none" w:sz="0" w:space="0" w:color="auto"/>
                    <w:bottom w:val="none" w:sz="0" w:space="0" w:color="auto"/>
                    <w:right w:val="none" w:sz="0" w:space="0" w:color="auto"/>
                  </w:divBdr>
                </w:div>
              </w:divsChild>
            </w:div>
            <w:div w:id="529953168">
              <w:marLeft w:val="0"/>
              <w:marRight w:val="0"/>
              <w:marTop w:val="0"/>
              <w:marBottom w:val="0"/>
              <w:divBdr>
                <w:top w:val="none" w:sz="0" w:space="0" w:color="auto"/>
                <w:left w:val="none" w:sz="0" w:space="0" w:color="auto"/>
                <w:bottom w:val="none" w:sz="0" w:space="0" w:color="auto"/>
                <w:right w:val="none" w:sz="0" w:space="0" w:color="auto"/>
              </w:divBdr>
              <w:divsChild>
                <w:div w:id="252589809">
                  <w:marLeft w:val="0"/>
                  <w:marRight w:val="0"/>
                  <w:marTop w:val="0"/>
                  <w:marBottom w:val="0"/>
                  <w:divBdr>
                    <w:top w:val="none" w:sz="0" w:space="0" w:color="auto"/>
                    <w:left w:val="none" w:sz="0" w:space="0" w:color="auto"/>
                    <w:bottom w:val="none" w:sz="0" w:space="0" w:color="auto"/>
                    <w:right w:val="none" w:sz="0" w:space="0" w:color="auto"/>
                  </w:divBdr>
                </w:div>
                <w:div w:id="1341129218">
                  <w:marLeft w:val="0"/>
                  <w:marRight w:val="0"/>
                  <w:marTop w:val="0"/>
                  <w:marBottom w:val="0"/>
                  <w:divBdr>
                    <w:top w:val="none" w:sz="0" w:space="0" w:color="auto"/>
                    <w:left w:val="none" w:sz="0" w:space="0" w:color="auto"/>
                    <w:bottom w:val="none" w:sz="0" w:space="0" w:color="auto"/>
                    <w:right w:val="none" w:sz="0" w:space="0" w:color="auto"/>
                  </w:divBdr>
                </w:div>
                <w:div w:id="1442260047">
                  <w:marLeft w:val="0"/>
                  <w:marRight w:val="0"/>
                  <w:marTop w:val="0"/>
                  <w:marBottom w:val="0"/>
                  <w:divBdr>
                    <w:top w:val="none" w:sz="0" w:space="0" w:color="auto"/>
                    <w:left w:val="none" w:sz="0" w:space="0" w:color="auto"/>
                    <w:bottom w:val="none" w:sz="0" w:space="0" w:color="auto"/>
                    <w:right w:val="none" w:sz="0" w:space="0" w:color="auto"/>
                  </w:divBdr>
                </w:div>
                <w:div w:id="1585383356">
                  <w:marLeft w:val="0"/>
                  <w:marRight w:val="0"/>
                  <w:marTop w:val="0"/>
                  <w:marBottom w:val="0"/>
                  <w:divBdr>
                    <w:top w:val="none" w:sz="0" w:space="0" w:color="auto"/>
                    <w:left w:val="none" w:sz="0" w:space="0" w:color="auto"/>
                    <w:bottom w:val="none" w:sz="0" w:space="0" w:color="auto"/>
                    <w:right w:val="none" w:sz="0" w:space="0" w:color="auto"/>
                  </w:divBdr>
                </w:div>
              </w:divsChild>
            </w:div>
            <w:div w:id="648941027">
              <w:marLeft w:val="0"/>
              <w:marRight w:val="0"/>
              <w:marTop w:val="0"/>
              <w:marBottom w:val="0"/>
              <w:divBdr>
                <w:top w:val="none" w:sz="0" w:space="0" w:color="auto"/>
                <w:left w:val="none" w:sz="0" w:space="0" w:color="auto"/>
                <w:bottom w:val="none" w:sz="0" w:space="0" w:color="auto"/>
                <w:right w:val="none" w:sz="0" w:space="0" w:color="auto"/>
              </w:divBdr>
              <w:divsChild>
                <w:div w:id="166216037">
                  <w:marLeft w:val="0"/>
                  <w:marRight w:val="0"/>
                  <w:marTop w:val="0"/>
                  <w:marBottom w:val="0"/>
                  <w:divBdr>
                    <w:top w:val="none" w:sz="0" w:space="0" w:color="auto"/>
                    <w:left w:val="none" w:sz="0" w:space="0" w:color="auto"/>
                    <w:bottom w:val="none" w:sz="0" w:space="0" w:color="auto"/>
                    <w:right w:val="none" w:sz="0" w:space="0" w:color="auto"/>
                  </w:divBdr>
                </w:div>
                <w:div w:id="1395160337">
                  <w:marLeft w:val="0"/>
                  <w:marRight w:val="0"/>
                  <w:marTop w:val="0"/>
                  <w:marBottom w:val="0"/>
                  <w:divBdr>
                    <w:top w:val="none" w:sz="0" w:space="0" w:color="auto"/>
                    <w:left w:val="none" w:sz="0" w:space="0" w:color="auto"/>
                    <w:bottom w:val="none" w:sz="0" w:space="0" w:color="auto"/>
                    <w:right w:val="none" w:sz="0" w:space="0" w:color="auto"/>
                  </w:divBdr>
                </w:div>
                <w:div w:id="1475639764">
                  <w:marLeft w:val="0"/>
                  <w:marRight w:val="0"/>
                  <w:marTop w:val="0"/>
                  <w:marBottom w:val="0"/>
                  <w:divBdr>
                    <w:top w:val="none" w:sz="0" w:space="0" w:color="auto"/>
                    <w:left w:val="none" w:sz="0" w:space="0" w:color="auto"/>
                    <w:bottom w:val="none" w:sz="0" w:space="0" w:color="auto"/>
                    <w:right w:val="none" w:sz="0" w:space="0" w:color="auto"/>
                  </w:divBdr>
                </w:div>
                <w:div w:id="1618826969">
                  <w:marLeft w:val="0"/>
                  <w:marRight w:val="0"/>
                  <w:marTop w:val="0"/>
                  <w:marBottom w:val="0"/>
                  <w:divBdr>
                    <w:top w:val="none" w:sz="0" w:space="0" w:color="auto"/>
                    <w:left w:val="none" w:sz="0" w:space="0" w:color="auto"/>
                    <w:bottom w:val="none" w:sz="0" w:space="0" w:color="auto"/>
                    <w:right w:val="none" w:sz="0" w:space="0" w:color="auto"/>
                  </w:divBdr>
                </w:div>
              </w:divsChild>
            </w:div>
            <w:div w:id="804737207">
              <w:marLeft w:val="0"/>
              <w:marRight w:val="0"/>
              <w:marTop w:val="0"/>
              <w:marBottom w:val="0"/>
              <w:divBdr>
                <w:top w:val="none" w:sz="0" w:space="0" w:color="auto"/>
                <w:left w:val="none" w:sz="0" w:space="0" w:color="auto"/>
                <w:bottom w:val="none" w:sz="0" w:space="0" w:color="auto"/>
                <w:right w:val="none" w:sz="0" w:space="0" w:color="auto"/>
              </w:divBdr>
              <w:divsChild>
                <w:div w:id="880091146">
                  <w:marLeft w:val="0"/>
                  <w:marRight w:val="0"/>
                  <w:marTop w:val="0"/>
                  <w:marBottom w:val="0"/>
                  <w:divBdr>
                    <w:top w:val="none" w:sz="0" w:space="0" w:color="auto"/>
                    <w:left w:val="none" w:sz="0" w:space="0" w:color="auto"/>
                    <w:bottom w:val="none" w:sz="0" w:space="0" w:color="auto"/>
                    <w:right w:val="none" w:sz="0" w:space="0" w:color="auto"/>
                  </w:divBdr>
                </w:div>
              </w:divsChild>
            </w:div>
            <w:div w:id="858474816">
              <w:marLeft w:val="0"/>
              <w:marRight w:val="0"/>
              <w:marTop w:val="0"/>
              <w:marBottom w:val="0"/>
              <w:divBdr>
                <w:top w:val="none" w:sz="0" w:space="0" w:color="auto"/>
                <w:left w:val="none" w:sz="0" w:space="0" w:color="auto"/>
                <w:bottom w:val="none" w:sz="0" w:space="0" w:color="auto"/>
                <w:right w:val="none" w:sz="0" w:space="0" w:color="auto"/>
              </w:divBdr>
              <w:divsChild>
                <w:div w:id="541021375">
                  <w:marLeft w:val="0"/>
                  <w:marRight w:val="0"/>
                  <w:marTop w:val="0"/>
                  <w:marBottom w:val="0"/>
                  <w:divBdr>
                    <w:top w:val="none" w:sz="0" w:space="0" w:color="auto"/>
                    <w:left w:val="none" w:sz="0" w:space="0" w:color="auto"/>
                    <w:bottom w:val="none" w:sz="0" w:space="0" w:color="auto"/>
                    <w:right w:val="none" w:sz="0" w:space="0" w:color="auto"/>
                  </w:divBdr>
                </w:div>
              </w:divsChild>
            </w:div>
            <w:div w:id="1025860846">
              <w:marLeft w:val="0"/>
              <w:marRight w:val="0"/>
              <w:marTop w:val="0"/>
              <w:marBottom w:val="0"/>
              <w:divBdr>
                <w:top w:val="none" w:sz="0" w:space="0" w:color="auto"/>
                <w:left w:val="none" w:sz="0" w:space="0" w:color="auto"/>
                <w:bottom w:val="none" w:sz="0" w:space="0" w:color="auto"/>
                <w:right w:val="none" w:sz="0" w:space="0" w:color="auto"/>
              </w:divBdr>
              <w:divsChild>
                <w:div w:id="249659262">
                  <w:marLeft w:val="0"/>
                  <w:marRight w:val="0"/>
                  <w:marTop w:val="0"/>
                  <w:marBottom w:val="0"/>
                  <w:divBdr>
                    <w:top w:val="none" w:sz="0" w:space="0" w:color="auto"/>
                    <w:left w:val="none" w:sz="0" w:space="0" w:color="auto"/>
                    <w:bottom w:val="none" w:sz="0" w:space="0" w:color="auto"/>
                    <w:right w:val="none" w:sz="0" w:space="0" w:color="auto"/>
                  </w:divBdr>
                </w:div>
              </w:divsChild>
            </w:div>
            <w:div w:id="1642230801">
              <w:marLeft w:val="0"/>
              <w:marRight w:val="0"/>
              <w:marTop w:val="0"/>
              <w:marBottom w:val="0"/>
              <w:divBdr>
                <w:top w:val="none" w:sz="0" w:space="0" w:color="auto"/>
                <w:left w:val="none" w:sz="0" w:space="0" w:color="auto"/>
                <w:bottom w:val="none" w:sz="0" w:space="0" w:color="auto"/>
                <w:right w:val="none" w:sz="0" w:space="0" w:color="auto"/>
              </w:divBdr>
              <w:divsChild>
                <w:div w:id="177694466">
                  <w:marLeft w:val="0"/>
                  <w:marRight w:val="0"/>
                  <w:marTop w:val="0"/>
                  <w:marBottom w:val="0"/>
                  <w:divBdr>
                    <w:top w:val="none" w:sz="0" w:space="0" w:color="auto"/>
                    <w:left w:val="none" w:sz="0" w:space="0" w:color="auto"/>
                    <w:bottom w:val="none" w:sz="0" w:space="0" w:color="auto"/>
                    <w:right w:val="none" w:sz="0" w:space="0" w:color="auto"/>
                  </w:divBdr>
                </w:div>
              </w:divsChild>
            </w:div>
            <w:div w:id="1914007091">
              <w:marLeft w:val="0"/>
              <w:marRight w:val="0"/>
              <w:marTop w:val="0"/>
              <w:marBottom w:val="0"/>
              <w:divBdr>
                <w:top w:val="none" w:sz="0" w:space="0" w:color="auto"/>
                <w:left w:val="none" w:sz="0" w:space="0" w:color="auto"/>
                <w:bottom w:val="none" w:sz="0" w:space="0" w:color="auto"/>
                <w:right w:val="none" w:sz="0" w:space="0" w:color="auto"/>
              </w:divBdr>
              <w:divsChild>
                <w:div w:id="158348031">
                  <w:marLeft w:val="0"/>
                  <w:marRight w:val="0"/>
                  <w:marTop w:val="0"/>
                  <w:marBottom w:val="0"/>
                  <w:divBdr>
                    <w:top w:val="none" w:sz="0" w:space="0" w:color="auto"/>
                    <w:left w:val="none" w:sz="0" w:space="0" w:color="auto"/>
                    <w:bottom w:val="none" w:sz="0" w:space="0" w:color="auto"/>
                    <w:right w:val="none" w:sz="0" w:space="0" w:color="auto"/>
                  </w:divBdr>
                </w:div>
                <w:div w:id="1417093231">
                  <w:marLeft w:val="0"/>
                  <w:marRight w:val="0"/>
                  <w:marTop w:val="0"/>
                  <w:marBottom w:val="0"/>
                  <w:divBdr>
                    <w:top w:val="none" w:sz="0" w:space="0" w:color="auto"/>
                    <w:left w:val="none" w:sz="0" w:space="0" w:color="auto"/>
                    <w:bottom w:val="none" w:sz="0" w:space="0" w:color="auto"/>
                    <w:right w:val="none" w:sz="0" w:space="0" w:color="auto"/>
                  </w:divBdr>
                </w:div>
                <w:div w:id="1440612355">
                  <w:marLeft w:val="0"/>
                  <w:marRight w:val="0"/>
                  <w:marTop w:val="0"/>
                  <w:marBottom w:val="0"/>
                  <w:divBdr>
                    <w:top w:val="none" w:sz="0" w:space="0" w:color="auto"/>
                    <w:left w:val="none" w:sz="0" w:space="0" w:color="auto"/>
                    <w:bottom w:val="none" w:sz="0" w:space="0" w:color="auto"/>
                    <w:right w:val="none" w:sz="0" w:space="0" w:color="auto"/>
                  </w:divBdr>
                </w:div>
                <w:div w:id="1959220906">
                  <w:marLeft w:val="0"/>
                  <w:marRight w:val="0"/>
                  <w:marTop w:val="0"/>
                  <w:marBottom w:val="0"/>
                  <w:divBdr>
                    <w:top w:val="none" w:sz="0" w:space="0" w:color="auto"/>
                    <w:left w:val="none" w:sz="0" w:space="0" w:color="auto"/>
                    <w:bottom w:val="none" w:sz="0" w:space="0" w:color="auto"/>
                    <w:right w:val="none" w:sz="0" w:space="0" w:color="auto"/>
                  </w:divBdr>
                </w:div>
              </w:divsChild>
            </w:div>
            <w:div w:id="2124373395">
              <w:marLeft w:val="0"/>
              <w:marRight w:val="0"/>
              <w:marTop w:val="0"/>
              <w:marBottom w:val="0"/>
              <w:divBdr>
                <w:top w:val="none" w:sz="0" w:space="0" w:color="auto"/>
                <w:left w:val="none" w:sz="0" w:space="0" w:color="auto"/>
                <w:bottom w:val="none" w:sz="0" w:space="0" w:color="auto"/>
                <w:right w:val="none" w:sz="0" w:space="0" w:color="auto"/>
              </w:divBdr>
              <w:divsChild>
                <w:div w:id="24598277">
                  <w:marLeft w:val="0"/>
                  <w:marRight w:val="0"/>
                  <w:marTop w:val="0"/>
                  <w:marBottom w:val="0"/>
                  <w:divBdr>
                    <w:top w:val="none" w:sz="0" w:space="0" w:color="auto"/>
                    <w:left w:val="none" w:sz="0" w:space="0" w:color="auto"/>
                    <w:bottom w:val="none" w:sz="0" w:space="0" w:color="auto"/>
                    <w:right w:val="none" w:sz="0" w:space="0" w:color="auto"/>
                  </w:divBdr>
                </w:div>
                <w:div w:id="297995059">
                  <w:marLeft w:val="0"/>
                  <w:marRight w:val="0"/>
                  <w:marTop w:val="0"/>
                  <w:marBottom w:val="0"/>
                  <w:divBdr>
                    <w:top w:val="none" w:sz="0" w:space="0" w:color="auto"/>
                    <w:left w:val="none" w:sz="0" w:space="0" w:color="auto"/>
                    <w:bottom w:val="none" w:sz="0" w:space="0" w:color="auto"/>
                    <w:right w:val="none" w:sz="0" w:space="0" w:color="auto"/>
                  </w:divBdr>
                </w:div>
                <w:div w:id="377969779">
                  <w:marLeft w:val="0"/>
                  <w:marRight w:val="0"/>
                  <w:marTop w:val="0"/>
                  <w:marBottom w:val="0"/>
                  <w:divBdr>
                    <w:top w:val="none" w:sz="0" w:space="0" w:color="auto"/>
                    <w:left w:val="none" w:sz="0" w:space="0" w:color="auto"/>
                    <w:bottom w:val="none" w:sz="0" w:space="0" w:color="auto"/>
                    <w:right w:val="none" w:sz="0" w:space="0" w:color="auto"/>
                  </w:divBdr>
                </w:div>
                <w:div w:id="496459668">
                  <w:marLeft w:val="0"/>
                  <w:marRight w:val="0"/>
                  <w:marTop w:val="0"/>
                  <w:marBottom w:val="0"/>
                  <w:divBdr>
                    <w:top w:val="none" w:sz="0" w:space="0" w:color="auto"/>
                    <w:left w:val="none" w:sz="0" w:space="0" w:color="auto"/>
                    <w:bottom w:val="none" w:sz="0" w:space="0" w:color="auto"/>
                    <w:right w:val="none" w:sz="0" w:space="0" w:color="auto"/>
                  </w:divBdr>
                </w:div>
                <w:div w:id="703360623">
                  <w:marLeft w:val="0"/>
                  <w:marRight w:val="0"/>
                  <w:marTop w:val="0"/>
                  <w:marBottom w:val="0"/>
                  <w:divBdr>
                    <w:top w:val="none" w:sz="0" w:space="0" w:color="auto"/>
                    <w:left w:val="none" w:sz="0" w:space="0" w:color="auto"/>
                    <w:bottom w:val="none" w:sz="0" w:space="0" w:color="auto"/>
                    <w:right w:val="none" w:sz="0" w:space="0" w:color="auto"/>
                  </w:divBdr>
                </w:div>
                <w:div w:id="1141577659">
                  <w:marLeft w:val="0"/>
                  <w:marRight w:val="0"/>
                  <w:marTop w:val="0"/>
                  <w:marBottom w:val="0"/>
                  <w:divBdr>
                    <w:top w:val="none" w:sz="0" w:space="0" w:color="auto"/>
                    <w:left w:val="none" w:sz="0" w:space="0" w:color="auto"/>
                    <w:bottom w:val="none" w:sz="0" w:space="0" w:color="auto"/>
                    <w:right w:val="none" w:sz="0" w:space="0" w:color="auto"/>
                  </w:divBdr>
                </w:div>
                <w:div w:id="1332833528">
                  <w:marLeft w:val="0"/>
                  <w:marRight w:val="0"/>
                  <w:marTop w:val="0"/>
                  <w:marBottom w:val="0"/>
                  <w:divBdr>
                    <w:top w:val="none" w:sz="0" w:space="0" w:color="auto"/>
                    <w:left w:val="none" w:sz="0" w:space="0" w:color="auto"/>
                    <w:bottom w:val="none" w:sz="0" w:space="0" w:color="auto"/>
                    <w:right w:val="none" w:sz="0" w:space="0" w:color="auto"/>
                  </w:divBdr>
                </w:div>
                <w:div w:id="1367944793">
                  <w:marLeft w:val="0"/>
                  <w:marRight w:val="0"/>
                  <w:marTop w:val="0"/>
                  <w:marBottom w:val="0"/>
                  <w:divBdr>
                    <w:top w:val="none" w:sz="0" w:space="0" w:color="auto"/>
                    <w:left w:val="none" w:sz="0" w:space="0" w:color="auto"/>
                    <w:bottom w:val="none" w:sz="0" w:space="0" w:color="auto"/>
                    <w:right w:val="none" w:sz="0" w:space="0" w:color="auto"/>
                  </w:divBdr>
                </w:div>
                <w:div w:id="1637711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5558">
      <w:bodyDiv w:val="1"/>
      <w:marLeft w:val="0"/>
      <w:marRight w:val="0"/>
      <w:marTop w:val="0"/>
      <w:marBottom w:val="0"/>
      <w:divBdr>
        <w:top w:val="none" w:sz="0" w:space="0" w:color="auto"/>
        <w:left w:val="none" w:sz="0" w:space="0" w:color="auto"/>
        <w:bottom w:val="none" w:sz="0" w:space="0" w:color="auto"/>
        <w:right w:val="none" w:sz="0" w:space="0" w:color="auto"/>
      </w:divBdr>
      <w:divsChild>
        <w:div w:id="524289042">
          <w:marLeft w:val="1354"/>
          <w:marRight w:val="0"/>
          <w:marTop w:val="400"/>
          <w:marBottom w:val="120"/>
          <w:divBdr>
            <w:top w:val="none" w:sz="0" w:space="0" w:color="auto"/>
            <w:left w:val="none" w:sz="0" w:space="0" w:color="auto"/>
            <w:bottom w:val="none" w:sz="0" w:space="0" w:color="auto"/>
            <w:right w:val="none" w:sz="0" w:space="0" w:color="auto"/>
          </w:divBdr>
        </w:div>
        <w:div w:id="910652592">
          <w:marLeft w:val="1354"/>
          <w:marRight w:val="0"/>
          <w:marTop w:val="400"/>
          <w:marBottom w:val="120"/>
          <w:divBdr>
            <w:top w:val="none" w:sz="0" w:space="0" w:color="auto"/>
            <w:left w:val="none" w:sz="0" w:space="0" w:color="auto"/>
            <w:bottom w:val="none" w:sz="0" w:space="0" w:color="auto"/>
            <w:right w:val="none" w:sz="0" w:space="0" w:color="auto"/>
          </w:divBdr>
        </w:div>
        <w:div w:id="1982926693">
          <w:marLeft w:val="1699"/>
          <w:marRight w:val="0"/>
          <w:marTop w:val="0"/>
          <w:marBottom w:val="0"/>
          <w:divBdr>
            <w:top w:val="none" w:sz="0" w:space="0" w:color="auto"/>
            <w:left w:val="none" w:sz="0" w:space="0" w:color="auto"/>
            <w:bottom w:val="none" w:sz="0" w:space="0" w:color="auto"/>
            <w:right w:val="none" w:sz="0" w:space="0" w:color="auto"/>
          </w:divBdr>
        </w:div>
        <w:div w:id="1997567409">
          <w:marLeft w:val="1699"/>
          <w:marRight w:val="0"/>
          <w:marTop w:val="0"/>
          <w:marBottom w:val="0"/>
          <w:divBdr>
            <w:top w:val="none" w:sz="0" w:space="0" w:color="auto"/>
            <w:left w:val="none" w:sz="0" w:space="0" w:color="auto"/>
            <w:bottom w:val="none" w:sz="0" w:space="0" w:color="auto"/>
            <w:right w:val="none" w:sz="0" w:space="0" w:color="auto"/>
          </w:divBdr>
        </w:div>
      </w:divsChild>
    </w:div>
    <w:div w:id="991063703">
      <w:bodyDiv w:val="1"/>
      <w:marLeft w:val="0"/>
      <w:marRight w:val="0"/>
      <w:marTop w:val="0"/>
      <w:marBottom w:val="0"/>
      <w:divBdr>
        <w:top w:val="none" w:sz="0" w:space="0" w:color="auto"/>
        <w:left w:val="none" w:sz="0" w:space="0" w:color="auto"/>
        <w:bottom w:val="none" w:sz="0" w:space="0" w:color="auto"/>
        <w:right w:val="none" w:sz="0" w:space="0" w:color="auto"/>
      </w:divBdr>
    </w:div>
    <w:div w:id="1001465902">
      <w:bodyDiv w:val="1"/>
      <w:marLeft w:val="0"/>
      <w:marRight w:val="0"/>
      <w:marTop w:val="0"/>
      <w:marBottom w:val="0"/>
      <w:divBdr>
        <w:top w:val="none" w:sz="0" w:space="0" w:color="auto"/>
        <w:left w:val="none" w:sz="0" w:space="0" w:color="auto"/>
        <w:bottom w:val="none" w:sz="0" w:space="0" w:color="auto"/>
        <w:right w:val="none" w:sz="0" w:space="0" w:color="auto"/>
      </w:divBdr>
    </w:div>
    <w:div w:id="1004013293">
      <w:bodyDiv w:val="1"/>
      <w:marLeft w:val="0"/>
      <w:marRight w:val="0"/>
      <w:marTop w:val="0"/>
      <w:marBottom w:val="0"/>
      <w:divBdr>
        <w:top w:val="none" w:sz="0" w:space="0" w:color="auto"/>
        <w:left w:val="none" w:sz="0" w:space="0" w:color="auto"/>
        <w:bottom w:val="none" w:sz="0" w:space="0" w:color="auto"/>
        <w:right w:val="none" w:sz="0" w:space="0" w:color="auto"/>
      </w:divBdr>
      <w:divsChild>
        <w:div w:id="528688126">
          <w:marLeft w:val="0"/>
          <w:marRight w:val="0"/>
          <w:marTop w:val="0"/>
          <w:marBottom w:val="0"/>
          <w:divBdr>
            <w:top w:val="none" w:sz="0" w:space="0" w:color="auto"/>
            <w:left w:val="none" w:sz="0" w:space="0" w:color="auto"/>
            <w:bottom w:val="none" w:sz="0" w:space="0" w:color="auto"/>
            <w:right w:val="none" w:sz="0" w:space="0" w:color="auto"/>
          </w:divBdr>
        </w:div>
        <w:div w:id="1540049981">
          <w:marLeft w:val="0"/>
          <w:marRight w:val="0"/>
          <w:marTop w:val="0"/>
          <w:marBottom w:val="0"/>
          <w:divBdr>
            <w:top w:val="none" w:sz="0" w:space="0" w:color="auto"/>
            <w:left w:val="none" w:sz="0" w:space="0" w:color="auto"/>
            <w:bottom w:val="none" w:sz="0" w:space="0" w:color="auto"/>
            <w:right w:val="none" w:sz="0" w:space="0" w:color="auto"/>
          </w:divBdr>
        </w:div>
        <w:div w:id="1387144533">
          <w:marLeft w:val="0"/>
          <w:marRight w:val="0"/>
          <w:marTop w:val="0"/>
          <w:marBottom w:val="0"/>
          <w:divBdr>
            <w:top w:val="none" w:sz="0" w:space="0" w:color="auto"/>
            <w:left w:val="none" w:sz="0" w:space="0" w:color="auto"/>
            <w:bottom w:val="none" w:sz="0" w:space="0" w:color="auto"/>
            <w:right w:val="none" w:sz="0" w:space="0" w:color="auto"/>
          </w:divBdr>
        </w:div>
      </w:divsChild>
    </w:div>
    <w:div w:id="1005136378">
      <w:bodyDiv w:val="1"/>
      <w:marLeft w:val="0"/>
      <w:marRight w:val="0"/>
      <w:marTop w:val="0"/>
      <w:marBottom w:val="0"/>
      <w:divBdr>
        <w:top w:val="none" w:sz="0" w:space="0" w:color="auto"/>
        <w:left w:val="none" w:sz="0" w:space="0" w:color="auto"/>
        <w:bottom w:val="none" w:sz="0" w:space="0" w:color="auto"/>
        <w:right w:val="none" w:sz="0" w:space="0" w:color="auto"/>
      </w:divBdr>
      <w:divsChild>
        <w:div w:id="1254969077">
          <w:marLeft w:val="0"/>
          <w:marRight w:val="0"/>
          <w:marTop w:val="0"/>
          <w:marBottom w:val="0"/>
          <w:divBdr>
            <w:top w:val="none" w:sz="0" w:space="0" w:color="auto"/>
            <w:left w:val="none" w:sz="0" w:space="0" w:color="auto"/>
            <w:bottom w:val="none" w:sz="0" w:space="0" w:color="auto"/>
            <w:right w:val="none" w:sz="0" w:space="0" w:color="auto"/>
          </w:divBdr>
          <w:divsChild>
            <w:div w:id="101457913">
              <w:marLeft w:val="0"/>
              <w:marRight w:val="0"/>
              <w:marTop w:val="0"/>
              <w:marBottom w:val="0"/>
              <w:divBdr>
                <w:top w:val="none" w:sz="0" w:space="0" w:color="auto"/>
                <w:left w:val="none" w:sz="0" w:space="0" w:color="auto"/>
                <w:bottom w:val="none" w:sz="0" w:space="0" w:color="auto"/>
                <w:right w:val="none" w:sz="0" w:space="0" w:color="auto"/>
              </w:divBdr>
              <w:divsChild>
                <w:div w:id="1905066585">
                  <w:marLeft w:val="0"/>
                  <w:marRight w:val="0"/>
                  <w:marTop w:val="0"/>
                  <w:marBottom w:val="0"/>
                  <w:divBdr>
                    <w:top w:val="none" w:sz="0" w:space="0" w:color="auto"/>
                    <w:left w:val="none" w:sz="0" w:space="0" w:color="auto"/>
                    <w:bottom w:val="none" w:sz="0" w:space="0" w:color="auto"/>
                    <w:right w:val="none" w:sz="0" w:space="0" w:color="auto"/>
                  </w:divBdr>
                </w:div>
              </w:divsChild>
            </w:div>
            <w:div w:id="227958051">
              <w:marLeft w:val="0"/>
              <w:marRight w:val="0"/>
              <w:marTop w:val="0"/>
              <w:marBottom w:val="0"/>
              <w:divBdr>
                <w:top w:val="none" w:sz="0" w:space="0" w:color="auto"/>
                <w:left w:val="none" w:sz="0" w:space="0" w:color="auto"/>
                <w:bottom w:val="none" w:sz="0" w:space="0" w:color="auto"/>
                <w:right w:val="none" w:sz="0" w:space="0" w:color="auto"/>
              </w:divBdr>
              <w:divsChild>
                <w:div w:id="1658027531">
                  <w:marLeft w:val="0"/>
                  <w:marRight w:val="0"/>
                  <w:marTop w:val="0"/>
                  <w:marBottom w:val="0"/>
                  <w:divBdr>
                    <w:top w:val="none" w:sz="0" w:space="0" w:color="auto"/>
                    <w:left w:val="none" w:sz="0" w:space="0" w:color="auto"/>
                    <w:bottom w:val="none" w:sz="0" w:space="0" w:color="auto"/>
                    <w:right w:val="none" w:sz="0" w:space="0" w:color="auto"/>
                  </w:divBdr>
                </w:div>
                <w:div w:id="1818961241">
                  <w:marLeft w:val="0"/>
                  <w:marRight w:val="0"/>
                  <w:marTop w:val="0"/>
                  <w:marBottom w:val="0"/>
                  <w:divBdr>
                    <w:top w:val="none" w:sz="0" w:space="0" w:color="auto"/>
                    <w:left w:val="none" w:sz="0" w:space="0" w:color="auto"/>
                    <w:bottom w:val="none" w:sz="0" w:space="0" w:color="auto"/>
                    <w:right w:val="none" w:sz="0" w:space="0" w:color="auto"/>
                  </w:divBdr>
                </w:div>
              </w:divsChild>
            </w:div>
            <w:div w:id="279380892">
              <w:marLeft w:val="0"/>
              <w:marRight w:val="0"/>
              <w:marTop w:val="0"/>
              <w:marBottom w:val="0"/>
              <w:divBdr>
                <w:top w:val="none" w:sz="0" w:space="0" w:color="auto"/>
                <w:left w:val="none" w:sz="0" w:space="0" w:color="auto"/>
                <w:bottom w:val="none" w:sz="0" w:space="0" w:color="auto"/>
                <w:right w:val="none" w:sz="0" w:space="0" w:color="auto"/>
              </w:divBdr>
              <w:divsChild>
                <w:div w:id="528029721">
                  <w:marLeft w:val="0"/>
                  <w:marRight w:val="0"/>
                  <w:marTop w:val="0"/>
                  <w:marBottom w:val="0"/>
                  <w:divBdr>
                    <w:top w:val="none" w:sz="0" w:space="0" w:color="auto"/>
                    <w:left w:val="none" w:sz="0" w:space="0" w:color="auto"/>
                    <w:bottom w:val="none" w:sz="0" w:space="0" w:color="auto"/>
                    <w:right w:val="none" w:sz="0" w:space="0" w:color="auto"/>
                  </w:divBdr>
                </w:div>
              </w:divsChild>
            </w:div>
            <w:div w:id="944537091">
              <w:marLeft w:val="0"/>
              <w:marRight w:val="0"/>
              <w:marTop w:val="0"/>
              <w:marBottom w:val="0"/>
              <w:divBdr>
                <w:top w:val="none" w:sz="0" w:space="0" w:color="auto"/>
                <w:left w:val="none" w:sz="0" w:space="0" w:color="auto"/>
                <w:bottom w:val="none" w:sz="0" w:space="0" w:color="auto"/>
                <w:right w:val="none" w:sz="0" w:space="0" w:color="auto"/>
              </w:divBdr>
              <w:divsChild>
                <w:div w:id="1771854275">
                  <w:marLeft w:val="0"/>
                  <w:marRight w:val="0"/>
                  <w:marTop w:val="0"/>
                  <w:marBottom w:val="0"/>
                  <w:divBdr>
                    <w:top w:val="none" w:sz="0" w:space="0" w:color="auto"/>
                    <w:left w:val="none" w:sz="0" w:space="0" w:color="auto"/>
                    <w:bottom w:val="none" w:sz="0" w:space="0" w:color="auto"/>
                    <w:right w:val="none" w:sz="0" w:space="0" w:color="auto"/>
                  </w:divBdr>
                </w:div>
              </w:divsChild>
            </w:div>
            <w:div w:id="1098480059">
              <w:marLeft w:val="0"/>
              <w:marRight w:val="0"/>
              <w:marTop w:val="0"/>
              <w:marBottom w:val="0"/>
              <w:divBdr>
                <w:top w:val="none" w:sz="0" w:space="0" w:color="auto"/>
                <w:left w:val="none" w:sz="0" w:space="0" w:color="auto"/>
                <w:bottom w:val="none" w:sz="0" w:space="0" w:color="auto"/>
                <w:right w:val="none" w:sz="0" w:space="0" w:color="auto"/>
              </w:divBdr>
              <w:divsChild>
                <w:div w:id="512695890">
                  <w:marLeft w:val="0"/>
                  <w:marRight w:val="0"/>
                  <w:marTop w:val="0"/>
                  <w:marBottom w:val="0"/>
                  <w:divBdr>
                    <w:top w:val="none" w:sz="0" w:space="0" w:color="auto"/>
                    <w:left w:val="none" w:sz="0" w:space="0" w:color="auto"/>
                    <w:bottom w:val="none" w:sz="0" w:space="0" w:color="auto"/>
                    <w:right w:val="none" w:sz="0" w:space="0" w:color="auto"/>
                  </w:divBdr>
                </w:div>
              </w:divsChild>
            </w:div>
            <w:div w:id="1200120130">
              <w:marLeft w:val="0"/>
              <w:marRight w:val="0"/>
              <w:marTop w:val="0"/>
              <w:marBottom w:val="0"/>
              <w:divBdr>
                <w:top w:val="none" w:sz="0" w:space="0" w:color="auto"/>
                <w:left w:val="none" w:sz="0" w:space="0" w:color="auto"/>
                <w:bottom w:val="none" w:sz="0" w:space="0" w:color="auto"/>
                <w:right w:val="none" w:sz="0" w:space="0" w:color="auto"/>
              </w:divBdr>
              <w:divsChild>
                <w:div w:id="437603535">
                  <w:marLeft w:val="0"/>
                  <w:marRight w:val="0"/>
                  <w:marTop w:val="0"/>
                  <w:marBottom w:val="0"/>
                  <w:divBdr>
                    <w:top w:val="none" w:sz="0" w:space="0" w:color="auto"/>
                    <w:left w:val="none" w:sz="0" w:space="0" w:color="auto"/>
                    <w:bottom w:val="none" w:sz="0" w:space="0" w:color="auto"/>
                    <w:right w:val="none" w:sz="0" w:space="0" w:color="auto"/>
                  </w:divBdr>
                </w:div>
              </w:divsChild>
            </w:div>
            <w:div w:id="1265042014">
              <w:marLeft w:val="0"/>
              <w:marRight w:val="0"/>
              <w:marTop w:val="0"/>
              <w:marBottom w:val="0"/>
              <w:divBdr>
                <w:top w:val="none" w:sz="0" w:space="0" w:color="auto"/>
                <w:left w:val="none" w:sz="0" w:space="0" w:color="auto"/>
                <w:bottom w:val="none" w:sz="0" w:space="0" w:color="auto"/>
                <w:right w:val="none" w:sz="0" w:space="0" w:color="auto"/>
              </w:divBdr>
              <w:divsChild>
                <w:div w:id="47120739">
                  <w:marLeft w:val="0"/>
                  <w:marRight w:val="0"/>
                  <w:marTop w:val="0"/>
                  <w:marBottom w:val="0"/>
                  <w:divBdr>
                    <w:top w:val="none" w:sz="0" w:space="0" w:color="auto"/>
                    <w:left w:val="none" w:sz="0" w:space="0" w:color="auto"/>
                    <w:bottom w:val="none" w:sz="0" w:space="0" w:color="auto"/>
                    <w:right w:val="none" w:sz="0" w:space="0" w:color="auto"/>
                  </w:divBdr>
                </w:div>
              </w:divsChild>
            </w:div>
            <w:div w:id="1380592913">
              <w:marLeft w:val="0"/>
              <w:marRight w:val="0"/>
              <w:marTop w:val="0"/>
              <w:marBottom w:val="0"/>
              <w:divBdr>
                <w:top w:val="none" w:sz="0" w:space="0" w:color="auto"/>
                <w:left w:val="none" w:sz="0" w:space="0" w:color="auto"/>
                <w:bottom w:val="none" w:sz="0" w:space="0" w:color="auto"/>
                <w:right w:val="none" w:sz="0" w:space="0" w:color="auto"/>
              </w:divBdr>
              <w:divsChild>
                <w:div w:id="463814926">
                  <w:marLeft w:val="0"/>
                  <w:marRight w:val="0"/>
                  <w:marTop w:val="0"/>
                  <w:marBottom w:val="0"/>
                  <w:divBdr>
                    <w:top w:val="none" w:sz="0" w:space="0" w:color="auto"/>
                    <w:left w:val="none" w:sz="0" w:space="0" w:color="auto"/>
                    <w:bottom w:val="none" w:sz="0" w:space="0" w:color="auto"/>
                    <w:right w:val="none" w:sz="0" w:space="0" w:color="auto"/>
                  </w:divBdr>
                </w:div>
              </w:divsChild>
            </w:div>
            <w:div w:id="1517572861">
              <w:marLeft w:val="0"/>
              <w:marRight w:val="0"/>
              <w:marTop w:val="0"/>
              <w:marBottom w:val="0"/>
              <w:divBdr>
                <w:top w:val="none" w:sz="0" w:space="0" w:color="auto"/>
                <w:left w:val="none" w:sz="0" w:space="0" w:color="auto"/>
                <w:bottom w:val="none" w:sz="0" w:space="0" w:color="auto"/>
                <w:right w:val="none" w:sz="0" w:space="0" w:color="auto"/>
              </w:divBdr>
              <w:divsChild>
                <w:div w:id="715934107">
                  <w:marLeft w:val="0"/>
                  <w:marRight w:val="0"/>
                  <w:marTop w:val="0"/>
                  <w:marBottom w:val="0"/>
                  <w:divBdr>
                    <w:top w:val="none" w:sz="0" w:space="0" w:color="auto"/>
                    <w:left w:val="none" w:sz="0" w:space="0" w:color="auto"/>
                    <w:bottom w:val="none" w:sz="0" w:space="0" w:color="auto"/>
                    <w:right w:val="none" w:sz="0" w:space="0" w:color="auto"/>
                  </w:divBdr>
                </w:div>
              </w:divsChild>
            </w:div>
            <w:div w:id="1550066437">
              <w:marLeft w:val="0"/>
              <w:marRight w:val="0"/>
              <w:marTop w:val="0"/>
              <w:marBottom w:val="0"/>
              <w:divBdr>
                <w:top w:val="none" w:sz="0" w:space="0" w:color="auto"/>
                <w:left w:val="none" w:sz="0" w:space="0" w:color="auto"/>
                <w:bottom w:val="none" w:sz="0" w:space="0" w:color="auto"/>
                <w:right w:val="none" w:sz="0" w:space="0" w:color="auto"/>
              </w:divBdr>
              <w:divsChild>
                <w:div w:id="46151062">
                  <w:marLeft w:val="0"/>
                  <w:marRight w:val="0"/>
                  <w:marTop w:val="0"/>
                  <w:marBottom w:val="0"/>
                  <w:divBdr>
                    <w:top w:val="none" w:sz="0" w:space="0" w:color="auto"/>
                    <w:left w:val="none" w:sz="0" w:space="0" w:color="auto"/>
                    <w:bottom w:val="none" w:sz="0" w:space="0" w:color="auto"/>
                    <w:right w:val="none" w:sz="0" w:space="0" w:color="auto"/>
                  </w:divBdr>
                </w:div>
              </w:divsChild>
            </w:div>
            <w:div w:id="2046056317">
              <w:marLeft w:val="0"/>
              <w:marRight w:val="0"/>
              <w:marTop w:val="0"/>
              <w:marBottom w:val="0"/>
              <w:divBdr>
                <w:top w:val="none" w:sz="0" w:space="0" w:color="auto"/>
                <w:left w:val="none" w:sz="0" w:space="0" w:color="auto"/>
                <w:bottom w:val="none" w:sz="0" w:space="0" w:color="auto"/>
                <w:right w:val="none" w:sz="0" w:space="0" w:color="auto"/>
              </w:divBdr>
              <w:divsChild>
                <w:div w:id="1696925246">
                  <w:marLeft w:val="0"/>
                  <w:marRight w:val="0"/>
                  <w:marTop w:val="0"/>
                  <w:marBottom w:val="0"/>
                  <w:divBdr>
                    <w:top w:val="none" w:sz="0" w:space="0" w:color="auto"/>
                    <w:left w:val="none" w:sz="0" w:space="0" w:color="auto"/>
                    <w:bottom w:val="none" w:sz="0" w:space="0" w:color="auto"/>
                    <w:right w:val="none" w:sz="0" w:space="0" w:color="auto"/>
                  </w:divBdr>
                </w:div>
              </w:divsChild>
            </w:div>
            <w:div w:id="2129347002">
              <w:marLeft w:val="0"/>
              <w:marRight w:val="0"/>
              <w:marTop w:val="0"/>
              <w:marBottom w:val="0"/>
              <w:divBdr>
                <w:top w:val="none" w:sz="0" w:space="0" w:color="auto"/>
                <w:left w:val="none" w:sz="0" w:space="0" w:color="auto"/>
                <w:bottom w:val="none" w:sz="0" w:space="0" w:color="auto"/>
                <w:right w:val="none" w:sz="0" w:space="0" w:color="auto"/>
              </w:divBdr>
              <w:divsChild>
                <w:div w:id="110526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718669">
      <w:bodyDiv w:val="1"/>
      <w:marLeft w:val="0"/>
      <w:marRight w:val="0"/>
      <w:marTop w:val="0"/>
      <w:marBottom w:val="0"/>
      <w:divBdr>
        <w:top w:val="none" w:sz="0" w:space="0" w:color="auto"/>
        <w:left w:val="none" w:sz="0" w:space="0" w:color="auto"/>
        <w:bottom w:val="none" w:sz="0" w:space="0" w:color="auto"/>
        <w:right w:val="none" w:sz="0" w:space="0" w:color="auto"/>
      </w:divBdr>
      <w:divsChild>
        <w:div w:id="906109762">
          <w:marLeft w:val="0"/>
          <w:marRight w:val="0"/>
          <w:marTop w:val="0"/>
          <w:marBottom w:val="0"/>
          <w:divBdr>
            <w:top w:val="none" w:sz="0" w:space="0" w:color="auto"/>
            <w:left w:val="none" w:sz="0" w:space="0" w:color="auto"/>
            <w:bottom w:val="none" w:sz="0" w:space="0" w:color="auto"/>
            <w:right w:val="none" w:sz="0" w:space="0" w:color="auto"/>
          </w:divBdr>
          <w:divsChild>
            <w:div w:id="146168038">
              <w:marLeft w:val="0"/>
              <w:marRight w:val="0"/>
              <w:marTop w:val="0"/>
              <w:marBottom w:val="0"/>
              <w:divBdr>
                <w:top w:val="none" w:sz="0" w:space="0" w:color="auto"/>
                <w:left w:val="none" w:sz="0" w:space="0" w:color="auto"/>
                <w:bottom w:val="none" w:sz="0" w:space="0" w:color="auto"/>
                <w:right w:val="none" w:sz="0" w:space="0" w:color="auto"/>
              </w:divBdr>
              <w:divsChild>
                <w:div w:id="1882087291">
                  <w:marLeft w:val="0"/>
                  <w:marRight w:val="0"/>
                  <w:marTop w:val="0"/>
                  <w:marBottom w:val="0"/>
                  <w:divBdr>
                    <w:top w:val="none" w:sz="0" w:space="0" w:color="auto"/>
                    <w:left w:val="none" w:sz="0" w:space="0" w:color="auto"/>
                    <w:bottom w:val="none" w:sz="0" w:space="0" w:color="auto"/>
                    <w:right w:val="none" w:sz="0" w:space="0" w:color="auto"/>
                  </w:divBdr>
                </w:div>
              </w:divsChild>
            </w:div>
            <w:div w:id="385614932">
              <w:marLeft w:val="0"/>
              <w:marRight w:val="0"/>
              <w:marTop w:val="0"/>
              <w:marBottom w:val="0"/>
              <w:divBdr>
                <w:top w:val="none" w:sz="0" w:space="0" w:color="auto"/>
                <w:left w:val="none" w:sz="0" w:space="0" w:color="auto"/>
                <w:bottom w:val="none" w:sz="0" w:space="0" w:color="auto"/>
                <w:right w:val="none" w:sz="0" w:space="0" w:color="auto"/>
              </w:divBdr>
              <w:divsChild>
                <w:div w:id="1289506178">
                  <w:marLeft w:val="0"/>
                  <w:marRight w:val="0"/>
                  <w:marTop w:val="0"/>
                  <w:marBottom w:val="0"/>
                  <w:divBdr>
                    <w:top w:val="none" w:sz="0" w:space="0" w:color="auto"/>
                    <w:left w:val="none" w:sz="0" w:space="0" w:color="auto"/>
                    <w:bottom w:val="none" w:sz="0" w:space="0" w:color="auto"/>
                    <w:right w:val="none" w:sz="0" w:space="0" w:color="auto"/>
                  </w:divBdr>
                </w:div>
              </w:divsChild>
            </w:div>
            <w:div w:id="654913331">
              <w:marLeft w:val="0"/>
              <w:marRight w:val="0"/>
              <w:marTop w:val="0"/>
              <w:marBottom w:val="0"/>
              <w:divBdr>
                <w:top w:val="none" w:sz="0" w:space="0" w:color="auto"/>
                <w:left w:val="none" w:sz="0" w:space="0" w:color="auto"/>
                <w:bottom w:val="none" w:sz="0" w:space="0" w:color="auto"/>
                <w:right w:val="none" w:sz="0" w:space="0" w:color="auto"/>
              </w:divBdr>
              <w:divsChild>
                <w:div w:id="149762089">
                  <w:marLeft w:val="0"/>
                  <w:marRight w:val="0"/>
                  <w:marTop w:val="0"/>
                  <w:marBottom w:val="0"/>
                  <w:divBdr>
                    <w:top w:val="none" w:sz="0" w:space="0" w:color="auto"/>
                    <w:left w:val="none" w:sz="0" w:space="0" w:color="auto"/>
                    <w:bottom w:val="none" w:sz="0" w:space="0" w:color="auto"/>
                    <w:right w:val="none" w:sz="0" w:space="0" w:color="auto"/>
                  </w:divBdr>
                </w:div>
                <w:div w:id="1559895459">
                  <w:marLeft w:val="0"/>
                  <w:marRight w:val="0"/>
                  <w:marTop w:val="0"/>
                  <w:marBottom w:val="0"/>
                  <w:divBdr>
                    <w:top w:val="none" w:sz="0" w:space="0" w:color="auto"/>
                    <w:left w:val="none" w:sz="0" w:space="0" w:color="auto"/>
                    <w:bottom w:val="none" w:sz="0" w:space="0" w:color="auto"/>
                    <w:right w:val="none" w:sz="0" w:space="0" w:color="auto"/>
                  </w:divBdr>
                </w:div>
              </w:divsChild>
            </w:div>
            <w:div w:id="668675278">
              <w:marLeft w:val="0"/>
              <w:marRight w:val="0"/>
              <w:marTop w:val="0"/>
              <w:marBottom w:val="0"/>
              <w:divBdr>
                <w:top w:val="none" w:sz="0" w:space="0" w:color="auto"/>
                <w:left w:val="none" w:sz="0" w:space="0" w:color="auto"/>
                <w:bottom w:val="none" w:sz="0" w:space="0" w:color="auto"/>
                <w:right w:val="none" w:sz="0" w:space="0" w:color="auto"/>
              </w:divBdr>
              <w:divsChild>
                <w:div w:id="2089762241">
                  <w:marLeft w:val="0"/>
                  <w:marRight w:val="0"/>
                  <w:marTop w:val="0"/>
                  <w:marBottom w:val="0"/>
                  <w:divBdr>
                    <w:top w:val="none" w:sz="0" w:space="0" w:color="auto"/>
                    <w:left w:val="none" w:sz="0" w:space="0" w:color="auto"/>
                    <w:bottom w:val="none" w:sz="0" w:space="0" w:color="auto"/>
                    <w:right w:val="none" w:sz="0" w:space="0" w:color="auto"/>
                  </w:divBdr>
                </w:div>
              </w:divsChild>
            </w:div>
            <w:div w:id="927347949">
              <w:marLeft w:val="0"/>
              <w:marRight w:val="0"/>
              <w:marTop w:val="0"/>
              <w:marBottom w:val="0"/>
              <w:divBdr>
                <w:top w:val="none" w:sz="0" w:space="0" w:color="auto"/>
                <w:left w:val="none" w:sz="0" w:space="0" w:color="auto"/>
                <w:bottom w:val="none" w:sz="0" w:space="0" w:color="auto"/>
                <w:right w:val="none" w:sz="0" w:space="0" w:color="auto"/>
              </w:divBdr>
              <w:divsChild>
                <w:div w:id="1026057965">
                  <w:marLeft w:val="0"/>
                  <w:marRight w:val="0"/>
                  <w:marTop w:val="0"/>
                  <w:marBottom w:val="0"/>
                  <w:divBdr>
                    <w:top w:val="none" w:sz="0" w:space="0" w:color="auto"/>
                    <w:left w:val="none" w:sz="0" w:space="0" w:color="auto"/>
                    <w:bottom w:val="none" w:sz="0" w:space="0" w:color="auto"/>
                    <w:right w:val="none" w:sz="0" w:space="0" w:color="auto"/>
                  </w:divBdr>
                </w:div>
              </w:divsChild>
            </w:div>
            <w:div w:id="940915723">
              <w:marLeft w:val="0"/>
              <w:marRight w:val="0"/>
              <w:marTop w:val="0"/>
              <w:marBottom w:val="0"/>
              <w:divBdr>
                <w:top w:val="none" w:sz="0" w:space="0" w:color="auto"/>
                <w:left w:val="none" w:sz="0" w:space="0" w:color="auto"/>
                <w:bottom w:val="none" w:sz="0" w:space="0" w:color="auto"/>
                <w:right w:val="none" w:sz="0" w:space="0" w:color="auto"/>
              </w:divBdr>
              <w:divsChild>
                <w:div w:id="267667799">
                  <w:marLeft w:val="0"/>
                  <w:marRight w:val="0"/>
                  <w:marTop w:val="0"/>
                  <w:marBottom w:val="0"/>
                  <w:divBdr>
                    <w:top w:val="none" w:sz="0" w:space="0" w:color="auto"/>
                    <w:left w:val="none" w:sz="0" w:space="0" w:color="auto"/>
                    <w:bottom w:val="none" w:sz="0" w:space="0" w:color="auto"/>
                    <w:right w:val="none" w:sz="0" w:space="0" w:color="auto"/>
                  </w:divBdr>
                </w:div>
              </w:divsChild>
            </w:div>
            <w:div w:id="1076627439">
              <w:marLeft w:val="0"/>
              <w:marRight w:val="0"/>
              <w:marTop w:val="0"/>
              <w:marBottom w:val="0"/>
              <w:divBdr>
                <w:top w:val="none" w:sz="0" w:space="0" w:color="auto"/>
                <w:left w:val="none" w:sz="0" w:space="0" w:color="auto"/>
                <w:bottom w:val="none" w:sz="0" w:space="0" w:color="auto"/>
                <w:right w:val="none" w:sz="0" w:space="0" w:color="auto"/>
              </w:divBdr>
              <w:divsChild>
                <w:div w:id="1619754719">
                  <w:marLeft w:val="0"/>
                  <w:marRight w:val="0"/>
                  <w:marTop w:val="0"/>
                  <w:marBottom w:val="0"/>
                  <w:divBdr>
                    <w:top w:val="none" w:sz="0" w:space="0" w:color="auto"/>
                    <w:left w:val="none" w:sz="0" w:space="0" w:color="auto"/>
                    <w:bottom w:val="none" w:sz="0" w:space="0" w:color="auto"/>
                    <w:right w:val="none" w:sz="0" w:space="0" w:color="auto"/>
                  </w:divBdr>
                </w:div>
                <w:div w:id="1653673501">
                  <w:marLeft w:val="0"/>
                  <w:marRight w:val="0"/>
                  <w:marTop w:val="0"/>
                  <w:marBottom w:val="0"/>
                  <w:divBdr>
                    <w:top w:val="none" w:sz="0" w:space="0" w:color="auto"/>
                    <w:left w:val="none" w:sz="0" w:space="0" w:color="auto"/>
                    <w:bottom w:val="none" w:sz="0" w:space="0" w:color="auto"/>
                    <w:right w:val="none" w:sz="0" w:space="0" w:color="auto"/>
                  </w:divBdr>
                </w:div>
                <w:div w:id="2010325146">
                  <w:marLeft w:val="0"/>
                  <w:marRight w:val="0"/>
                  <w:marTop w:val="0"/>
                  <w:marBottom w:val="0"/>
                  <w:divBdr>
                    <w:top w:val="none" w:sz="0" w:space="0" w:color="auto"/>
                    <w:left w:val="none" w:sz="0" w:space="0" w:color="auto"/>
                    <w:bottom w:val="none" w:sz="0" w:space="0" w:color="auto"/>
                    <w:right w:val="none" w:sz="0" w:space="0" w:color="auto"/>
                  </w:divBdr>
                </w:div>
              </w:divsChild>
            </w:div>
            <w:div w:id="1204320267">
              <w:marLeft w:val="0"/>
              <w:marRight w:val="0"/>
              <w:marTop w:val="0"/>
              <w:marBottom w:val="0"/>
              <w:divBdr>
                <w:top w:val="none" w:sz="0" w:space="0" w:color="auto"/>
                <w:left w:val="none" w:sz="0" w:space="0" w:color="auto"/>
                <w:bottom w:val="none" w:sz="0" w:space="0" w:color="auto"/>
                <w:right w:val="none" w:sz="0" w:space="0" w:color="auto"/>
              </w:divBdr>
              <w:divsChild>
                <w:div w:id="293951162">
                  <w:marLeft w:val="0"/>
                  <w:marRight w:val="0"/>
                  <w:marTop w:val="0"/>
                  <w:marBottom w:val="0"/>
                  <w:divBdr>
                    <w:top w:val="none" w:sz="0" w:space="0" w:color="auto"/>
                    <w:left w:val="none" w:sz="0" w:space="0" w:color="auto"/>
                    <w:bottom w:val="none" w:sz="0" w:space="0" w:color="auto"/>
                    <w:right w:val="none" w:sz="0" w:space="0" w:color="auto"/>
                  </w:divBdr>
                </w:div>
              </w:divsChild>
            </w:div>
            <w:div w:id="1768888060">
              <w:marLeft w:val="0"/>
              <w:marRight w:val="0"/>
              <w:marTop w:val="0"/>
              <w:marBottom w:val="0"/>
              <w:divBdr>
                <w:top w:val="none" w:sz="0" w:space="0" w:color="auto"/>
                <w:left w:val="none" w:sz="0" w:space="0" w:color="auto"/>
                <w:bottom w:val="none" w:sz="0" w:space="0" w:color="auto"/>
                <w:right w:val="none" w:sz="0" w:space="0" w:color="auto"/>
              </w:divBdr>
              <w:divsChild>
                <w:div w:id="489905832">
                  <w:marLeft w:val="0"/>
                  <w:marRight w:val="0"/>
                  <w:marTop w:val="0"/>
                  <w:marBottom w:val="0"/>
                  <w:divBdr>
                    <w:top w:val="none" w:sz="0" w:space="0" w:color="auto"/>
                    <w:left w:val="none" w:sz="0" w:space="0" w:color="auto"/>
                    <w:bottom w:val="none" w:sz="0" w:space="0" w:color="auto"/>
                    <w:right w:val="none" w:sz="0" w:space="0" w:color="auto"/>
                  </w:divBdr>
                </w:div>
              </w:divsChild>
            </w:div>
            <w:div w:id="1956058694">
              <w:marLeft w:val="0"/>
              <w:marRight w:val="0"/>
              <w:marTop w:val="0"/>
              <w:marBottom w:val="0"/>
              <w:divBdr>
                <w:top w:val="none" w:sz="0" w:space="0" w:color="auto"/>
                <w:left w:val="none" w:sz="0" w:space="0" w:color="auto"/>
                <w:bottom w:val="none" w:sz="0" w:space="0" w:color="auto"/>
                <w:right w:val="none" w:sz="0" w:space="0" w:color="auto"/>
              </w:divBdr>
              <w:divsChild>
                <w:div w:id="1156149406">
                  <w:marLeft w:val="0"/>
                  <w:marRight w:val="0"/>
                  <w:marTop w:val="0"/>
                  <w:marBottom w:val="0"/>
                  <w:divBdr>
                    <w:top w:val="none" w:sz="0" w:space="0" w:color="auto"/>
                    <w:left w:val="none" w:sz="0" w:space="0" w:color="auto"/>
                    <w:bottom w:val="none" w:sz="0" w:space="0" w:color="auto"/>
                    <w:right w:val="none" w:sz="0" w:space="0" w:color="auto"/>
                  </w:divBdr>
                </w:div>
              </w:divsChild>
            </w:div>
            <w:div w:id="1981693205">
              <w:marLeft w:val="0"/>
              <w:marRight w:val="0"/>
              <w:marTop w:val="0"/>
              <w:marBottom w:val="0"/>
              <w:divBdr>
                <w:top w:val="none" w:sz="0" w:space="0" w:color="auto"/>
                <w:left w:val="none" w:sz="0" w:space="0" w:color="auto"/>
                <w:bottom w:val="none" w:sz="0" w:space="0" w:color="auto"/>
                <w:right w:val="none" w:sz="0" w:space="0" w:color="auto"/>
              </w:divBdr>
              <w:divsChild>
                <w:div w:id="1001390645">
                  <w:marLeft w:val="0"/>
                  <w:marRight w:val="0"/>
                  <w:marTop w:val="0"/>
                  <w:marBottom w:val="0"/>
                  <w:divBdr>
                    <w:top w:val="none" w:sz="0" w:space="0" w:color="auto"/>
                    <w:left w:val="none" w:sz="0" w:space="0" w:color="auto"/>
                    <w:bottom w:val="none" w:sz="0" w:space="0" w:color="auto"/>
                    <w:right w:val="none" w:sz="0" w:space="0" w:color="auto"/>
                  </w:divBdr>
                </w:div>
                <w:div w:id="1158108502">
                  <w:marLeft w:val="0"/>
                  <w:marRight w:val="0"/>
                  <w:marTop w:val="0"/>
                  <w:marBottom w:val="0"/>
                  <w:divBdr>
                    <w:top w:val="none" w:sz="0" w:space="0" w:color="auto"/>
                    <w:left w:val="none" w:sz="0" w:space="0" w:color="auto"/>
                    <w:bottom w:val="none" w:sz="0" w:space="0" w:color="auto"/>
                    <w:right w:val="none" w:sz="0" w:space="0" w:color="auto"/>
                  </w:divBdr>
                </w:div>
                <w:div w:id="1738168861">
                  <w:marLeft w:val="0"/>
                  <w:marRight w:val="0"/>
                  <w:marTop w:val="0"/>
                  <w:marBottom w:val="0"/>
                  <w:divBdr>
                    <w:top w:val="none" w:sz="0" w:space="0" w:color="auto"/>
                    <w:left w:val="none" w:sz="0" w:space="0" w:color="auto"/>
                    <w:bottom w:val="none" w:sz="0" w:space="0" w:color="auto"/>
                    <w:right w:val="none" w:sz="0" w:space="0" w:color="auto"/>
                  </w:divBdr>
                </w:div>
              </w:divsChild>
            </w:div>
            <w:div w:id="1990357740">
              <w:marLeft w:val="0"/>
              <w:marRight w:val="0"/>
              <w:marTop w:val="0"/>
              <w:marBottom w:val="0"/>
              <w:divBdr>
                <w:top w:val="none" w:sz="0" w:space="0" w:color="auto"/>
                <w:left w:val="none" w:sz="0" w:space="0" w:color="auto"/>
                <w:bottom w:val="none" w:sz="0" w:space="0" w:color="auto"/>
                <w:right w:val="none" w:sz="0" w:space="0" w:color="auto"/>
              </w:divBdr>
              <w:divsChild>
                <w:div w:id="152841282">
                  <w:marLeft w:val="0"/>
                  <w:marRight w:val="0"/>
                  <w:marTop w:val="0"/>
                  <w:marBottom w:val="0"/>
                  <w:divBdr>
                    <w:top w:val="none" w:sz="0" w:space="0" w:color="auto"/>
                    <w:left w:val="none" w:sz="0" w:space="0" w:color="auto"/>
                    <w:bottom w:val="none" w:sz="0" w:space="0" w:color="auto"/>
                    <w:right w:val="none" w:sz="0" w:space="0" w:color="auto"/>
                  </w:divBdr>
                </w:div>
                <w:div w:id="847332287">
                  <w:marLeft w:val="0"/>
                  <w:marRight w:val="0"/>
                  <w:marTop w:val="0"/>
                  <w:marBottom w:val="0"/>
                  <w:divBdr>
                    <w:top w:val="none" w:sz="0" w:space="0" w:color="auto"/>
                    <w:left w:val="none" w:sz="0" w:space="0" w:color="auto"/>
                    <w:bottom w:val="none" w:sz="0" w:space="0" w:color="auto"/>
                    <w:right w:val="none" w:sz="0" w:space="0" w:color="auto"/>
                  </w:divBdr>
                </w:div>
                <w:div w:id="1911844328">
                  <w:marLeft w:val="0"/>
                  <w:marRight w:val="0"/>
                  <w:marTop w:val="0"/>
                  <w:marBottom w:val="0"/>
                  <w:divBdr>
                    <w:top w:val="none" w:sz="0" w:space="0" w:color="auto"/>
                    <w:left w:val="none" w:sz="0" w:space="0" w:color="auto"/>
                    <w:bottom w:val="none" w:sz="0" w:space="0" w:color="auto"/>
                    <w:right w:val="none" w:sz="0" w:space="0" w:color="auto"/>
                  </w:divBdr>
                </w:div>
                <w:div w:id="20634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792137">
      <w:bodyDiv w:val="1"/>
      <w:marLeft w:val="0"/>
      <w:marRight w:val="0"/>
      <w:marTop w:val="0"/>
      <w:marBottom w:val="0"/>
      <w:divBdr>
        <w:top w:val="none" w:sz="0" w:space="0" w:color="auto"/>
        <w:left w:val="none" w:sz="0" w:space="0" w:color="auto"/>
        <w:bottom w:val="none" w:sz="0" w:space="0" w:color="auto"/>
        <w:right w:val="none" w:sz="0" w:space="0" w:color="auto"/>
      </w:divBdr>
      <w:divsChild>
        <w:div w:id="612716094">
          <w:marLeft w:val="0"/>
          <w:marRight w:val="0"/>
          <w:marTop w:val="0"/>
          <w:marBottom w:val="0"/>
          <w:divBdr>
            <w:top w:val="none" w:sz="0" w:space="0" w:color="auto"/>
            <w:left w:val="none" w:sz="0" w:space="0" w:color="auto"/>
            <w:bottom w:val="none" w:sz="0" w:space="0" w:color="auto"/>
            <w:right w:val="none" w:sz="0" w:space="0" w:color="auto"/>
          </w:divBdr>
        </w:div>
        <w:div w:id="1485968833">
          <w:marLeft w:val="0"/>
          <w:marRight w:val="0"/>
          <w:marTop w:val="0"/>
          <w:marBottom w:val="0"/>
          <w:divBdr>
            <w:top w:val="none" w:sz="0" w:space="0" w:color="auto"/>
            <w:left w:val="none" w:sz="0" w:space="0" w:color="auto"/>
            <w:bottom w:val="none" w:sz="0" w:space="0" w:color="auto"/>
            <w:right w:val="none" w:sz="0" w:space="0" w:color="auto"/>
          </w:divBdr>
        </w:div>
      </w:divsChild>
    </w:div>
    <w:div w:id="1043484878">
      <w:bodyDiv w:val="1"/>
      <w:marLeft w:val="0"/>
      <w:marRight w:val="0"/>
      <w:marTop w:val="0"/>
      <w:marBottom w:val="0"/>
      <w:divBdr>
        <w:top w:val="none" w:sz="0" w:space="0" w:color="auto"/>
        <w:left w:val="none" w:sz="0" w:space="0" w:color="auto"/>
        <w:bottom w:val="none" w:sz="0" w:space="0" w:color="auto"/>
        <w:right w:val="none" w:sz="0" w:space="0" w:color="auto"/>
      </w:divBdr>
      <w:divsChild>
        <w:div w:id="1128207283">
          <w:marLeft w:val="0"/>
          <w:marRight w:val="0"/>
          <w:marTop w:val="0"/>
          <w:marBottom w:val="0"/>
          <w:divBdr>
            <w:top w:val="none" w:sz="0" w:space="0" w:color="auto"/>
            <w:left w:val="none" w:sz="0" w:space="0" w:color="auto"/>
            <w:bottom w:val="none" w:sz="0" w:space="0" w:color="auto"/>
            <w:right w:val="none" w:sz="0" w:space="0" w:color="auto"/>
          </w:divBdr>
          <w:divsChild>
            <w:div w:id="233975932">
              <w:marLeft w:val="0"/>
              <w:marRight w:val="0"/>
              <w:marTop w:val="0"/>
              <w:marBottom w:val="0"/>
              <w:divBdr>
                <w:top w:val="none" w:sz="0" w:space="0" w:color="auto"/>
                <w:left w:val="none" w:sz="0" w:space="0" w:color="auto"/>
                <w:bottom w:val="none" w:sz="0" w:space="0" w:color="auto"/>
                <w:right w:val="none" w:sz="0" w:space="0" w:color="auto"/>
              </w:divBdr>
              <w:divsChild>
                <w:div w:id="1894383826">
                  <w:marLeft w:val="0"/>
                  <w:marRight w:val="0"/>
                  <w:marTop w:val="0"/>
                  <w:marBottom w:val="0"/>
                  <w:divBdr>
                    <w:top w:val="none" w:sz="0" w:space="0" w:color="auto"/>
                    <w:left w:val="none" w:sz="0" w:space="0" w:color="auto"/>
                    <w:bottom w:val="none" w:sz="0" w:space="0" w:color="auto"/>
                    <w:right w:val="none" w:sz="0" w:space="0" w:color="auto"/>
                  </w:divBdr>
                </w:div>
              </w:divsChild>
            </w:div>
            <w:div w:id="549271343">
              <w:marLeft w:val="0"/>
              <w:marRight w:val="0"/>
              <w:marTop w:val="0"/>
              <w:marBottom w:val="0"/>
              <w:divBdr>
                <w:top w:val="none" w:sz="0" w:space="0" w:color="auto"/>
                <w:left w:val="none" w:sz="0" w:space="0" w:color="auto"/>
                <w:bottom w:val="none" w:sz="0" w:space="0" w:color="auto"/>
                <w:right w:val="none" w:sz="0" w:space="0" w:color="auto"/>
              </w:divBdr>
              <w:divsChild>
                <w:div w:id="378165629">
                  <w:marLeft w:val="0"/>
                  <w:marRight w:val="0"/>
                  <w:marTop w:val="0"/>
                  <w:marBottom w:val="0"/>
                  <w:divBdr>
                    <w:top w:val="none" w:sz="0" w:space="0" w:color="auto"/>
                    <w:left w:val="none" w:sz="0" w:space="0" w:color="auto"/>
                    <w:bottom w:val="none" w:sz="0" w:space="0" w:color="auto"/>
                    <w:right w:val="none" w:sz="0" w:space="0" w:color="auto"/>
                  </w:divBdr>
                </w:div>
                <w:div w:id="1358264944">
                  <w:marLeft w:val="0"/>
                  <w:marRight w:val="0"/>
                  <w:marTop w:val="0"/>
                  <w:marBottom w:val="0"/>
                  <w:divBdr>
                    <w:top w:val="none" w:sz="0" w:space="0" w:color="auto"/>
                    <w:left w:val="none" w:sz="0" w:space="0" w:color="auto"/>
                    <w:bottom w:val="none" w:sz="0" w:space="0" w:color="auto"/>
                    <w:right w:val="none" w:sz="0" w:space="0" w:color="auto"/>
                  </w:divBdr>
                </w:div>
                <w:div w:id="1396276390">
                  <w:marLeft w:val="0"/>
                  <w:marRight w:val="0"/>
                  <w:marTop w:val="0"/>
                  <w:marBottom w:val="0"/>
                  <w:divBdr>
                    <w:top w:val="none" w:sz="0" w:space="0" w:color="auto"/>
                    <w:left w:val="none" w:sz="0" w:space="0" w:color="auto"/>
                    <w:bottom w:val="none" w:sz="0" w:space="0" w:color="auto"/>
                    <w:right w:val="none" w:sz="0" w:space="0" w:color="auto"/>
                  </w:divBdr>
                </w:div>
                <w:div w:id="1836528522">
                  <w:marLeft w:val="0"/>
                  <w:marRight w:val="0"/>
                  <w:marTop w:val="0"/>
                  <w:marBottom w:val="0"/>
                  <w:divBdr>
                    <w:top w:val="none" w:sz="0" w:space="0" w:color="auto"/>
                    <w:left w:val="none" w:sz="0" w:space="0" w:color="auto"/>
                    <w:bottom w:val="none" w:sz="0" w:space="0" w:color="auto"/>
                    <w:right w:val="none" w:sz="0" w:space="0" w:color="auto"/>
                  </w:divBdr>
                </w:div>
              </w:divsChild>
            </w:div>
            <w:div w:id="705065658">
              <w:marLeft w:val="0"/>
              <w:marRight w:val="0"/>
              <w:marTop w:val="0"/>
              <w:marBottom w:val="0"/>
              <w:divBdr>
                <w:top w:val="none" w:sz="0" w:space="0" w:color="auto"/>
                <w:left w:val="none" w:sz="0" w:space="0" w:color="auto"/>
                <w:bottom w:val="none" w:sz="0" w:space="0" w:color="auto"/>
                <w:right w:val="none" w:sz="0" w:space="0" w:color="auto"/>
              </w:divBdr>
              <w:divsChild>
                <w:div w:id="590430797">
                  <w:marLeft w:val="0"/>
                  <w:marRight w:val="0"/>
                  <w:marTop w:val="0"/>
                  <w:marBottom w:val="0"/>
                  <w:divBdr>
                    <w:top w:val="none" w:sz="0" w:space="0" w:color="auto"/>
                    <w:left w:val="none" w:sz="0" w:space="0" w:color="auto"/>
                    <w:bottom w:val="none" w:sz="0" w:space="0" w:color="auto"/>
                    <w:right w:val="none" w:sz="0" w:space="0" w:color="auto"/>
                  </w:divBdr>
                </w:div>
                <w:div w:id="675111174">
                  <w:marLeft w:val="0"/>
                  <w:marRight w:val="0"/>
                  <w:marTop w:val="0"/>
                  <w:marBottom w:val="0"/>
                  <w:divBdr>
                    <w:top w:val="none" w:sz="0" w:space="0" w:color="auto"/>
                    <w:left w:val="none" w:sz="0" w:space="0" w:color="auto"/>
                    <w:bottom w:val="none" w:sz="0" w:space="0" w:color="auto"/>
                    <w:right w:val="none" w:sz="0" w:space="0" w:color="auto"/>
                  </w:divBdr>
                </w:div>
                <w:div w:id="788402752">
                  <w:marLeft w:val="0"/>
                  <w:marRight w:val="0"/>
                  <w:marTop w:val="0"/>
                  <w:marBottom w:val="0"/>
                  <w:divBdr>
                    <w:top w:val="none" w:sz="0" w:space="0" w:color="auto"/>
                    <w:left w:val="none" w:sz="0" w:space="0" w:color="auto"/>
                    <w:bottom w:val="none" w:sz="0" w:space="0" w:color="auto"/>
                    <w:right w:val="none" w:sz="0" w:space="0" w:color="auto"/>
                  </w:divBdr>
                </w:div>
                <w:div w:id="912355670">
                  <w:marLeft w:val="0"/>
                  <w:marRight w:val="0"/>
                  <w:marTop w:val="0"/>
                  <w:marBottom w:val="0"/>
                  <w:divBdr>
                    <w:top w:val="none" w:sz="0" w:space="0" w:color="auto"/>
                    <w:left w:val="none" w:sz="0" w:space="0" w:color="auto"/>
                    <w:bottom w:val="none" w:sz="0" w:space="0" w:color="auto"/>
                    <w:right w:val="none" w:sz="0" w:space="0" w:color="auto"/>
                  </w:divBdr>
                </w:div>
                <w:div w:id="914435333">
                  <w:marLeft w:val="0"/>
                  <w:marRight w:val="0"/>
                  <w:marTop w:val="0"/>
                  <w:marBottom w:val="0"/>
                  <w:divBdr>
                    <w:top w:val="none" w:sz="0" w:space="0" w:color="auto"/>
                    <w:left w:val="none" w:sz="0" w:space="0" w:color="auto"/>
                    <w:bottom w:val="none" w:sz="0" w:space="0" w:color="auto"/>
                    <w:right w:val="none" w:sz="0" w:space="0" w:color="auto"/>
                  </w:divBdr>
                </w:div>
                <w:div w:id="973414804">
                  <w:marLeft w:val="0"/>
                  <w:marRight w:val="0"/>
                  <w:marTop w:val="0"/>
                  <w:marBottom w:val="0"/>
                  <w:divBdr>
                    <w:top w:val="none" w:sz="0" w:space="0" w:color="auto"/>
                    <w:left w:val="none" w:sz="0" w:space="0" w:color="auto"/>
                    <w:bottom w:val="none" w:sz="0" w:space="0" w:color="auto"/>
                    <w:right w:val="none" w:sz="0" w:space="0" w:color="auto"/>
                  </w:divBdr>
                </w:div>
                <w:div w:id="1495294726">
                  <w:marLeft w:val="0"/>
                  <w:marRight w:val="0"/>
                  <w:marTop w:val="0"/>
                  <w:marBottom w:val="0"/>
                  <w:divBdr>
                    <w:top w:val="none" w:sz="0" w:space="0" w:color="auto"/>
                    <w:left w:val="none" w:sz="0" w:space="0" w:color="auto"/>
                    <w:bottom w:val="none" w:sz="0" w:space="0" w:color="auto"/>
                    <w:right w:val="none" w:sz="0" w:space="0" w:color="auto"/>
                  </w:divBdr>
                </w:div>
                <w:div w:id="1750734244">
                  <w:marLeft w:val="0"/>
                  <w:marRight w:val="0"/>
                  <w:marTop w:val="0"/>
                  <w:marBottom w:val="0"/>
                  <w:divBdr>
                    <w:top w:val="none" w:sz="0" w:space="0" w:color="auto"/>
                    <w:left w:val="none" w:sz="0" w:space="0" w:color="auto"/>
                    <w:bottom w:val="none" w:sz="0" w:space="0" w:color="auto"/>
                    <w:right w:val="none" w:sz="0" w:space="0" w:color="auto"/>
                  </w:divBdr>
                </w:div>
                <w:div w:id="2010521251">
                  <w:marLeft w:val="0"/>
                  <w:marRight w:val="0"/>
                  <w:marTop w:val="0"/>
                  <w:marBottom w:val="0"/>
                  <w:divBdr>
                    <w:top w:val="none" w:sz="0" w:space="0" w:color="auto"/>
                    <w:left w:val="none" w:sz="0" w:space="0" w:color="auto"/>
                    <w:bottom w:val="none" w:sz="0" w:space="0" w:color="auto"/>
                    <w:right w:val="none" w:sz="0" w:space="0" w:color="auto"/>
                  </w:divBdr>
                </w:div>
              </w:divsChild>
            </w:div>
            <w:div w:id="1068653699">
              <w:marLeft w:val="0"/>
              <w:marRight w:val="0"/>
              <w:marTop w:val="0"/>
              <w:marBottom w:val="0"/>
              <w:divBdr>
                <w:top w:val="none" w:sz="0" w:space="0" w:color="auto"/>
                <w:left w:val="none" w:sz="0" w:space="0" w:color="auto"/>
                <w:bottom w:val="none" w:sz="0" w:space="0" w:color="auto"/>
                <w:right w:val="none" w:sz="0" w:space="0" w:color="auto"/>
              </w:divBdr>
              <w:divsChild>
                <w:div w:id="1431507130">
                  <w:marLeft w:val="0"/>
                  <w:marRight w:val="0"/>
                  <w:marTop w:val="0"/>
                  <w:marBottom w:val="0"/>
                  <w:divBdr>
                    <w:top w:val="none" w:sz="0" w:space="0" w:color="auto"/>
                    <w:left w:val="none" w:sz="0" w:space="0" w:color="auto"/>
                    <w:bottom w:val="none" w:sz="0" w:space="0" w:color="auto"/>
                    <w:right w:val="none" w:sz="0" w:space="0" w:color="auto"/>
                  </w:divBdr>
                </w:div>
              </w:divsChild>
            </w:div>
            <w:div w:id="1104960833">
              <w:marLeft w:val="0"/>
              <w:marRight w:val="0"/>
              <w:marTop w:val="0"/>
              <w:marBottom w:val="0"/>
              <w:divBdr>
                <w:top w:val="none" w:sz="0" w:space="0" w:color="auto"/>
                <w:left w:val="none" w:sz="0" w:space="0" w:color="auto"/>
                <w:bottom w:val="none" w:sz="0" w:space="0" w:color="auto"/>
                <w:right w:val="none" w:sz="0" w:space="0" w:color="auto"/>
              </w:divBdr>
              <w:divsChild>
                <w:div w:id="1037975608">
                  <w:marLeft w:val="0"/>
                  <w:marRight w:val="0"/>
                  <w:marTop w:val="0"/>
                  <w:marBottom w:val="0"/>
                  <w:divBdr>
                    <w:top w:val="none" w:sz="0" w:space="0" w:color="auto"/>
                    <w:left w:val="none" w:sz="0" w:space="0" w:color="auto"/>
                    <w:bottom w:val="none" w:sz="0" w:space="0" w:color="auto"/>
                    <w:right w:val="none" w:sz="0" w:space="0" w:color="auto"/>
                  </w:divBdr>
                </w:div>
              </w:divsChild>
            </w:div>
            <w:div w:id="1132211652">
              <w:marLeft w:val="0"/>
              <w:marRight w:val="0"/>
              <w:marTop w:val="0"/>
              <w:marBottom w:val="0"/>
              <w:divBdr>
                <w:top w:val="none" w:sz="0" w:space="0" w:color="auto"/>
                <w:left w:val="none" w:sz="0" w:space="0" w:color="auto"/>
                <w:bottom w:val="none" w:sz="0" w:space="0" w:color="auto"/>
                <w:right w:val="none" w:sz="0" w:space="0" w:color="auto"/>
              </w:divBdr>
              <w:divsChild>
                <w:div w:id="792820486">
                  <w:marLeft w:val="0"/>
                  <w:marRight w:val="0"/>
                  <w:marTop w:val="0"/>
                  <w:marBottom w:val="0"/>
                  <w:divBdr>
                    <w:top w:val="none" w:sz="0" w:space="0" w:color="auto"/>
                    <w:left w:val="none" w:sz="0" w:space="0" w:color="auto"/>
                    <w:bottom w:val="none" w:sz="0" w:space="0" w:color="auto"/>
                    <w:right w:val="none" w:sz="0" w:space="0" w:color="auto"/>
                  </w:divBdr>
                </w:div>
              </w:divsChild>
            </w:div>
            <w:div w:id="1198588291">
              <w:marLeft w:val="0"/>
              <w:marRight w:val="0"/>
              <w:marTop w:val="0"/>
              <w:marBottom w:val="0"/>
              <w:divBdr>
                <w:top w:val="none" w:sz="0" w:space="0" w:color="auto"/>
                <w:left w:val="none" w:sz="0" w:space="0" w:color="auto"/>
                <w:bottom w:val="none" w:sz="0" w:space="0" w:color="auto"/>
                <w:right w:val="none" w:sz="0" w:space="0" w:color="auto"/>
              </w:divBdr>
              <w:divsChild>
                <w:div w:id="262540655">
                  <w:marLeft w:val="0"/>
                  <w:marRight w:val="0"/>
                  <w:marTop w:val="0"/>
                  <w:marBottom w:val="0"/>
                  <w:divBdr>
                    <w:top w:val="none" w:sz="0" w:space="0" w:color="auto"/>
                    <w:left w:val="none" w:sz="0" w:space="0" w:color="auto"/>
                    <w:bottom w:val="none" w:sz="0" w:space="0" w:color="auto"/>
                    <w:right w:val="none" w:sz="0" w:space="0" w:color="auto"/>
                  </w:divBdr>
                </w:div>
                <w:div w:id="554851253">
                  <w:marLeft w:val="0"/>
                  <w:marRight w:val="0"/>
                  <w:marTop w:val="0"/>
                  <w:marBottom w:val="0"/>
                  <w:divBdr>
                    <w:top w:val="none" w:sz="0" w:space="0" w:color="auto"/>
                    <w:left w:val="none" w:sz="0" w:space="0" w:color="auto"/>
                    <w:bottom w:val="none" w:sz="0" w:space="0" w:color="auto"/>
                    <w:right w:val="none" w:sz="0" w:space="0" w:color="auto"/>
                  </w:divBdr>
                </w:div>
                <w:div w:id="614101364">
                  <w:marLeft w:val="0"/>
                  <w:marRight w:val="0"/>
                  <w:marTop w:val="0"/>
                  <w:marBottom w:val="0"/>
                  <w:divBdr>
                    <w:top w:val="none" w:sz="0" w:space="0" w:color="auto"/>
                    <w:left w:val="none" w:sz="0" w:space="0" w:color="auto"/>
                    <w:bottom w:val="none" w:sz="0" w:space="0" w:color="auto"/>
                    <w:right w:val="none" w:sz="0" w:space="0" w:color="auto"/>
                  </w:divBdr>
                </w:div>
                <w:div w:id="1953780549">
                  <w:marLeft w:val="0"/>
                  <w:marRight w:val="0"/>
                  <w:marTop w:val="0"/>
                  <w:marBottom w:val="0"/>
                  <w:divBdr>
                    <w:top w:val="none" w:sz="0" w:space="0" w:color="auto"/>
                    <w:left w:val="none" w:sz="0" w:space="0" w:color="auto"/>
                    <w:bottom w:val="none" w:sz="0" w:space="0" w:color="auto"/>
                    <w:right w:val="none" w:sz="0" w:space="0" w:color="auto"/>
                  </w:divBdr>
                </w:div>
              </w:divsChild>
            </w:div>
            <w:div w:id="1267538842">
              <w:marLeft w:val="0"/>
              <w:marRight w:val="0"/>
              <w:marTop w:val="0"/>
              <w:marBottom w:val="0"/>
              <w:divBdr>
                <w:top w:val="none" w:sz="0" w:space="0" w:color="auto"/>
                <w:left w:val="none" w:sz="0" w:space="0" w:color="auto"/>
                <w:bottom w:val="none" w:sz="0" w:space="0" w:color="auto"/>
                <w:right w:val="none" w:sz="0" w:space="0" w:color="auto"/>
              </w:divBdr>
              <w:divsChild>
                <w:div w:id="589391234">
                  <w:marLeft w:val="0"/>
                  <w:marRight w:val="0"/>
                  <w:marTop w:val="0"/>
                  <w:marBottom w:val="0"/>
                  <w:divBdr>
                    <w:top w:val="none" w:sz="0" w:space="0" w:color="auto"/>
                    <w:left w:val="none" w:sz="0" w:space="0" w:color="auto"/>
                    <w:bottom w:val="none" w:sz="0" w:space="0" w:color="auto"/>
                    <w:right w:val="none" w:sz="0" w:space="0" w:color="auto"/>
                  </w:divBdr>
                </w:div>
              </w:divsChild>
            </w:div>
            <w:div w:id="1520581444">
              <w:marLeft w:val="0"/>
              <w:marRight w:val="0"/>
              <w:marTop w:val="0"/>
              <w:marBottom w:val="0"/>
              <w:divBdr>
                <w:top w:val="none" w:sz="0" w:space="0" w:color="auto"/>
                <w:left w:val="none" w:sz="0" w:space="0" w:color="auto"/>
                <w:bottom w:val="none" w:sz="0" w:space="0" w:color="auto"/>
                <w:right w:val="none" w:sz="0" w:space="0" w:color="auto"/>
              </w:divBdr>
              <w:divsChild>
                <w:div w:id="608782020">
                  <w:marLeft w:val="0"/>
                  <w:marRight w:val="0"/>
                  <w:marTop w:val="0"/>
                  <w:marBottom w:val="0"/>
                  <w:divBdr>
                    <w:top w:val="none" w:sz="0" w:space="0" w:color="auto"/>
                    <w:left w:val="none" w:sz="0" w:space="0" w:color="auto"/>
                    <w:bottom w:val="none" w:sz="0" w:space="0" w:color="auto"/>
                    <w:right w:val="none" w:sz="0" w:space="0" w:color="auto"/>
                  </w:divBdr>
                </w:div>
              </w:divsChild>
            </w:div>
            <w:div w:id="1634746907">
              <w:marLeft w:val="0"/>
              <w:marRight w:val="0"/>
              <w:marTop w:val="0"/>
              <w:marBottom w:val="0"/>
              <w:divBdr>
                <w:top w:val="none" w:sz="0" w:space="0" w:color="auto"/>
                <w:left w:val="none" w:sz="0" w:space="0" w:color="auto"/>
                <w:bottom w:val="none" w:sz="0" w:space="0" w:color="auto"/>
                <w:right w:val="none" w:sz="0" w:space="0" w:color="auto"/>
              </w:divBdr>
              <w:divsChild>
                <w:div w:id="145436857">
                  <w:marLeft w:val="0"/>
                  <w:marRight w:val="0"/>
                  <w:marTop w:val="0"/>
                  <w:marBottom w:val="0"/>
                  <w:divBdr>
                    <w:top w:val="none" w:sz="0" w:space="0" w:color="auto"/>
                    <w:left w:val="none" w:sz="0" w:space="0" w:color="auto"/>
                    <w:bottom w:val="none" w:sz="0" w:space="0" w:color="auto"/>
                    <w:right w:val="none" w:sz="0" w:space="0" w:color="auto"/>
                  </w:divBdr>
                </w:div>
                <w:div w:id="179660277">
                  <w:marLeft w:val="0"/>
                  <w:marRight w:val="0"/>
                  <w:marTop w:val="0"/>
                  <w:marBottom w:val="0"/>
                  <w:divBdr>
                    <w:top w:val="none" w:sz="0" w:space="0" w:color="auto"/>
                    <w:left w:val="none" w:sz="0" w:space="0" w:color="auto"/>
                    <w:bottom w:val="none" w:sz="0" w:space="0" w:color="auto"/>
                    <w:right w:val="none" w:sz="0" w:space="0" w:color="auto"/>
                  </w:divBdr>
                </w:div>
                <w:div w:id="404108805">
                  <w:marLeft w:val="0"/>
                  <w:marRight w:val="0"/>
                  <w:marTop w:val="0"/>
                  <w:marBottom w:val="0"/>
                  <w:divBdr>
                    <w:top w:val="none" w:sz="0" w:space="0" w:color="auto"/>
                    <w:left w:val="none" w:sz="0" w:space="0" w:color="auto"/>
                    <w:bottom w:val="none" w:sz="0" w:space="0" w:color="auto"/>
                    <w:right w:val="none" w:sz="0" w:space="0" w:color="auto"/>
                  </w:divBdr>
                </w:div>
                <w:div w:id="703140850">
                  <w:marLeft w:val="0"/>
                  <w:marRight w:val="0"/>
                  <w:marTop w:val="0"/>
                  <w:marBottom w:val="0"/>
                  <w:divBdr>
                    <w:top w:val="none" w:sz="0" w:space="0" w:color="auto"/>
                    <w:left w:val="none" w:sz="0" w:space="0" w:color="auto"/>
                    <w:bottom w:val="none" w:sz="0" w:space="0" w:color="auto"/>
                    <w:right w:val="none" w:sz="0" w:space="0" w:color="auto"/>
                  </w:divBdr>
                </w:div>
                <w:div w:id="767428512">
                  <w:marLeft w:val="0"/>
                  <w:marRight w:val="0"/>
                  <w:marTop w:val="0"/>
                  <w:marBottom w:val="0"/>
                  <w:divBdr>
                    <w:top w:val="none" w:sz="0" w:space="0" w:color="auto"/>
                    <w:left w:val="none" w:sz="0" w:space="0" w:color="auto"/>
                    <w:bottom w:val="none" w:sz="0" w:space="0" w:color="auto"/>
                    <w:right w:val="none" w:sz="0" w:space="0" w:color="auto"/>
                  </w:divBdr>
                </w:div>
                <w:div w:id="1385104033">
                  <w:marLeft w:val="0"/>
                  <w:marRight w:val="0"/>
                  <w:marTop w:val="0"/>
                  <w:marBottom w:val="0"/>
                  <w:divBdr>
                    <w:top w:val="none" w:sz="0" w:space="0" w:color="auto"/>
                    <w:left w:val="none" w:sz="0" w:space="0" w:color="auto"/>
                    <w:bottom w:val="none" w:sz="0" w:space="0" w:color="auto"/>
                    <w:right w:val="none" w:sz="0" w:space="0" w:color="auto"/>
                  </w:divBdr>
                </w:div>
                <w:div w:id="1449005857">
                  <w:marLeft w:val="0"/>
                  <w:marRight w:val="0"/>
                  <w:marTop w:val="0"/>
                  <w:marBottom w:val="0"/>
                  <w:divBdr>
                    <w:top w:val="none" w:sz="0" w:space="0" w:color="auto"/>
                    <w:left w:val="none" w:sz="0" w:space="0" w:color="auto"/>
                    <w:bottom w:val="none" w:sz="0" w:space="0" w:color="auto"/>
                    <w:right w:val="none" w:sz="0" w:space="0" w:color="auto"/>
                  </w:divBdr>
                </w:div>
                <w:div w:id="1956592831">
                  <w:marLeft w:val="0"/>
                  <w:marRight w:val="0"/>
                  <w:marTop w:val="0"/>
                  <w:marBottom w:val="0"/>
                  <w:divBdr>
                    <w:top w:val="none" w:sz="0" w:space="0" w:color="auto"/>
                    <w:left w:val="none" w:sz="0" w:space="0" w:color="auto"/>
                    <w:bottom w:val="none" w:sz="0" w:space="0" w:color="auto"/>
                    <w:right w:val="none" w:sz="0" w:space="0" w:color="auto"/>
                  </w:divBdr>
                </w:div>
                <w:div w:id="2048526170">
                  <w:marLeft w:val="0"/>
                  <w:marRight w:val="0"/>
                  <w:marTop w:val="0"/>
                  <w:marBottom w:val="0"/>
                  <w:divBdr>
                    <w:top w:val="none" w:sz="0" w:space="0" w:color="auto"/>
                    <w:left w:val="none" w:sz="0" w:space="0" w:color="auto"/>
                    <w:bottom w:val="none" w:sz="0" w:space="0" w:color="auto"/>
                    <w:right w:val="none" w:sz="0" w:space="0" w:color="auto"/>
                  </w:divBdr>
                </w:div>
                <w:div w:id="2132091638">
                  <w:marLeft w:val="0"/>
                  <w:marRight w:val="0"/>
                  <w:marTop w:val="0"/>
                  <w:marBottom w:val="0"/>
                  <w:divBdr>
                    <w:top w:val="none" w:sz="0" w:space="0" w:color="auto"/>
                    <w:left w:val="none" w:sz="0" w:space="0" w:color="auto"/>
                    <w:bottom w:val="none" w:sz="0" w:space="0" w:color="auto"/>
                    <w:right w:val="none" w:sz="0" w:space="0" w:color="auto"/>
                  </w:divBdr>
                </w:div>
              </w:divsChild>
            </w:div>
            <w:div w:id="1913395054">
              <w:marLeft w:val="0"/>
              <w:marRight w:val="0"/>
              <w:marTop w:val="0"/>
              <w:marBottom w:val="0"/>
              <w:divBdr>
                <w:top w:val="none" w:sz="0" w:space="0" w:color="auto"/>
                <w:left w:val="none" w:sz="0" w:space="0" w:color="auto"/>
                <w:bottom w:val="none" w:sz="0" w:space="0" w:color="auto"/>
                <w:right w:val="none" w:sz="0" w:space="0" w:color="auto"/>
              </w:divBdr>
              <w:divsChild>
                <w:div w:id="61217650">
                  <w:marLeft w:val="0"/>
                  <w:marRight w:val="0"/>
                  <w:marTop w:val="0"/>
                  <w:marBottom w:val="0"/>
                  <w:divBdr>
                    <w:top w:val="none" w:sz="0" w:space="0" w:color="auto"/>
                    <w:left w:val="none" w:sz="0" w:space="0" w:color="auto"/>
                    <w:bottom w:val="none" w:sz="0" w:space="0" w:color="auto"/>
                    <w:right w:val="none" w:sz="0" w:space="0" w:color="auto"/>
                  </w:divBdr>
                </w:div>
                <w:div w:id="354843724">
                  <w:marLeft w:val="0"/>
                  <w:marRight w:val="0"/>
                  <w:marTop w:val="0"/>
                  <w:marBottom w:val="0"/>
                  <w:divBdr>
                    <w:top w:val="none" w:sz="0" w:space="0" w:color="auto"/>
                    <w:left w:val="none" w:sz="0" w:space="0" w:color="auto"/>
                    <w:bottom w:val="none" w:sz="0" w:space="0" w:color="auto"/>
                    <w:right w:val="none" w:sz="0" w:space="0" w:color="auto"/>
                  </w:divBdr>
                </w:div>
                <w:div w:id="646400425">
                  <w:marLeft w:val="0"/>
                  <w:marRight w:val="0"/>
                  <w:marTop w:val="0"/>
                  <w:marBottom w:val="0"/>
                  <w:divBdr>
                    <w:top w:val="none" w:sz="0" w:space="0" w:color="auto"/>
                    <w:left w:val="none" w:sz="0" w:space="0" w:color="auto"/>
                    <w:bottom w:val="none" w:sz="0" w:space="0" w:color="auto"/>
                    <w:right w:val="none" w:sz="0" w:space="0" w:color="auto"/>
                  </w:divBdr>
                </w:div>
                <w:div w:id="1896044217">
                  <w:marLeft w:val="0"/>
                  <w:marRight w:val="0"/>
                  <w:marTop w:val="0"/>
                  <w:marBottom w:val="0"/>
                  <w:divBdr>
                    <w:top w:val="none" w:sz="0" w:space="0" w:color="auto"/>
                    <w:left w:val="none" w:sz="0" w:space="0" w:color="auto"/>
                    <w:bottom w:val="none" w:sz="0" w:space="0" w:color="auto"/>
                    <w:right w:val="none" w:sz="0" w:space="0" w:color="auto"/>
                  </w:divBdr>
                </w:div>
              </w:divsChild>
            </w:div>
            <w:div w:id="2143113855">
              <w:marLeft w:val="0"/>
              <w:marRight w:val="0"/>
              <w:marTop w:val="0"/>
              <w:marBottom w:val="0"/>
              <w:divBdr>
                <w:top w:val="none" w:sz="0" w:space="0" w:color="auto"/>
                <w:left w:val="none" w:sz="0" w:space="0" w:color="auto"/>
                <w:bottom w:val="none" w:sz="0" w:space="0" w:color="auto"/>
                <w:right w:val="none" w:sz="0" w:space="0" w:color="auto"/>
              </w:divBdr>
              <w:divsChild>
                <w:div w:id="1659841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560207">
      <w:bodyDiv w:val="1"/>
      <w:marLeft w:val="0"/>
      <w:marRight w:val="0"/>
      <w:marTop w:val="0"/>
      <w:marBottom w:val="0"/>
      <w:divBdr>
        <w:top w:val="none" w:sz="0" w:space="0" w:color="auto"/>
        <w:left w:val="none" w:sz="0" w:space="0" w:color="auto"/>
        <w:bottom w:val="none" w:sz="0" w:space="0" w:color="auto"/>
        <w:right w:val="none" w:sz="0" w:space="0" w:color="auto"/>
      </w:divBdr>
    </w:div>
    <w:div w:id="1098410064">
      <w:bodyDiv w:val="1"/>
      <w:marLeft w:val="0"/>
      <w:marRight w:val="0"/>
      <w:marTop w:val="0"/>
      <w:marBottom w:val="0"/>
      <w:divBdr>
        <w:top w:val="none" w:sz="0" w:space="0" w:color="auto"/>
        <w:left w:val="none" w:sz="0" w:space="0" w:color="auto"/>
        <w:bottom w:val="none" w:sz="0" w:space="0" w:color="auto"/>
        <w:right w:val="none" w:sz="0" w:space="0" w:color="auto"/>
      </w:divBdr>
    </w:div>
    <w:div w:id="1120799828">
      <w:bodyDiv w:val="1"/>
      <w:marLeft w:val="0"/>
      <w:marRight w:val="0"/>
      <w:marTop w:val="0"/>
      <w:marBottom w:val="0"/>
      <w:divBdr>
        <w:top w:val="none" w:sz="0" w:space="0" w:color="auto"/>
        <w:left w:val="none" w:sz="0" w:space="0" w:color="auto"/>
        <w:bottom w:val="none" w:sz="0" w:space="0" w:color="auto"/>
        <w:right w:val="none" w:sz="0" w:space="0" w:color="auto"/>
      </w:divBdr>
    </w:div>
    <w:div w:id="1131677620">
      <w:bodyDiv w:val="1"/>
      <w:marLeft w:val="0"/>
      <w:marRight w:val="0"/>
      <w:marTop w:val="0"/>
      <w:marBottom w:val="0"/>
      <w:divBdr>
        <w:top w:val="none" w:sz="0" w:space="0" w:color="auto"/>
        <w:left w:val="none" w:sz="0" w:space="0" w:color="auto"/>
        <w:bottom w:val="none" w:sz="0" w:space="0" w:color="auto"/>
        <w:right w:val="none" w:sz="0" w:space="0" w:color="auto"/>
      </w:divBdr>
      <w:divsChild>
        <w:div w:id="1589846268">
          <w:marLeft w:val="0"/>
          <w:marRight w:val="0"/>
          <w:marTop w:val="0"/>
          <w:marBottom w:val="0"/>
          <w:divBdr>
            <w:top w:val="none" w:sz="0" w:space="0" w:color="auto"/>
            <w:left w:val="none" w:sz="0" w:space="0" w:color="auto"/>
            <w:bottom w:val="none" w:sz="0" w:space="0" w:color="auto"/>
            <w:right w:val="none" w:sz="0" w:space="0" w:color="auto"/>
          </w:divBdr>
        </w:div>
        <w:div w:id="1674456222">
          <w:marLeft w:val="0"/>
          <w:marRight w:val="0"/>
          <w:marTop w:val="0"/>
          <w:marBottom w:val="0"/>
          <w:divBdr>
            <w:top w:val="none" w:sz="0" w:space="0" w:color="auto"/>
            <w:left w:val="none" w:sz="0" w:space="0" w:color="auto"/>
            <w:bottom w:val="none" w:sz="0" w:space="0" w:color="auto"/>
            <w:right w:val="none" w:sz="0" w:space="0" w:color="auto"/>
          </w:divBdr>
        </w:div>
      </w:divsChild>
    </w:div>
    <w:div w:id="1142116263">
      <w:bodyDiv w:val="1"/>
      <w:marLeft w:val="0"/>
      <w:marRight w:val="0"/>
      <w:marTop w:val="0"/>
      <w:marBottom w:val="0"/>
      <w:divBdr>
        <w:top w:val="none" w:sz="0" w:space="0" w:color="auto"/>
        <w:left w:val="none" w:sz="0" w:space="0" w:color="auto"/>
        <w:bottom w:val="none" w:sz="0" w:space="0" w:color="auto"/>
        <w:right w:val="none" w:sz="0" w:space="0" w:color="auto"/>
      </w:divBdr>
    </w:div>
    <w:div w:id="1155343861">
      <w:bodyDiv w:val="1"/>
      <w:marLeft w:val="0"/>
      <w:marRight w:val="0"/>
      <w:marTop w:val="0"/>
      <w:marBottom w:val="0"/>
      <w:divBdr>
        <w:top w:val="none" w:sz="0" w:space="0" w:color="auto"/>
        <w:left w:val="none" w:sz="0" w:space="0" w:color="auto"/>
        <w:bottom w:val="none" w:sz="0" w:space="0" w:color="auto"/>
        <w:right w:val="none" w:sz="0" w:space="0" w:color="auto"/>
      </w:divBdr>
    </w:div>
    <w:div w:id="1174681563">
      <w:bodyDiv w:val="1"/>
      <w:marLeft w:val="0"/>
      <w:marRight w:val="0"/>
      <w:marTop w:val="0"/>
      <w:marBottom w:val="0"/>
      <w:divBdr>
        <w:top w:val="none" w:sz="0" w:space="0" w:color="auto"/>
        <w:left w:val="none" w:sz="0" w:space="0" w:color="auto"/>
        <w:bottom w:val="none" w:sz="0" w:space="0" w:color="auto"/>
        <w:right w:val="none" w:sz="0" w:space="0" w:color="auto"/>
      </w:divBdr>
    </w:div>
    <w:div w:id="1213496001">
      <w:bodyDiv w:val="1"/>
      <w:marLeft w:val="0"/>
      <w:marRight w:val="0"/>
      <w:marTop w:val="0"/>
      <w:marBottom w:val="0"/>
      <w:divBdr>
        <w:top w:val="none" w:sz="0" w:space="0" w:color="auto"/>
        <w:left w:val="none" w:sz="0" w:space="0" w:color="auto"/>
        <w:bottom w:val="none" w:sz="0" w:space="0" w:color="auto"/>
        <w:right w:val="none" w:sz="0" w:space="0" w:color="auto"/>
      </w:divBdr>
    </w:div>
    <w:div w:id="1219629194">
      <w:bodyDiv w:val="1"/>
      <w:marLeft w:val="0"/>
      <w:marRight w:val="0"/>
      <w:marTop w:val="0"/>
      <w:marBottom w:val="0"/>
      <w:divBdr>
        <w:top w:val="none" w:sz="0" w:space="0" w:color="auto"/>
        <w:left w:val="none" w:sz="0" w:space="0" w:color="auto"/>
        <w:bottom w:val="none" w:sz="0" w:space="0" w:color="auto"/>
        <w:right w:val="none" w:sz="0" w:space="0" w:color="auto"/>
      </w:divBdr>
      <w:divsChild>
        <w:div w:id="310252523">
          <w:marLeft w:val="0"/>
          <w:marRight w:val="0"/>
          <w:marTop w:val="0"/>
          <w:marBottom w:val="0"/>
          <w:divBdr>
            <w:top w:val="none" w:sz="0" w:space="0" w:color="auto"/>
            <w:left w:val="none" w:sz="0" w:space="0" w:color="auto"/>
            <w:bottom w:val="none" w:sz="0" w:space="0" w:color="auto"/>
            <w:right w:val="none" w:sz="0" w:space="0" w:color="auto"/>
          </w:divBdr>
        </w:div>
        <w:div w:id="383606806">
          <w:marLeft w:val="0"/>
          <w:marRight w:val="0"/>
          <w:marTop w:val="0"/>
          <w:marBottom w:val="0"/>
          <w:divBdr>
            <w:top w:val="none" w:sz="0" w:space="0" w:color="auto"/>
            <w:left w:val="none" w:sz="0" w:space="0" w:color="auto"/>
            <w:bottom w:val="none" w:sz="0" w:space="0" w:color="auto"/>
            <w:right w:val="none" w:sz="0" w:space="0" w:color="auto"/>
          </w:divBdr>
        </w:div>
        <w:div w:id="795487628">
          <w:marLeft w:val="0"/>
          <w:marRight w:val="0"/>
          <w:marTop w:val="0"/>
          <w:marBottom w:val="0"/>
          <w:divBdr>
            <w:top w:val="none" w:sz="0" w:space="0" w:color="auto"/>
            <w:left w:val="none" w:sz="0" w:space="0" w:color="auto"/>
            <w:bottom w:val="none" w:sz="0" w:space="0" w:color="auto"/>
            <w:right w:val="none" w:sz="0" w:space="0" w:color="auto"/>
          </w:divBdr>
        </w:div>
        <w:div w:id="836070670">
          <w:marLeft w:val="0"/>
          <w:marRight w:val="0"/>
          <w:marTop w:val="0"/>
          <w:marBottom w:val="0"/>
          <w:divBdr>
            <w:top w:val="none" w:sz="0" w:space="0" w:color="auto"/>
            <w:left w:val="none" w:sz="0" w:space="0" w:color="auto"/>
            <w:bottom w:val="none" w:sz="0" w:space="0" w:color="auto"/>
            <w:right w:val="none" w:sz="0" w:space="0" w:color="auto"/>
          </w:divBdr>
        </w:div>
        <w:div w:id="1257981829">
          <w:marLeft w:val="0"/>
          <w:marRight w:val="0"/>
          <w:marTop w:val="0"/>
          <w:marBottom w:val="0"/>
          <w:divBdr>
            <w:top w:val="none" w:sz="0" w:space="0" w:color="auto"/>
            <w:left w:val="none" w:sz="0" w:space="0" w:color="auto"/>
            <w:bottom w:val="none" w:sz="0" w:space="0" w:color="auto"/>
            <w:right w:val="none" w:sz="0" w:space="0" w:color="auto"/>
          </w:divBdr>
        </w:div>
        <w:div w:id="1383552631">
          <w:marLeft w:val="0"/>
          <w:marRight w:val="0"/>
          <w:marTop w:val="0"/>
          <w:marBottom w:val="0"/>
          <w:divBdr>
            <w:top w:val="none" w:sz="0" w:space="0" w:color="auto"/>
            <w:left w:val="none" w:sz="0" w:space="0" w:color="auto"/>
            <w:bottom w:val="none" w:sz="0" w:space="0" w:color="auto"/>
            <w:right w:val="none" w:sz="0" w:space="0" w:color="auto"/>
          </w:divBdr>
        </w:div>
        <w:div w:id="1500001279">
          <w:marLeft w:val="0"/>
          <w:marRight w:val="0"/>
          <w:marTop w:val="0"/>
          <w:marBottom w:val="0"/>
          <w:divBdr>
            <w:top w:val="none" w:sz="0" w:space="0" w:color="auto"/>
            <w:left w:val="none" w:sz="0" w:space="0" w:color="auto"/>
            <w:bottom w:val="none" w:sz="0" w:space="0" w:color="auto"/>
            <w:right w:val="none" w:sz="0" w:space="0" w:color="auto"/>
          </w:divBdr>
        </w:div>
        <w:div w:id="1653214630">
          <w:marLeft w:val="0"/>
          <w:marRight w:val="0"/>
          <w:marTop w:val="0"/>
          <w:marBottom w:val="0"/>
          <w:divBdr>
            <w:top w:val="none" w:sz="0" w:space="0" w:color="auto"/>
            <w:left w:val="none" w:sz="0" w:space="0" w:color="auto"/>
            <w:bottom w:val="none" w:sz="0" w:space="0" w:color="auto"/>
            <w:right w:val="none" w:sz="0" w:space="0" w:color="auto"/>
          </w:divBdr>
        </w:div>
      </w:divsChild>
    </w:div>
    <w:div w:id="1228149498">
      <w:bodyDiv w:val="1"/>
      <w:marLeft w:val="0"/>
      <w:marRight w:val="0"/>
      <w:marTop w:val="0"/>
      <w:marBottom w:val="0"/>
      <w:divBdr>
        <w:top w:val="none" w:sz="0" w:space="0" w:color="auto"/>
        <w:left w:val="none" w:sz="0" w:space="0" w:color="auto"/>
        <w:bottom w:val="none" w:sz="0" w:space="0" w:color="auto"/>
        <w:right w:val="none" w:sz="0" w:space="0" w:color="auto"/>
      </w:divBdr>
      <w:divsChild>
        <w:div w:id="497887144">
          <w:marLeft w:val="0"/>
          <w:marRight w:val="0"/>
          <w:marTop w:val="0"/>
          <w:marBottom w:val="0"/>
          <w:divBdr>
            <w:top w:val="none" w:sz="0" w:space="0" w:color="auto"/>
            <w:left w:val="none" w:sz="0" w:space="0" w:color="auto"/>
            <w:bottom w:val="none" w:sz="0" w:space="0" w:color="auto"/>
            <w:right w:val="none" w:sz="0" w:space="0" w:color="auto"/>
          </w:divBdr>
        </w:div>
        <w:div w:id="1518349719">
          <w:marLeft w:val="0"/>
          <w:marRight w:val="0"/>
          <w:marTop w:val="0"/>
          <w:marBottom w:val="0"/>
          <w:divBdr>
            <w:top w:val="none" w:sz="0" w:space="0" w:color="auto"/>
            <w:left w:val="none" w:sz="0" w:space="0" w:color="auto"/>
            <w:bottom w:val="none" w:sz="0" w:space="0" w:color="auto"/>
            <w:right w:val="none" w:sz="0" w:space="0" w:color="auto"/>
          </w:divBdr>
        </w:div>
      </w:divsChild>
    </w:div>
    <w:div w:id="1231040863">
      <w:bodyDiv w:val="1"/>
      <w:marLeft w:val="0"/>
      <w:marRight w:val="0"/>
      <w:marTop w:val="0"/>
      <w:marBottom w:val="0"/>
      <w:divBdr>
        <w:top w:val="none" w:sz="0" w:space="0" w:color="auto"/>
        <w:left w:val="none" w:sz="0" w:space="0" w:color="auto"/>
        <w:bottom w:val="none" w:sz="0" w:space="0" w:color="auto"/>
        <w:right w:val="none" w:sz="0" w:space="0" w:color="auto"/>
      </w:divBdr>
    </w:div>
    <w:div w:id="1248540961">
      <w:bodyDiv w:val="1"/>
      <w:marLeft w:val="0"/>
      <w:marRight w:val="0"/>
      <w:marTop w:val="0"/>
      <w:marBottom w:val="0"/>
      <w:divBdr>
        <w:top w:val="none" w:sz="0" w:space="0" w:color="auto"/>
        <w:left w:val="none" w:sz="0" w:space="0" w:color="auto"/>
        <w:bottom w:val="none" w:sz="0" w:space="0" w:color="auto"/>
        <w:right w:val="none" w:sz="0" w:space="0" w:color="auto"/>
      </w:divBdr>
    </w:div>
    <w:div w:id="1291742679">
      <w:bodyDiv w:val="1"/>
      <w:marLeft w:val="0"/>
      <w:marRight w:val="0"/>
      <w:marTop w:val="0"/>
      <w:marBottom w:val="0"/>
      <w:divBdr>
        <w:top w:val="none" w:sz="0" w:space="0" w:color="auto"/>
        <w:left w:val="none" w:sz="0" w:space="0" w:color="auto"/>
        <w:bottom w:val="none" w:sz="0" w:space="0" w:color="auto"/>
        <w:right w:val="none" w:sz="0" w:space="0" w:color="auto"/>
      </w:divBdr>
      <w:divsChild>
        <w:div w:id="54668417">
          <w:marLeft w:val="0"/>
          <w:marRight w:val="0"/>
          <w:marTop w:val="0"/>
          <w:marBottom w:val="0"/>
          <w:divBdr>
            <w:top w:val="none" w:sz="0" w:space="0" w:color="auto"/>
            <w:left w:val="none" w:sz="0" w:space="0" w:color="auto"/>
            <w:bottom w:val="none" w:sz="0" w:space="0" w:color="auto"/>
            <w:right w:val="none" w:sz="0" w:space="0" w:color="auto"/>
          </w:divBdr>
        </w:div>
        <w:div w:id="85342938">
          <w:marLeft w:val="0"/>
          <w:marRight w:val="0"/>
          <w:marTop w:val="0"/>
          <w:marBottom w:val="0"/>
          <w:divBdr>
            <w:top w:val="none" w:sz="0" w:space="0" w:color="auto"/>
            <w:left w:val="none" w:sz="0" w:space="0" w:color="auto"/>
            <w:bottom w:val="none" w:sz="0" w:space="0" w:color="auto"/>
            <w:right w:val="none" w:sz="0" w:space="0" w:color="auto"/>
          </w:divBdr>
        </w:div>
        <w:div w:id="1483883721">
          <w:marLeft w:val="0"/>
          <w:marRight w:val="0"/>
          <w:marTop w:val="0"/>
          <w:marBottom w:val="0"/>
          <w:divBdr>
            <w:top w:val="none" w:sz="0" w:space="0" w:color="auto"/>
            <w:left w:val="none" w:sz="0" w:space="0" w:color="auto"/>
            <w:bottom w:val="none" w:sz="0" w:space="0" w:color="auto"/>
            <w:right w:val="none" w:sz="0" w:space="0" w:color="auto"/>
          </w:divBdr>
        </w:div>
        <w:div w:id="1565405736">
          <w:marLeft w:val="0"/>
          <w:marRight w:val="0"/>
          <w:marTop w:val="0"/>
          <w:marBottom w:val="0"/>
          <w:divBdr>
            <w:top w:val="none" w:sz="0" w:space="0" w:color="auto"/>
            <w:left w:val="none" w:sz="0" w:space="0" w:color="auto"/>
            <w:bottom w:val="none" w:sz="0" w:space="0" w:color="auto"/>
            <w:right w:val="none" w:sz="0" w:space="0" w:color="auto"/>
          </w:divBdr>
        </w:div>
        <w:div w:id="1852454559">
          <w:marLeft w:val="0"/>
          <w:marRight w:val="0"/>
          <w:marTop w:val="0"/>
          <w:marBottom w:val="0"/>
          <w:divBdr>
            <w:top w:val="none" w:sz="0" w:space="0" w:color="auto"/>
            <w:left w:val="none" w:sz="0" w:space="0" w:color="auto"/>
            <w:bottom w:val="none" w:sz="0" w:space="0" w:color="auto"/>
            <w:right w:val="none" w:sz="0" w:space="0" w:color="auto"/>
          </w:divBdr>
        </w:div>
      </w:divsChild>
    </w:div>
    <w:div w:id="1302999881">
      <w:bodyDiv w:val="1"/>
      <w:marLeft w:val="0"/>
      <w:marRight w:val="0"/>
      <w:marTop w:val="0"/>
      <w:marBottom w:val="0"/>
      <w:divBdr>
        <w:top w:val="none" w:sz="0" w:space="0" w:color="auto"/>
        <w:left w:val="none" w:sz="0" w:space="0" w:color="auto"/>
        <w:bottom w:val="none" w:sz="0" w:space="0" w:color="auto"/>
        <w:right w:val="none" w:sz="0" w:space="0" w:color="auto"/>
      </w:divBdr>
      <w:divsChild>
        <w:div w:id="2018999357">
          <w:marLeft w:val="0"/>
          <w:marRight w:val="0"/>
          <w:marTop w:val="150"/>
          <w:marBottom w:val="0"/>
          <w:divBdr>
            <w:top w:val="none" w:sz="0" w:space="0" w:color="auto"/>
            <w:left w:val="none" w:sz="0" w:space="0" w:color="auto"/>
            <w:bottom w:val="none" w:sz="0" w:space="0" w:color="auto"/>
            <w:right w:val="none" w:sz="0" w:space="0" w:color="auto"/>
          </w:divBdr>
        </w:div>
      </w:divsChild>
    </w:div>
    <w:div w:id="1323000258">
      <w:bodyDiv w:val="1"/>
      <w:marLeft w:val="0"/>
      <w:marRight w:val="0"/>
      <w:marTop w:val="0"/>
      <w:marBottom w:val="0"/>
      <w:divBdr>
        <w:top w:val="none" w:sz="0" w:space="0" w:color="auto"/>
        <w:left w:val="none" w:sz="0" w:space="0" w:color="auto"/>
        <w:bottom w:val="none" w:sz="0" w:space="0" w:color="auto"/>
        <w:right w:val="none" w:sz="0" w:space="0" w:color="auto"/>
      </w:divBdr>
    </w:div>
    <w:div w:id="1403025187">
      <w:bodyDiv w:val="1"/>
      <w:marLeft w:val="0"/>
      <w:marRight w:val="0"/>
      <w:marTop w:val="0"/>
      <w:marBottom w:val="0"/>
      <w:divBdr>
        <w:top w:val="none" w:sz="0" w:space="0" w:color="auto"/>
        <w:left w:val="none" w:sz="0" w:space="0" w:color="auto"/>
        <w:bottom w:val="none" w:sz="0" w:space="0" w:color="auto"/>
        <w:right w:val="none" w:sz="0" w:space="0" w:color="auto"/>
      </w:divBdr>
    </w:div>
    <w:div w:id="1419248487">
      <w:bodyDiv w:val="1"/>
      <w:marLeft w:val="0"/>
      <w:marRight w:val="0"/>
      <w:marTop w:val="0"/>
      <w:marBottom w:val="0"/>
      <w:divBdr>
        <w:top w:val="none" w:sz="0" w:space="0" w:color="auto"/>
        <w:left w:val="none" w:sz="0" w:space="0" w:color="auto"/>
        <w:bottom w:val="none" w:sz="0" w:space="0" w:color="auto"/>
        <w:right w:val="none" w:sz="0" w:space="0" w:color="auto"/>
      </w:divBdr>
    </w:div>
    <w:div w:id="1476491591">
      <w:bodyDiv w:val="1"/>
      <w:marLeft w:val="0"/>
      <w:marRight w:val="0"/>
      <w:marTop w:val="0"/>
      <w:marBottom w:val="0"/>
      <w:divBdr>
        <w:top w:val="none" w:sz="0" w:space="0" w:color="auto"/>
        <w:left w:val="none" w:sz="0" w:space="0" w:color="auto"/>
        <w:bottom w:val="none" w:sz="0" w:space="0" w:color="auto"/>
        <w:right w:val="none" w:sz="0" w:space="0" w:color="auto"/>
      </w:divBdr>
      <w:divsChild>
        <w:div w:id="3629089">
          <w:marLeft w:val="0"/>
          <w:marRight w:val="0"/>
          <w:marTop w:val="0"/>
          <w:marBottom w:val="0"/>
          <w:divBdr>
            <w:top w:val="none" w:sz="0" w:space="0" w:color="auto"/>
            <w:left w:val="none" w:sz="0" w:space="0" w:color="auto"/>
            <w:bottom w:val="none" w:sz="0" w:space="0" w:color="auto"/>
            <w:right w:val="none" w:sz="0" w:space="0" w:color="auto"/>
          </w:divBdr>
        </w:div>
        <w:div w:id="65614094">
          <w:marLeft w:val="0"/>
          <w:marRight w:val="0"/>
          <w:marTop w:val="0"/>
          <w:marBottom w:val="0"/>
          <w:divBdr>
            <w:top w:val="none" w:sz="0" w:space="0" w:color="auto"/>
            <w:left w:val="none" w:sz="0" w:space="0" w:color="auto"/>
            <w:bottom w:val="none" w:sz="0" w:space="0" w:color="auto"/>
            <w:right w:val="none" w:sz="0" w:space="0" w:color="auto"/>
          </w:divBdr>
        </w:div>
        <w:div w:id="66078654">
          <w:marLeft w:val="0"/>
          <w:marRight w:val="0"/>
          <w:marTop w:val="0"/>
          <w:marBottom w:val="0"/>
          <w:divBdr>
            <w:top w:val="none" w:sz="0" w:space="0" w:color="auto"/>
            <w:left w:val="none" w:sz="0" w:space="0" w:color="auto"/>
            <w:bottom w:val="none" w:sz="0" w:space="0" w:color="auto"/>
            <w:right w:val="none" w:sz="0" w:space="0" w:color="auto"/>
          </w:divBdr>
        </w:div>
        <w:div w:id="81805301">
          <w:marLeft w:val="0"/>
          <w:marRight w:val="0"/>
          <w:marTop w:val="0"/>
          <w:marBottom w:val="0"/>
          <w:divBdr>
            <w:top w:val="none" w:sz="0" w:space="0" w:color="auto"/>
            <w:left w:val="none" w:sz="0" w:space="0" w:color="auto"/>
            <w:bottom w:val="none" w:sz="0" w:space="0" w:color="auto"/>
            <w:right w:val="none" w:sz="0" w:space="0" w:color="auto"/>
          </w:divBdr>
        </w:div>
        <w:div w:id="122583391">
          <w:marLeft w:val="0"/>
          <w:marRight w:val="0"/>
          <w:marTop w:val="0"/>
          <w:marBottom w:val="0"/>
          <w:divBdr>
            <w:top w:val="none" w:sz="0" w:space="0" w:color="auto"/>
            <w:left w:val="none" w:sz="0" w:space="0" w:color="auto"/>
            <w:bottom w:val="none" w:sz="0" w:space="0" w:color="auto"/>
            <w:right w:val="none" w:sz="0" w:space="0" w:color="auto"/>
          </w:divBdr>
        </w:div>
        <w:div w:id="164521823">
          <w:marLeft w:val="0"/>
          <w:marRight w:val="0"/>
          <w:marTop w:val="0"/>
          <w:marBottom w:val="0"/>
          <w:divBdr>
            <w:top w:val="none" w:sz="0" w:space="0" w:color="auto"/>
            <w:left w:val="none" w:sz="0" w:space="0" w:color="auto"/>
            <w:bottom w:val="none" w:sz="0" w:space="0" w:color="auto"/>
            <w:right w:val="none" w:sz="0" w:space="0" w:color="auto"/>
          </w:divBdr>
        </w:div>
        <w:div w:id="183177263">
          <w:marLeft w:val="0"/>
          <w:marRight w:val="0"/>
          <w:marTop w:val="0"/>
          <w:marBottom w:val="0"/>
          <w:divBdr>
            <w:top w:val="none" w:sz="0" w:space="0" w:color="auto"/>
            <w:left w:val="none" w:sz="0" w:space="0" w:color="auto"/>
            <w:bottom w:val="none" w:sz="0" w:space="0" w:color="auto"/>
            <w:right w:val="none" w:sz="0" w:space="0" w:color="auto"/>
          </w:divBdr>
        </w:div>
        <w:div w:id="280378257">
          <w:marLeft w:val="0"/>
          <w:marRight w:val="0"/>
          <w:marTop w:val="0"/>
          <w:marBottom w:val="0"/>
          <w:divBdr>
            <w:top w:val="none" w:sz="0" w:space="0" w:color="auto"/>
            <w:left w:val="none" w:sz="0" w:space="0" w:color="auto"/>
            <w:bottom w:val="none" w:sz="0" w:space="0" w:color="auto"/>
            <w:right w:val="none" w:sz="0" w:space="0" w:color="auto"/>
          </w:divBdr>
        </w:div>
        <w:div w:id="293566464">
          <w:marLeft w:val="0"/>
          <w:marRight w:val="0"/>
          <w:marTop w:val="0"/>
          <w:marBottom w:val="0"/>
          <w:divBdr>
            <w:top w:val="none" w:sz="0" w:space="0" w:color="auto"/>
            <w:left w:val="none" w:sz="0" w:space="0" w:color="auto"/>
            <w:bottom w:val="none" w:sz="0" w:space="0" w:color="auto"/>
            <w:right w:val="none" w:sz="0" w:space="0" w:color="auto"/>
          </w:divBdr>
        </w:div>
        <w:div w:id="414743573">
          <w:marLeft w:val="0"/>
          <w:marRight w:val="0"/>
          <w:marTop w:val="0"/>
          <w:marBottom w:val="0"/>
          <w:divBdr>
            <w:top w:val="none" w:sz="0" w:space="0" w:color="auto"/>
            <w:left w:val="none" w:sz="0" w:space="0" w:color="auto"/>
            <w:bottom w:val="none" w:sz="0" w:space="0" w:color="auto"/>
            <w:right w:val="none" w:sz="0" w:space="0" w:color="auto"/>
          </w:divBdr>
        </w:div>
        <w:div w:id="486046737">
          <w:marLeft w:val="0"/>
          <w:marRight w:val="0"/>
          <w:marTop w:val="0"/>
          <w:marBottom w:val="0"/>
          <w:divBdr>
            <w:top w:val="none" w:sz="0" w:space="0" w:color="auto"/>
            <w:left w:val="none" w:sz="0" w:space="0" w:color="auto"/>
            <w:bottom w:val="none" w:sz="0" w:space="0" w:color="auto"/>
            <w:right w:val="none" w:sz="0" w:space="0" w:color="auto"/>
          </w:divBdr>
        </w:div>
        <w:div w:id="496264655">
          <w:marLeft w:val="0"/>
          <w:marRight w:val="0"/>
          <w:marTop w:val="0"/>
          <w:marBottom w:val="0"/>
          <w:divBdr>
            <w:top w:val="none" w:sz="0" w:space="0" w:color="auto"/>
            <w:left w:val="none" w:sz="0" w:space="0" w:color="auto"/>
            <w:bottom w:val="none" w:sz="0" w:space="0" w:color="auto"/>
            <w:right w:val="none" w:sz="0" w:space="0" w:color="auto"/>
          </w:divBdr>
        </w:div>
        <w:div w:id="536163116">
          <w:marLeft w:val="0"/>
          <w:marRight w:val="0"/>
          <w:marTop w:val="0"/>
          <w:marBottom w:val="0"/>
          <w:divBdr>
            <w:top w:val="none" w:sz="0" w:space="0" w:color="auto"/>
            <w:left w:val="none" w:sz="0" w:space="0" w:color="auto"/>
            <w:bottom w:val="none" w:sz="0" w:space="0" w:color="auto"/>
            <w:right w:val="none" w:sz="0" w:space="0" w:color="auto"/>
          </w:divBdr>
        </w:div>
        <w:div w:id="542641386">
          <w:marLeft w:val="0"/>
          <w:marRight w:val="0"/>
          <w:marTop w:val="0"/>
          <w:marBottom w:val="0"/>
          <w:divBdr>
            <w:top w:val="none" w:sz="0" w:space="0" w:color="auto"/>
            <w:left w:val="none" w:sz="0" w:space="0" w:color="auto"/>
            <w:bottom w:val="none" w:sz="0" w:space="0" w:color="auto"/>
            <w:right w:val="none" w:sz="0" w:space="0" w:color="auto"/>
          </w:divBdr>
        </w:div>
        <w:div w:id="642854361">
          <w:marLeft w:val="0"/>
          <w:marRight w:val="0"/>
          <w:marTop w:val="0"/>
          <w:marBottom w:val="0"/>
          <w:divBdr>
            <w:top w:val="none" w:sz="0" w:space="0" w:color="auto"/>
            <w:left w:val="none" w:sz="0" w:space="0" w:color="auto"/>
            <w:bottom w:val="none" w:sz="0" w:space="0" w:color="auto"/>
            <w:right w:val="none" w:sz="0" w:space="0" w:color="auto"/>
          </w:divBdr>
        </w:div>
        <w:div w:id="772937193">
          <w:marLeft w:val="0"/>
          <w:marRight w:val="0"/>
          <w:marTop w:val="0"/>
          <w:marBottom w:val="0"/>
          <w:divBdr>
            <w:top w:val="none" w:sz="0" w:space="0" w:color="auto"/>
            <w:left w:val="none" w:sz="0" w:space="0" w:color="auto"/>
            <w:bottom w:val="none" w:sz="0" w:space="0" w:color="auto"/>
            <w:right w:val="none" w:sz="0" w:space="0" w:color="auto"/>
          </w:divBdr>
        </w:div>
        <w:div w:id="852493006">
          <w:marLeft w:val="0"/>
          <w:marRight w:val="0"/>
          <w:marTop w:val="0"/>
          <w:marBottom w:val="0"/>
          <w:divBdr>
            <w:top w:val="none" w:sz="0" w:space="0" w:color="auto"/>
            <w:left w:val="none" w:sz="0" w:space="0" w:color="auto"/>
            <w:bottom w:val="none" w:sz="0" w:space="0" w:color="auto"/>
            <w:right w:val="none" w:sz="0" w:space="0" w:color="auto"/>
          </w:divBdr>
        </w:div>
        <w:div w:id="879242457">
          <w:marLeft w:val="0"/>
          <w:marRight w:val="0"/>
          <w:marTop w:val="0"/>
          <w:marBottom w:val="0"/>
          <w:divBdr>
            <w:top w:val="none" w:sz="0" w:space="0" w:color="auto"/>
            <w:left w:val="none" w:sz="0" w:space="0" w:color="auto"/>
            <w:bottom w:val="none" w:sz="0" w:space="0" w:color="auto"/>
            <w:right w:val="none" w:sz="0" w:space="0" w:color="auto"/>
          </w:divBdr>
        </w:div>
        <w:div w:id="1032075397">
          <w:marLeft w:val="0"/>
          <w:marRight w:val="0"/>
          <w:marTop w:val="0"/>
          <w:marBottom w:val="0"/>
          <w:divBdr>
            <w:top w:val="none" w:sz="0" w:space="0" w:color="auto"/>
            <w:left w:val="none" w:sz="0" w:space="0" w:color="auto"/>
            <w:bottom w:val="none" w:sz="0" w:space="0" w:color="auto"/>
            <w:right w:val="none" w:sz="0" w:space="0" w:color="auto"/>
          </w:divBdr>
        </w:div>
        <w:div w:id="1075278372">
          <w:marLeft w:val="0"/>
          <w:marRight w:val="0"/>
          <w:marTop w:val="0"/>
          <w:marBottom w:val="0"/>
          <w:divBdr>
            <w:top w:val="none" w:sz="0" w:space="0" w:color="auto"/>
            <w:left w:val="none" w:sz="0" w:space="0" w:color="auto"/>
            <w:bottom w:val="none" w:sz="0" w:space="0" w:color="auto"/>
            <w:right w:val="none" w:sz="0" w:space="0" w:color="auto"/>
          </w:divBdr>
        </w:div>
        <w:div w:id="1185243887">
          <w:marLeft w:val="0"/>
          <w:marRight w:val="0"/>
          <w:marTop w:val="0"/>
          <w:marBottom w:val="0"/>
          <w:divBdr>
            <w:top w:val="none" w:sz="0" w:space="0" w:color="auto"/>
            <w:left w:val="none" w:sz="0" w:space="0" w:color="auto"/>
            <w:bottom w:val="none" w:sz="0" w:space="0" w:color="auto"/>
            <w:right w:val="none" w:sz="0" w:space="0" w:color="auto"/>
          </w:divBdr>
        </w:div>
        <w:div w:id="1263611988">
          <w:marLeft w:val="0"/>
          <w:marRight w:val="0"/>
          <w:marTop w:val="0"/>
          <w:marBottom w:val="0"/>
          <w:divBdr>
            <w:top w:val="none" w:sz="0" w:space="0" w:color="auto"/>
            <w:left w:val="none" w:sz="0" w:space="0" w:color="auto"/>
            <w:bottom w:val="none" w:sz="0" w:space="0" w:color="auto"/>
            <w:right w:val="none" w:sz="0" w:space="0" w:color="auto"/>
          </w:divBdr>
        </w:div>
        <w:div w:id="1311599290">
          <w:marLeft w:val="0"/>
          <w:marRight w:val="0"/>
          <w:marTop w:val="0"/>
          <w:marBottom w:val="0"/>
          <w:divBdr>
            <w:top w:val="none" w:sz="0" w:space="0" w:color="auto"/>
            <w:left w:val="none" w:sz="0" w:space="0" w:color="auto"/>
            <w:bottom w:val="none" w:sz="0" w:space="0" w:color="auto"/>
            <w:right w:val="none" w:sz="0" w:space="0" w:color="auto"/>
          </w:divBdr>
        </w:div>
        <w:div w:id="1377655943">
          <w:marLeft w:val="0"/>
          <w:marRight w:val="0"/>
          <w:marTop w:val="0"/>
          <w:marBottom w:val="0"/>
          <w:divBdr>
            <w:top w:val="none" w:sz="0" w:space="0" w:color="auto"/>
            <w:left w:val="none" w:sz="0" w:space="0" w:color="auto"/>
            <w:bottom w:val="none" w:sz="0" w:space="0" w:color="auto"/>
            <w:right w:val="none" w:sz="0" w:space="0" w:color="auto"/>
          </w:divBdr>
        </w:div>
        <w:div w:id="1566143765">
          <w:marLeft w:val="0"/>
          <w:marRight w:val="0"/>
          <w:marTop w:val="0"/>
          <w:marBottom w:val="0"/>
          <w:divBdr>
            <w:top w:val="none" w:sz="0" w:space="0" w:color="auto"/>
            <w:left w:val="none" w:sz="0" w:space="0" w:color="auto"/>
            <w:bottom w:val="none" w:sz="0" w:space="0" w:color="auto"/>
            <w:right w:val="none" w:sz="0" w:space="0" w:color="auto"/>
          </w:divBdr>
        </w:div>
        <w:div w:id="1635987561">
          <w:marLeft w:val="0"/>
          <w:marRight w:val="0"/>
          <w:marTop w:val="0"/>
          <w:marBottom w:val="0"/>
          <w:divBdr>
            <w:top w:val="none" w:sz="0" w:space="0" w:color="auto"/>
            <w:left w:val="none" w:sz="0" w:space="0" w:color="auto"/>
            <w:bottom w:val="none" w:sz="0" w:space="0" w:color="auto"/>
            <w:right w:val="none" w:sz="0" w:space="0" w:color="auto"/>
          </w:divBdr>
        </w:div>
        <w:div w:id="1859388213">
          <w:marLeft w:val="0"/>
          <w:marRight w:val="0"/>
          <w:marTop w:val="0"/>
          <w:marBottom w:val="0"/>
          <w:divBdr>
            <w:top w:val="none" w:sz="0" w:space="0" w:color="auto"/>
            <w:left w:val="none" w:sz="0" w:space="0" w:color="auto"/>
            <w:bottom w:val="none" w:sz="0" w:space="0" w:color="auto"/>
            <w:right w:val="none" w:sz="0" w:space="0" w:color="auto"/>
          </w:divBdr>
        </w:div>
        <w:div w:id="1965378658">
          <w:marLeft w:val="0"/>
          <w:marRight w:val="0"/>
          <w:marTop w:val="0"/>
          <w:marBottom w:val="0"/>
          <w:divBdr>
            <w:top w:val="none" w:sz="0" w:space="0" w:color="auto"/>
            <w:left w:val="none" w:sz="0" w:space="0" w:color="auto"/>
            <w:bottom w:val="none" w:sz="0" w:space="0" w:color="auto"/>
            <w:right w:val="none" w:sz="0" w:space="0" w:color="auto"/>
          </w:divBdr>
        </w:div>
        <w:div w:id="2145661072">
          <w:marLeft w:val="0"/>
          <w:marRight w:val="0"/>
          <w:marTop w:val="0"/>
          <w:marBottom w:val="0"/>
          <w:divBdr>
            <w:top w:val="none" w:sz="0" w:space="0" w:color="auto"/>
            <w:left w:val="none" w:sz="0" w:space="0" w:color="auto"/>
            <w:bottom w:val="none" w:sz="0" w:space="0" w:color="auto"/>
            <w:right w:val="none" w:sz="0" w:space="0" w:color="auto"/>
          </w:divBdr>
        </w:div>
      </w:divsChild>
    </w:div>
    <w:div w:id="1518890664">
      <w:bodyDiv w:val="1"/>
      <w:marLeft w:val="0"/>
      <w:marRight w:val="0"/>
      <w:marTop w:val="0"/>
      <w:marBottom w:val="0"/>
      <w:divBdr>
        <w:top w:val="none" w:sz="0" w:space="0" w:color="auto"/>
        <w:left w:val="none" w:sz="0" w:space="0" w:color="auto"/>
        <w:bottom w:val="none" w:sz="0" w:space="0" w:color="auto"/>
        <w:right w:val="none" w:sz="0" w:space="0" w:color="auto"/>
      </w:divBdr>
    </w:div>
    <w:div w:id="1553729062">
      <w:bodyDiv w:val="1"/>
      <w:marLeft w:val="0"/>
      <w:marRight w:val="0"/>
      <w:marTop w:val="0"/>
      <w:marBottom w:val="0"/>
      <w:divBdr>
        <w:top w:val="none" w:sz="0" w:space="0" w:color="auto"/>
        <w:left w:val="none" w:sz="0" w:space="0" w:color="auto"/>
        <w:bottom w:val="none" w:sz="0" w:space="0" w:color="auto"/>
        <w:right w:val="none" w:sz="0" w:space="0" w:color="auto"/>
      </w:divBdr>
      <w:divsChild>
        <w:div w:id="75907397">
          <w:marLeft w:val="0"/>
          <w:marRight w:val="0"/>
          <w:marTop w:val="0"/>
          <w:marBottom w:val="0"/>
          <w:divBdr>
            <w:top w:val="none" w:sz="0" w:space="0" w:color="auto"/>
            <w:left w:val="none" w:sz="0" w:space="0" w:color="auto"/>
            <w:bottom w:val="none" w:sz="0" w:space="0" w:color="auto"/>
            <w:right w:val="none" w:sz="0" w:space="0" w:color="auto"/>
          </w:divBdr>
        </w:div>
        <w:div w:id="290483553">
          <w:marLeft w:val="0"/>
          <w:marRight w:val="0"/>
          <w:marTop w:val="0"/>
          <w:marBottom w:val="0"/>
          <w:divBdr>
            <w:top w:val="none" w:sz="0" w:space="0" w:color="auto"/>
            <w:left w:val="none" w:sz="0" w:space="0" w:color="auto"/>
            <w:bottom w:val="none" w:sz="0" w:space="0" w:color="auto"/>
            <w:right w:val="none" w:sz="0" w:space="0" w:color="auto"/>
          </w:divBdr>
        </w:div>
        <w:div w:id="544369979">
          <w:marLeft w:val="0"/>
          <w:marRight w:val="0"/>
          <w:marTop w:val="0"/>
          <w:marBottom w:val="0"/>
          <w:divBdr>
            <w:top w:val="none" w:sz="0" w:space="0" w:color="auto"/>
            <w:left w:val="none" w:sz="0" w:space="0" w:color="auto"/>
            <w:bottom w:val="none" w:sz="0" w:space="0" w:color="auto"/>
            <w:right w:val="none" w:sz="0" w:space="0" w:color="auto"/>
          </w:divBdr>
        </w:div>
        <w:div w:id="584610372">
          <w:marLeft w:val="0"/>
          <w:marRight w:val="0"/>
          <w:marTop w:val="0"/>
          <w:marBottom w:val="0"/>
          <w:divBdr>
            <w:top w:val="none" w:sz="0" w:space="0" w:color="auto"/>
            <w:left w:val="none" w:sz="0" w:space="0" w:color="auto"/>
            <w:bottom w:val="none" w:sz="0" w:space="0" w:color="auto"/>
            <w:right w:val="none" w:sz="0" w:space="0" w:color="auto"/>
          </w:divBdr>
        </w:div>
        <w:div w:id="683632797">
          <w:marLeft w:val="0"/>
          <w:marRight w:val="0"/>
          <w:marTop w:val="0"/>
          <w:marBottom w:val="0"/>
          <w:divBdr>
            <w:top w:val="none" w:sz="0" w:space="0" w:color="auto"/>
            <w:left w:val="none" w:sz="0" w:space="0" w:color="auto"/>
            <w:bottom w:val="none" w:sz="0" w:space="0" w:color="auto"/>
            <w:right w:val="none" w:sz="0" w:space="0" w:color="auto"/>
          </w:divBdr>
        </w:div>
        <w:div w:id="1009794299">
          <w:marLeft w:val="0"/>
          <w:marRight w:val="0"/>
          <w:marTop w:val="0"/>
          <w:marBottom w:val="0"/>
          <w:divBdr>
            <w:top w:val="none" w:sz="0" w:space="0" w:color="auto"/>
            <w:left w:val="none" w:sz="0" w:space="0" w:color="auto"/>
            <w:bottom w:val="none" w:sz="0" w:space="0" w:color="auto"/>
            <w:right w:val="none" w:sz="0" w:space="0" w:color="auto"/>
          </w:divBdr>
        </w:div>
        <w:div w:id="1100107004">
          <w:marLeft w:val="0"/>
          <w:marRight w:val="0"/>
          <w:marTop w:val="0"/>
          <w:marBottom w:val="0"/>
          <w:divBdr>
            <w:top w:val="none" w:sz="0" w:space="0" w:color="auto"/>
            <w:left w:val="none" w:sz="0" w:space="0" w:color="auto"/>
            <w:bottom w:val="none" w:sz="0" w:space="0" w:color="auto"/>
            <w:right w:val="none" w:sz="0" w:space="0" w:color="auto"/>
          </w:divBdr>
        </w:div>
        <w:div w:id="1109088102">
          <w:marLeft w:val="0"/>
          <w:marRight w:val="0"/>
          <w:marTop w:val="0"/>
          <w:marBottom w:val="0"/>
          <w:divBdr>
            <w:top w:val="none" w:sz="0" w:space="0" w:color="auto"/>
            <w:left w:val="none" w:sz="0" w:space="0" w:color="auto"/>
            <w:bottom w:val="none" w:sz="0" w:space="0" w:color="auto"/>
            <w:right w:val="none" w:sz="0" w:space="0" w:color="auto"/>
          </w:divBdr>
        </w:div>
        <w:div w:id="1479222203">
          <w:marLeft w:val="0"/>
          <w:marRight w:val="0"/>
          <w:marTop w:val="0"/>
          <w:marBottom w:val="0"/>
          <w:divBdr>
            <w:top w:val="none" w:sz="0" w:space="0" w:color="auto"/>
            <w:left w:val="none" w:sz="0" w:space="0" w:color="auto"/>
            <w:bottom w:val="none" w:sz="0" w:space="0" w:color="auto"/>
            <w:right w:val="none" w:sz="0" w:space="0" w:color="auto"/>
          </w:divBdr>
        </w:div>
        <w:div w:id="1620449173">
          <w:marLeft w:val="0"/>
          <w:marRight w:val="0"/>
          <w:marTop w:val="0"/>
          <w:marBottom w:val="0"/>
          <w:divBdr>
            <w:top w:val="none" w:sz="0" w:space="0" w:color="auto"/>
            <w:left w:val="none" w:sz="0" w:space="0" w:color="auto"/>
            <w:bottom w:val="none" w:sz="0" w:space="0" w:color="auto"/>
            <w:right w:val="none" w:sz="0" w:space="0" w:color="auto"/>
          </w:divBdr>
        </w:div>
        <w:div w:id="1795444233">
          <w:marLeft w:val="0"/>
          <w:marRight w:val="0"/>
          <w:marTop w:val="0"/>
          <w:marBottom w:val="0"/>
          <w:divBdr>
            <w:top w:val="none" w:sz="0" w:space="0" w:color="auto"/>
            <w:left w:val="none" w:sz="0" w:space="0" w:color="auto"/>
            <w:bottom w:val="none" w:sz="0" w:space="0" w:color="auto"/>
            <w:right w:val="none" w:sz="0" w:space="0" w:color="auto"/>
          </w:divBdr>
        </w:div>
        <w:div w:id="1845389631">
          <w:marLeft w:val="0"/>
          <w:marRight w:val="0"/>
          <w:marTop w:val="0"/>
          <w:marBottom w:val="0"/>
          <w:divBdr>
            <w:top w:val="none" w:sz="0" w:space="0" w:color="auto"/>
            <w:left w:val="none" w:sz="0" w:space="0" w:color="auto"/>
            <w:bottom w:val="none" w:sz="0" w:space="0" w:color="auto"/>
            <w:right w:val="none" w:sz="0" w:space="0" w:color="auto"/>
          </w:divBdr>
        </w:div>
        <w:div w:id="2020236610">
          <w:marLeft w:val="0"/>
          <w:marRight w:val="0"/>
          <w:marTop w:val="0"/>
          <w:marBottom w:val="0"/>
          <w:divBdr>
            <w:top w:val="none" w:sz="0" w:space="0" w:color="auto"/>
            <w:left w:val="none" w:sz="0" w:space="0" w:color="auto"/>
            <w:bottom w:val="none" w:sz="0" w:space="0" w:color="auto"/>
            <w:right w:val="none" w:sz="0" w:space="0" w:color="auto"/>
          </w:divBdr>
        </w:div>
        <w:div w:id="2036073308">
          <w:marLeft w:val="0"/>
          <w:marRight w:val="0"/>
          <w:marTop w:val="0"/>
          <w:marBottom w:val="0"/>
          <w:divBdr>
            <w:top w:val="none" w:sz="0" w:space="0" w:color="auto"/>
            <w:left w:val="none" w:sz="0" w:space="0" w:color="auto"/>
            <w:bottom w:val="none" w:sz="0" w:space="0" w:color="auto"/>
            <w:right w:val="none" w:sz="0" w:space="0" w:color="auto"/>
          </w:divBdr>
        </w:div>
      </w:divsChild>
    </w:div>
    <w:div w:id="1574854433">
      <w:bodyDiv w:val="1"/>
      <w:marLeft w:val="0"/>
      <w:marRight w:val="0"/>
      <w:marTop w:val="0"/>
      <w:marBottom w:val="0"/>
      <w:divBdr>
        <w:top w:val="none" w:sz="0" w:space="0" w:color="auto"/>
        <w:left w:val="none" w:sz="0" w:space="0" w:color="auto"/>
        <w:bottom w:val="none" w:sz="0" w:space="0" w:color="auto"/>
        <w:right w:val="none" w:sz="0" w:space="0" w:color="auto"/>
      </w:divBdr>
    </w:div>
    <w:div w:id="1617516760">
      <w:bodyDiv w:val="1"/>
      <w:marLeft w:val="0"/>
      <w:marRight w:val="0"/>
      <w:marTop w:val="0"/>
      <w:marBottom w:val="0"/>
      <w:divBdr>
        <w:top w:val="none" w:sz="0" w:space="0" w:color="auto"/>
        <w:left w:val="none" w:sz="0" w:space="0" w:color="auto"/>
        <w:bottom w:val="none" w:sz="0" w:space="0" w:color="auto"/>
        <w:right w:val="none" w:sz="0" w:space="0" w:color="auto"/>
      </w:divBdr>
    </w:div>
    <w:div w:id="1648508960">
      <w:bodyDiv w:val="1"/>
      <w:marLeft w:val="0"/>
      <w:marRight w:val="0"/>
      <w:marTop w:val="0"/>
      <w:marBottom w:val="0"/>
      <w:divBdr>
        <w:top w:val="none" w:sz="0" w:space="0" w:color="auto"/>
        <w:left w:val="none" w:sz="0" w:space="0" w:color="auto"/>
        <w:bottom w:val="none" w:sz="0" w:space="0" w:color="auto"/>
        <w:right w:val="none" w:sz="0" w:space="0" w:color="auto"/>
      </w:divBdr>
    </w:div>
    <w:div w:id="1694576163">
      <w:bodyDiv w:val="1"/>
      <w:marLeft w:val="0"/>
      <w:marRight w:val="0"/>
      <w:marTop w:val="0"/>
      <w:marBottom w:val="0"/>
      <w:divBdr>
        <w:top w:val="none" w:sz="0" w:space="0" w:color="auto"/>
        <w:left w:val="none" w:sz="0" w:space="0" w:color="auto"/>
        <w:bottom w:val="none" w:sz="0" w:space="0" w:color="auto"/>
        <w:right w:val="none" w:sz="0" w:space="0" w:color="auto"/>
      </w:divBdr>
    </w:div>
    <w:div w:id="1696610919">
      <w:bodyDiv w:val="1"/>
      <w:marLeft w:val="0"/>
      <w:marRight w:val="0"/>
      <w:marTop w:val="0"/>
      <w:marBottom w:val="0"/>
      <w:divBdr>
        <w:top w:val="none" w:sz="0" w:space="0" w:color="auto"/>
        <w:left w:val="none" w:sz="0" w:space="0" w:color="auto"/>
        <w:bottom w:val="none" w:sz="0" w:space="0" w:color="auto"/>
        <w:right w:val="none" w:sz="0" w:space="0" w:color="auto"/>
      </w:divBdr>
    </w:div>
    <w:div w:id="1703087227">
      <w:bodyDiv w:val="1"/>
      <w:marLeft w:val="0"/>
      <w:marRight w:val="0"/>
      <w:marTop w:val="0"/>
      <w:marBottom w:val="0"/>
      <w:divBdr>
        <w:top w:val="none" w:sz="0" w:space="0" w:color="auto"/>
        <w:left w:val="none" w:sz="0" w:space="0" w:color="auto"/>
        <w:bottom w:val="none" w:sz="0" w:space="0" w:color="auto"/>
        <w:right w:val="none" w:sz="0" w:space="0" w:color="auto"/>
      </w:divBdr>
    </w:div>
    <w:div w:id="1708094795">
      <w:bodyDiv w:val="1"/>
      <w:marLeft w:val="0"/>
      <w:marRight w:val="0"/>
      <w:marTop w:val="0"/>
      <w:marBottom w:val="0"/>
      <w:divBdr>
        <w:top w:val="none" w:sz="0" w:space="0" w:color="auto"/>
        <w:left w:val="none" w:sz="0" w:space="0" w:color="auto"/>
        <w:bottom w:val="none" w:sz="0" w:space="0" w:color="auto"/>
        <w:right w:val="none" w:sz="0" w:space="0" w:color="auto"/>
      </w:divBdr>
      <w:divsChild>
        <w:div w:id="6911509">
          <w:marLeft w:val="0"/>
          <w:marRight w:val="0"/>
          <w:marTop w:val="0"/>
          <w:marBottom w:val="0"/>
          <w:divBdr>
            <w:top w:val="none" w:sz="0" w:space="0" w:color="auto"/>
            <w:left w:val="none" w:sz="0" w:space="0" w:color="auto"/>
            <w:bottom w:val="none" w:sz="0" w:space="0" w:color="auto"/>
            <w:right w:val="none" w:sz="0" w:space="0" w:color="auto"/>
          </w:divBdr>
        </w:div>
        <w:div w:id="47414658">
          <w:marLeft w:val="0"/>
          <w:marRight w:val="0"/>
          <w:marTop w:val="0"/>
          <w:marBottom w:val="0"/>
          <w:divBdr>
            <w:top w:val="none" w:sz="0" w:space="0" w:color="auto"/>
            <w:left w:val="none" w:sz="0" w:space="0" w:color="auto"/>
            <w:bottom w:val="none" w:sz="0" w:space="0" w:color="auto"/>
            <w:right w:val="none" w:sz="0" w:space="0" w:color="auto"/>
          </w:divBdr>
          <w:divsChild>
            <w:div w:id="150292471">
              <w:marLeft w:val="0"/>
              <w:marRight w:val="0"/>
              <w:marTop w:val="0"/>
              <w:marBottom w:val="0"/>
              <w:divBdr>
                <w:top w:val="none" w:sz="0" w:space="0" w:color="auto"/>
                <w:left w:val="none" w:sz="0" w:space="0" w:color="auto"/>
                <w:bottom w:val="none" w:sz="0" w:space="0" w:color="auto"/>
                <w:right w:val="none" w:sz="0" w:space="0" w:color="auto"/>
              </w:divBdr>
            </w:div>
            <w:div w:id="518811467">
              <w:marLeft w:val="0"/>
              <w:marRight w:val="0"/>
              <w:marTop w:val="0"/>
              <w:marBottom w:val="0"/>
              <w:divBdr>
                <w:top w:val="none" w:sz="0" w:space="0" w:color="auto"/>
                <w:left w:val="none" w:sz="0" w:space="0" w:color="auto"/>
                <w:bottom w:val="none" w:sz="0" w:space="0" w:color="auto"/>
                <w:right w:val="none" w:sz="0" w:space="0" w:color="auto"/>
              </w:divBdr>
            </w:div>
            <w:div w:id="731847815">
              <w:marLeft w:val="0"/>
              <w:marRight w:val="0"/>
              <w:marTop w:val="0"/>
              <w:marBottom w:val="0"/>
              <w:divBdr>
                <w:top w:val="none" w:sz="0" w:space="0" w:color="auto"/>
                <w:left w:val="none" w:sz="0" w:space="0" w:color="auto"/>
                <w:bottom w:val="none" w:sz="0" w:space="0" w:color="auto"/>
                <w:right w:val="none" w:sz="0" w:space="0" w:color="auto"/>
              </w:divBdr>
            </w:div>
            <w:div w:id="1201436310">
              <w:marLeft w:val="0"/>
              <w:marRight w:val="0"/>
              <w:marTop w:val="0"/>
              <w:marBottom w:val="0"/>
              <w:divBdr>
                <w:top w:val="none" w:sz="0" w:space="0" w:color="auto"/>
                <w:left w:val="none" w:sz="0" w:space="0" w:color="auto"/>
                <w:bottom w:val="none" w:sz="0" w:space="0" w:color="auto"/>
                <w:right w:val="none" w:sz="0" w:space="0" w:color="auto"/>
              </w:divBdr>
            </w:div>
            <w:div w:id="1566451300">
              <w:marLeft w:val="0"/>
              <w:marRight w:val="0"/>
              <w:marTop w:val="0"/>
              <w:marBottom w:val="0"/>
              <w:divBdr>
                <w:top w:val="none" w:sz="0" w:space="0" w:color="auto"/>
                <w:left w:val="none" w:sz="0" w:space="0" w:color="auto"/>
                <w:bottom w:val="none" w:sz="0" w:space="0" w:color="auto"/>
                <w:right w:val="none" w:sz="0" w:space="0" w:color="auto"/>
              </w:divBdr>
            </w:div>
          </w:divsChild>
        </w:div>
        <w:div w:id="302588942">
          <w:marLeft w:val="0"/>
          <w:marRight w:val="0"/>
          <w:marTop w:val="0"/>
          <w:marBottom w:val="0"/>
          <w:divBdr>
            <w:top w:val="none" w:sz="0" w:space="0" w:color="auto"/>
            <w:left w:val="none" w:sz="0" w:space="0" w:color="auto"/>
            <w:bottom w:val="none" w:sz="0" w:space="0" w:color="auto"/>
            <w:right w:val="none" w:sz="0" w:space="0" w:color="auto"/>
          </w:divBdr>
        </w:div>
        <w:div w:id="304818366">
          <w:marLeft w:val="0"/>
          <w:marRight w:val="0"/>
          <w:marTop w:val="0"/>
          <w:marBottom w:val="0"/>
          <w:divBdr>
            <w:top w:val="none" w:sz="0" w:space="0" w:color="auto"/>
            <w:left w:val="none" w:sz="0" w:space="0" w:color="auto"/>
            <w:bottom w:val="none" w:sz="0" w:space="0" w:color="auto"/>
            <w:right w:val="none" w:sz="0" w:space="0" w:color="auto"/>
          </w:divBdr>
          <w:divsChild>
            <w:div w:id="473837301">
              <w:marLeft w:val="0"/>
              <w:marRight w:val="0"/>
              <w:marTop w:val="0"/>
              <w:marBottom w:val="0"/>
              <w:divBdr>
                <w:top w:val="none" w:sz="0" w:space="0" w:color="auto"/>
                <w:left w:val="none" w:sz="0" w:space="0" w:color="auto"/>
                <w:bottom w:val="none" w:sz="0" w:space="0" w:color="auto"/>
                <w:right w:val="none" w:sz="0" w:space="0" w:color="auto"/>
              </w:divBdr>
            </w:div>
            <w:div w:id="687412326">
              <w:marLeft w:val="0"/>
              <w:marRight w:val="0"/>
              <w:marTop w:val="0"/>
              <w:marBottom w:val="0"/>
              <w:divBdr>
                <w:top w:val="none" w:sz="0" w:space="0" w:color="auto"/>
                <w:left w:val="none" w:sz="0" w:space="0" w:color="auto"/>
                <w:bottom w:val="none" w:sz="0" w:space="0" w:color="auto"/>
                <w:right w:val="none" w:sz="0" w:space="0" w:color="auto"/>
              </w:divBdr>
            </w:div>
            <w:div w:id="2107995482">
              <w:marLeft w:val="0"/>
              <w:marRight w:val="0"/>
              <w:marTop w:val="0"/>
              <w:marBottom w:val="0"/>
              <w:divBdr>
                <w:top w:val="none" w:sz="0" w:space="0" w:color="auto"/>
                <w:left w:val="none" w:sz="0" w:space="0" w:color="auto"/>
                <w:bottom w:val="none" w:sz="0" w:space="0" w:color="auto"/>
                <w:right w:val="none" w:sz="0" w:space="0" w:color="auto"/>
              </w:divBdr>
            </w:div>
          </w:divsChild>
        </w:div>
        <w:div w:id="332534995">
          <w:marLeft w:val="0"/>
          <w:marRight w:val="0"/>
          <w:marTop w:val="0"/>
          <w:marBottom w:val="0"/>
          <w:divBdr>
            <w:top w:val="none" w:sz="0" w:space="0" w:color="auto"/>
            <w:left w:val="none" w:sz="0" w:space="0" w:color="auto"/>
            <w:bottom w:val="none" w:sz="0" w:space="0" w:color="auto"/>
            <w:right w:val="none" w:sz="0" w:space="0" w:color="auto"/>
          </w:divBdr>
        </w:div>
        <w:div w:id="517936045">
          <w:marLeft w:val="0"/>
          <w:marRight w:val="0"/>
          <w:marTop w:val="0"/>
          <w:marBottom w:val="0"/>
          <w:divBdr>
            <w:top w:val="none" w:sz="0" w:space="0" w:color="auto"/>
            <w:left w:val="none" w:sz="0" w:space="0" w:color="auto"/>
            <w:bottom w:val="none" w:sz="0" w:space="0" w:color="auto"/>
            <w:right w:val="none" w:sz="0" w:space="0" w:color="auto"/>
          </w:divBdr>
        </w:div>
        <w:div w:id="555237597">
          <w:marLeft w:val="0"/>
          <w:marRight w:val="0"/>
          <w:marTop w:val="0"/>
          <w:marBottom w:val="0"/>
          <w:divBdr>
            <w:top w:val="none" w:sz="0" w:space="0" w:color="auto"/>
            <w:left w:val="none" w:sz="0" w:space="0" w:color="auto"/>
            <w:bottom w:val="none" w:sz="0" w:space="0" w:color="auto"/>
            <w:right w:val="none" w:sz="0" w:space="0" w:color="auto"/>
          </w:divBdr>
          <w:divsChild>
            <w:div w:id="515578809">
              <w:marLeft w:val="0"/>
              <w:marRight w:val="0"/>
              <w:marTop w:val="0"/>
              <w:marBottom w:val="0"/>
              <w:divBdr>
                <w:top w:val="none" w:sz="0" w:space="0" w:color="auto"/>
                <w:left w:val="none" w:sz="0" w:space="0" w:color="auto"/>
                <w:bottom w:val="none" w:sz="0" w:space="0" w:color="auto"/>
                <w:right w:val="none" w:sz="0" w:space="0" w:color="auto"/>
              </w:divBdr>
            </w:div>
            <w:div w:id="1605655062">
              <w:marLeft w:val="0"/>
              <w:marRight w:val="0"/>
              <w:marTop w:val="0"/>
              <w:marBottom w:val="0"/>
              <w:divBdr>
                <w:top w:val="none" w:sz="0" w:space="0" w:color="auto"/>
                <w:left w:val="none" w:sz="0" w:space="0" w:color="auto"/>
                <w:bottom w:val="none" w:sz="0" w:space="0" w:color="auto"/>
                <w:right w:val="none" w:sz="0" w:space="0" w:color="auto"/>
              </w:divBdr>
            </w:div>
          </w:divsChild>
        </w:div>
        <w:div w:id="877427516">
          <w:marLeft w:val="0"/>
          <w:marRight w:val="0"/>
          <w:marTop w:val="0"/>
          <w:marBottom w:val="0"/>
          <w:divBdr>
            <w:top w:val="none" w:sz="0" w:space="0" w:color="auto"/>
            <w:left w:val="none" w:sz="0" w:space="0" w:color="auto"/>
            <w:bottom w:val="none" w:sz="0" w:space="0" w:color="auto"/>
            <w:right w:val="none" w:sz="0" w:space="0" w:color="auto"/>
          </w:divBdr>
        </w:div>
        <w:div w:id="1630747719">
          <w:marLeft w:val="0"/>
          <w:marRight w:val="0"/>
          <w:marTop w:val="0"/>
          <w:marBottom w:val="0"/>
          <w:divBdr>
            <w:top w:val="none" w:sz="0" w:space="0" w:color="auto"/>
            <w:left w:val="none" w:sz="0" w:space="0" w:color="auto"/>
            <w:bottom w:val="none" w:sz="0" w:space="0" w:color="auto"/>
            <w:right w:val="none" w:sz="0" w:space="0" w:color="auto"/>
          </w:divBdr>
        </w:div>
        <w:div w:id="1663849992">
          <w:marLeft w:val="0"/>
          <w:marRight w:val="0"/>
          <w:marTop w:val="0"/>
          <w:marBottom w:val="0"/>
          <w:divBdr>
            <w:top w:val="none" w:sz="0" w:space="0" w:color="auto"/>
            <w:left w:val="none" w:sz="0" w:space="0" w:color="auto"/>
            <w:bottom w:val="none" w:sz="0" w:space="0" w:color="auto"/>
            <w:right w:val="none" w:sz="0" w:space="0" w:color="auto"/>
          </w:divBdr>
        </w:div>
      </w:divsChild>
    </w:div>
    <w:div w:id="1729374781">
      <w:bodyDiv w:val="1"/>
      <w:marLeft w:val="0"/>
      <w:marRight w:val="0"/>
      <w:marTop w:val="0"/>
      <w:marBottom w:val="0"/>
      <w:divBdr>
        <w:top w:val="none" w:sz="0" w:space="0" w:color="auto"/>
        <w:left w:val="none" w:sz="0" w:space="0" w:color="auto"/>
        <w:bottom w:val="none" w:sz="0" w:space="0" w:color="auto"/>
        <w:right w:val="none" w:sz="0" w:space="0" w:color="auto"/>
      </w:divBdr>
    </w:div>
    <w:div w:id="1760590310">
      <w:bodyDiv w:val="1"/>
      <w:marLeft w:val="0"/>
      <w:marRight w:val="0"/>
      <w:marTop w:val="0"/>
      <w:marBottom w:val="0"/>
      <w:divBdr>
        <w:top w:val="none" w:sz="0" w:space="0" w:color="auto"/>
        <w:left w:val="none" w:sz="0" w:space="0" w:color="auto"/>
        <w:bottom w:val="none" w:sz="0" w:space="0" w:color="auto"/>
        <w:right w:val="none" w:sz="0" w:space="0" w:color="auto"/>
      </w:divBdr>
    </w:div>
    <w:div w:id="1762020200">
      <w:bodyDiv w:val="1"/>
      <w:marLeft w:val="0"/>
      <w:marRight w:val="0"/>
      <w:marTop w:val="0"/>
      <w:marBottom w:val="0"/>
      <w:divBdr>
        <w:top w:val="none" w:sz="0" w:space="0" w:color="auto"/>
        <w:left w:val="none" w:sz="0" w:space="0" w:color="auto"/>
        <w:bottom w:val="none" w:sz="0" w:space="0" w:color="auto"/>
        <w:right w:val="none" w:sz="0" w:space="0" w:color="auto"/>
      </w:divBdr>
    </w:div>
    <w:div w:id="1843663045">
      <w:bodyDiv w:val="1"/>
      <w:marLeft w:val="0"/>
      <w:marRight w:val="0"/>
      <w:marTop w:val="0"/>
      <w:marBottom w:val="0"/>
      <w:divBdr>
        <w:top w:val="none" w:sz="0" w:space="0" w:color="auto"/>
        <w:left w:val="none" w:sz="0" w:space="0" w:color="auto"/>
        <w:bottom w:val="none" w:sz="0" w:space="0" w:color="auto"/>
        <w:right w:val="none" w:sz="0" w:space="0" w:color="auto"/>
      </w:divBdr>
      <w:divsChild>
        <w:div w:id="1161777851">
          <w:marLeft w:val="0"/>
          <w:marRight w:val="0"/>
          <w:marTop w:val="150"/>
          <w:marBottom w:val="0"/>
          <w:divBdr>
            <w:top w:val="none" w:sz="0" w:space="0" w:color="auto"/>
            <w:left w:val="none" w:sz="0" w:space="0" w:color="auto"/>
            <w:bottom w:val="none" w:sz="0" w:space="0" w:color="auto"/>
            <w:right w:val="none" w:sz="0" w:space="0" w:color="auto"/>
          </w:divBdr>
        </w:div>
      </w:divsChild>
    </w:div>
    <w:div w:id="1870531752">
      <w:bodyDiv w:val="1"/>
      <w:marLeft w:val="0"/>
      <w:marRight w:val="0"/>
      <w:marTop w:val="0"/>
      <w:marBottom w:val="0"/>
      <w:divBdr>
        <w:top w:val="none" w:sz="0" w:space="0" w:color="auto"/>
        <w:left w:val="none" w:sz="0" w:space="0" w:color="auto"/>
        <w:bottom w:val="none" w:sz="0" w:space="0" w:color="auto"/>
        <w:right w:val="none" w:sz="0" w:space="0" w:color="auto"/>
      </w:divBdr>
    </w:div>
    <w:div w:id="1881357002">
      <w:bodyDiv w:val="1"/>
      <w:marLeft w:val="0"/>
      <w:marRight w:val="0"/>
      <w:marTop w:val="0"/>
      <w:marBottom w:val="0"/>
      <w:divBdr>
        <w:top w:val="none" w:sz="0" w:space="0" w:color="auto"/>
        <w:left w:val="none" w:sz="0" w:space="0" w:color="auto"/>
        <w:bottom w:val="none" w:sz="0" w:space="0" w:color="auto"/>
        <w:right w:val="none" w:sz="0" w:space="0" w:color="auto"/>
      </w:divBdr>
      <w:divsChild>
        <w:div w:id="207646017">
          <w:marLeft w:val="0"/>
          <w:marRight w:val="0"/>
          <w:marTop w:val="0"/>
          <w:marBottom w:val="0"/>
          <w:divBdr>
            <w:top w:val="none" w:sz="0" w:space="0" w:color="auto"/>
            <w:left w:val="none" w:sz="0" w:space="0" w:color="auto"/>
            <w:bottom w:val="none" w:sz="0" w:space="0" w:color="auto"/>
            <w:right w:val="none" w:sz="0" w:space="0" w:color="auto"/>
          </w:divBdr>
        </w:div>
        <w:div w:id="305739283">
          <w:marLeft w:val="0"/>
          <w:marRight w:val="0"/>
          <w:marTop w:val="0"/>
          <w:marBottom w:val="0"/>
          <w:divBdr>
            <w:top w:val="none" w:sz="0" w:space="0" w:color="auto"/>
            <w:left w:val="none" w:sz="0" w:space="0" w:color="auto"/>
            <w:bottom w:val="none" w:sz="0" w:space="0" w:color="auto"/>
            <w:right w:val="none" w:sz="0" w:space="0" w:color="auto"/>
          </w:divBdr>
        </w:div>
        <w:div w:id="408425566">
          <w:marLeft w:val="0"/>
          <w:marRight w:val="0"/>
          <w:marTop w:val="0"/>
          <w:marBottom w:val="0"/>
          <w:divBdr>
            <w:top w:val="none" w:sz="0" w:space="0" w:color="auto"/>
            <w:left w:val="none" w:sz="0" w:space="0" w:color="auto"/>
            <w:bottom w:val="none" w:sz="0" w:space="0" w:color="auto"/>
            <w:right w:val="none" w:sz="0" w:space="0" w:color="auto"/>
          </w:divBdr>
        </w:div>
        <w:div w:id="455486103">
          <w:marLeft w:val="0"/>
          <w:marRight w:val="0"/>
          <w:marTop w:val="0"/>
          <w:marBottom w:val="0"/>
          <w:divBdr>
            <w:top w:val="none" w:sz="0" w:space="0" w:color="auto"/>
            <w:left w:val="none" w:sz="0" w:space="0" w:color="auto"/>
            <w:bottom w:val="none" w:sz="0" w:space="0" w:color="auto"/>
            <w:right w:val="none" w:sz="0" w:space="0" w:color="auto"/>
          </w:divBdr>
        </w:div>
        <w:div w:id="511605408">
          <w:marLeft w:val="0"/>
          <w:marRight w:val="0"/>
          <w:marTop w:val="0"/>
          <w:marBottom w:val="0"/>
          <w:divBdr>
            <w:top w:val="none" w:sz="0" w:space="0" w:color="auto"/>
            <w:left w:val="none" w:sz="0" w:space="0" w:color="auto"/>
            <w:bottom w:val="none" w:sz="0" w:space="0" w:color="auto"/>
            <w:right w:val="none" w:sz="0" w:space="0" w:color="auto"/>
          </w:divBdr>
        </w:div>
        <w:div w:id="692656809">
          <w:marLeft w:val="0"/>
          <w:marRight w:val="0"/>
          <w:marTop w:val="0"/>
          <w:marBottom w:val="0"/>
          <w:divBdr>
            <w:top w:val="none" w:sz="0" w:space="0" w:color="auto"/>
            <w:left w:val="none" w:sz="0" w:space="0" w:color="auto"/>
            <w:bottom w:val="none" w:sz="0" w:space="0" w:color="auto"/>
            <w:right w:val="none" w:sz="0" w:space="0" w:color="auto"/>
          </w:divBdr>
        </w:div>
        <w:div w:id="1575816492">
          <w:marLeft w:val="0"/>
          <w:marRight w:val="0"/>
          <w:marTop w:val="0"/>
          <w:marBottom w:val="0"/>
          <w:divBdr>
            <w:top w:val="none" w:sz="0" w:space="0" w:color="auto"/>
            <w:left w:val="none" w:sz="0" w:space="0" w:color="auto"/>
            <w:bottom w:val="none" w:sz="0" w:space="0" w:color="auto"/>
            <w:right w:val="none" w:sz="0" w:space="0" w:color="auto"/>
          </w:divBdr>
        </w:div>
      </w:divsChild>
    </w:div>
    <w:div w:id="1901286501">
      <w:bodyDiv w:val="1"/>
      <w:marLeft w:val="0"/>
      <w:marRight w:val="0"/>
      <w:marTop w:val="0"/>
      <w:marBottom w:val="0"/>
      <w:divBdr>
        <w:top w:val="none" w:sz="0" w:space="0" w:color="auto"/>
        <w:left w:val="none" w:sz="0" w:space="0" w:color="auto"/>
        <w:bottom w:val="none" w:sz="0" w:space="0" w:color="auto"/>
        <w:right w:val="none" w:sz="0" w:space="0" w:color="auto"/>
      </w:divBdr>
    </w:div>
    <w:div w:id="1902714374">
      <w:bodyDiv w:val="1"/>
      <w:marLeft w:val="0"/>
      <w:marRight w:val="0"/>
      <w:marTop w:val="0"/>
      <w:marBottom w:val="0"/>
      <w:divBdr>
        <w:top w:val="none" w:sz="0" w:space="0" w:color="auto"/>
        <w:left w:val="none" w:sz="0" w:space="0" w:color="auto"/>
        <w:bottom w:val="none" w:sz="0" w:space="0" w:color="auto"/>
        <w:right w:val="none" w:sz="0" w:space="0" w:color="auto"/>
      </w:divBdr>
    </w:div>
    <w:div w:id="1919746181">
      <w:bodyDiv w:val="1"/>
      <w:marLeft w:val="0"/>
      <w:marRight w:val="0"/>
      <w:marTop w:val="0"/>
      <w:marBottom w:val="0"/>
      <w:divBdr>
        <w:top w:val="none" w:sz="0" w:space="0" w:color="auto"/>
        <w:left w:val="none" w:sz="0" w:space="0" w:color="auto"/>
        <w:bottom w:val="none" w:sz="0" w:space="0" w:color="auto"/>
        <w:right w:val="none" w:sz="0" w:space="0" w:color="auto"/>
      </w:divBdr>
    </w:div>
    <w:div w:id="1923642609">
      <w:bodyDiv w:val="1"/>
      <w:marLeft w:val="0"/>
      <w:marRight w:val="0"/>
      <w:marTop w:val="0"/>
      <w:marBottom w:val="0"/>
      <w:divBdr>
        <w:top w:val="none" w:sz="0" w:space="0" w:color="auto"/>
        <w:left w:val="none" w:sz="0" w:space="0" w:color="auto"/>
        <w:bottom w:val="none" w:sz="0" w:space="0" w:color="auto"/>
        <w:right w:val="none" w:sz="0" w:space="0" w:color="auto"/>
      </w:divBdr>
    </w:div>
    <w:div w:id="1949194404">
      <w:bodyDiv w:val="1"/>
      <w:marLeft w:val="0"/>
      <w:marRight w:val="0"/>
      <w:marTop w:val="0"/>
      <w:marBottom w:val="0"/>
      <w:divBdr>
        <w:top w:val="none" w:sz="0" w:space="0" w:color="auto"/>
        <w:left w:val="none" w:sz="0" w:space="0" w:color="auto"/>
        <w:bottom w:val="none" w:sz="0" w:space="0" w:color="auto"/>
        <w:right w:val="none" w:sz="0" w:space="0" w:color="auto"/>
      </w:divBdr>
    </w:div>
    <w:div w:id="2037542567">
      <w:bodyDiv w:val="1"/>
      <w:marLeft w:val="0"/>
      <w:marRight w:val="0"/>
      <w:marTop w:val="0"/>
      <w:marBottom w:val="0"/>
      <w:divBdr>
        <w:top w:val="none" w:sz="0" w:space="0" w:color="auto"/>
        <w:left w:val="none" w:sz="0" w:space="0" w:color="auto"/>
        <w:bottom w:val="none" w:sz="0" w:space="0" w:color="auto"/>
        <w:right w:val="none" w:sz="0" w:space="0" w:color="auto"/>
      </w:divBdr>
      <w:divsChild>
        <w:div w:id="793714209">
          <w:marLeft w:val="0"/>
          <w:marRight w:val="0"/>
          <w:marTop w:val="150"/>
          <w:marBottom w:val="0"/>
          <w:divBdr>
            <w:top w:val="none" w:sz="0" w:space="0" w:color="auto"/>
            <w:left w:val="none" w:sz="0" w:space="0" w:color="auto"/>
            <w:bottom w:val="none" w:sz="0" w:space="0" w:color="auto"/>
            <w:right w:val="none" w:sz="0" w:space="0" w:color="auto"/>
          </w:divBdr>
          <w:divsChild>
            <w:div w:id="137384727">
              <w:marLeft w:val="0"/>
              <w:marRight w:val="0"/>
              <w:marTop w:val="0"/>
              <w:marBottom w:val="0"/>
              <w:divBdr>
                <w:top w:val="none" w:sz="0" w:space="0" w:color="auto"/>
                <w:left w:val="none" w:sz="0" w:space="0" w:color="auto"/>
                <w:bottom w:val="none" w:sz="0" w:space="0" w:color="auto"/>
                <w:right w:val="none" w:sz="0" w:space="0" w:color="auto"/>
              </w:divBdr>
            </w:div>
            <w:div w:id="283540194">
              <w:marLeft w:val="0"/>
              <w:marRight w:val="0"/>
              <w:marTop w:val="0"/>
              <w:marBottom w:val="0"/>
              <w:divBdr>
                <w:top w:val="none" w:sz="0" w:space="0" w:color="auto"/>
                <w:left w:val="none" w:sz="0" w:space="0" w:color="auto"/>
                <w:bottom w:val="none" w:sz="0" w:space="0" w:color="auto"/>
                <w:right w:val="none" w:sz="0" w:space="0" w:color="auto"/>
              </w:divBdr>
            </w:div>
            <w:div w:id="697660404">
              <w:marLeft w:val="0"/>
              <w:marRight w:val="0"/>
              <w:marTop w:val="0"/>
              <w:marBottom w:val="0"/>
              <w:divBdr>
                <w:top w:val="none" w:sz="0" w:space="0" w:color="auto"/>
                <w:left w:val="none" w:sz="0" w:space="0" w:color="auto"/>
                <w:bottom w:val="none" w:sz="0" w:space="0" w:color="auto"/>
                <w:right w:val="none" w:sz="0" w:space="0" w:color="auto"/>
              </w:divBdr>
            </w:div>
            <w:div w:id="720634481">
              <w:marLeft w:val="0"/>
              <w:marRight w:val="0"/>
              <w:marTop w:val="0"/>
              <w:marBottom w:val="0"/>
              <w:divBdr>
                <w:top w:val="none" w:sz="0" w:space="0" w:color="auto"/>
                <w:left w:val="none" w:sz="0" w:space="0" w:color="auto"/>
                <w:bottom w:val="none" w:sz="0" w:space="0" w:color="auto"/>
                <w:right w:val="none" w:sz="0" w:space="0" w:color="auto"/>
              </w:divBdr>
            </w:div>
            <w:div w:id="1034691596">
              <w:marLeft w:val="0"/>
              <w:marRight w:val="0"/>
              <w:marTop w:val="0"/>
              <w:marBottom w:val="0"/>
              <w:divBdr>
                <w:top w:val="none" w:sz="0" w:space="0" w:color="auto"/>
                <w:left w:val="none" w:sz="0" w:space="0" w:color="auto"/>
                <w:bottom w:val="none" w:sz="0" w:space="0" w:color="auto"/>
                <w:right w:val="none" w:sz="0" w:space="0" w:color="auto"/>
              </w:divBdr>
            </w:div>
            <w:div w:id="1159036512">
              <w:marLeft w:val="0"/>
              <w:marRight w:val="0"/>
              <w:marTop w:val="0"/>
              <w:marBottom w:val="0"/>
              <w:divBdr>
                <w:top w:val="none" w:sz="0" w:space="0" w:color="auto"/>
                <w:left w:val="none" w:sz="0" w:space="0" w:color="auto"/>
                <w:bottom w:val="none" w:sz="0" w:space="0" w:color="auto"/>
                <w:right w:val="none" w:sz="0" w:space="0" w:color="auto"/>
              </w:divBdr>
            </w:div>
            <w:div w:id="1356737269">
              <w:marLeft w:val="0"/>
              <w:marRight w:val="0"/>
              <w:marTop w:val="0"/>
              <w:marBottom w:val="0"/>
              <w:divBdr>
                <w:top w:val="none" w:sz="0" w:space="0" w:color="auto"/>
                <w:left w:val="none" w:sz="0" w:space="0" w:color="auto"/>
                <w:bottom w:val="none" w:sz="0" w:space="0" w:color="auto"/>
                <w:right w:val="none" w:sz="0" w:space="0" w:color="auto"/>
              </w:divBdr>
            </w:div>
            <w:div w:id="163822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155440">
      <w:bodyDiv w:val="1"/>
      <w:marLeft w:val="0"/>
      <w:marRight w:val="0"/>
      <w:marTop w:val="0"/>
      <w:marBottom w:val="0"/>
      <w:divBdr>
        <w:top w:val="none" w:sz="0" w:space="0" w:color="auto"/>
        <w:left w:val="none" w:sz="0" w:space="0" w:color="auto"/>
        <w:bottom w:val="none" w:sz="0" w:space="0" w:color="auto"/>
        <w:right w:val="none" w:sz="0" w:space="0" w:color="auto"/>
      </w:divBdr>
    </w:div>
    <w:div w:id="2105178852">
      <w:bodyDiv w:val="1"/>
      <w:marLeft w:val="0"/>
      <w:marRight w:val="0"/>
      <w:marTop w:val="0"/>
      <w:marBottom w:val="0"/>
      <w:divBdr>
        <w:top w:val="none" w:sz="0" w:space="0" w:color="auto"/>
        <w:left w:val="none" w:sz="0" w:space="0" w:color="auto"/>
        <w:bottom w:val="none" w:sz="0" w:space="0" w:color="auto"/>
        <w:right w:val="none" w:sz="0" w:space="0" w:color="auto"/>
      </w:divBdr>
      <w:divsChild>
        <w:div w:id="1854491646">
          <w:blockQuote w:val="1"/>
          <w:marLeft w:val="600"/>
          <w:marRight w:val="0"/>
          <w:marTop w:val="150"/>
          <w:marBottom w:val="0"/>
          <w:divBdr>
            <w:top w:val="none" w:sz="0" w:space="0" w:color="auto"/>
            <w:left w:val="none" w:sz="0" w:space="15" w:color="DFE1E5"/>
            <w:bottom w:val="none" w:sz="0" w:space="0" w:color="auto"/>
            <w:right w:val="none" w:sz="0" w:space="0" w:color="auto"/>
          </w:divBdr>
        </w:div>
      </w:divsChild>
    </w:div>
    <w:div w:id="2106729031">
      <w:bodyDiv w:val="1"/>
      <w:marLeft w:val="0"/>
      <w:marRight w:val="0"/>
      <w:marTop w:val="0"/>
      <w:marBottom w:val="0"/>
      <w:divBdr>
        <w:top w:val="none" w:sz="0" w:space="0" w:color="auto"/>
        <w:left w:val="none" w:sz="0" w:space="0" w:color="auto"/>
        <w:bottom w:val="none" w:sz="0" w:space="0" w:color="auto"/>
        <w:right w:val="none" w:sz="0" w:space="0" w:color="auto"/>
      </w:divBdr>
      <w:divsChild>
        <w:div w:id="1530221587">
          <w:marLeft w:val="0"/>
          <w:marRight w:val="0"/>
          <w:marTop w:val="150"/>
          <w:marBottom w:val="0"/>
          <w:divBdr>
            <w:top w:val="none" w:sz="0" w:space="0" w:color="auto"/>
            <w:left w:val="none" w:sz="0" w:space="0" w:color="auto"/>
            <w:bottom w:val="none" w:sz="0" w:space="0" w:color="auto"/>
            <w:right w:val="none" w:sz="0" w:space="0" w:color="auto"/>
          </w:divBdr>
        </w:div>
      </w:divsChild>
    </w:div>
    <w:div w:id="2120946254">
      <w:bodyDiv w:val="1"/>
      <w:marLeft w:val="0"/>
      <w:marRight w:val="0"/>
      <w:marTop w:val="0"/>
      <w:marBottom w:val="0"/>
      <w:divBdr>
        <w:top w:val="none" w:sz="0" w:space="0" w:color="auto"/>
        <w:left w:val="none" w:sz="0" w:space="0" w:color="auto"/>
        <w:bottom w:val="none" w:sz="0" w:space="0" w:color="auto"/>
        <w:right w:val="none" w:sz="0" w:space="0" w:color="auto"/>
      </w:divBdr>
    </w:div>
    <w:div w:id="2131120284">
      <w:bodyDiv w:val="1"/>
      <w:marLeft w:val="0"/>
      <w:marRight w:val="0"/>
      <w:marTop w:val="0"/>
      <w:marBottom w:val="0"/>
      <w:divBdr>
        <w:top w:val="none" w:sz="0" w:space="0" w:color="auto"/>
        <w:left w:val="none" w:sz="0" w:space="0" w:color="auto"/>
        <w:bottom w:val="none" w:sz="0" w:space="0" w:color="auto"/>
        <w:right w:val="none" w:sz="0" w:space="0" w:color="auto"/>
      </w:divBdr>
    </w:div>
    <w:div w:id="2146700260">
      <w:bodyDiv w:val="1"/>
      <w:marLeft w:val="0"/>
      <w:marRight w:val="0"/>
      <w:marTop w:val="0"/>
      <w:marBottom w:val="0"/>
      <w:divBdr>
        <w:top w:val="none" w:sz="0" w:space="0" w:color="auto"/>
        <w:left w:val="none" w:sz="0" w:space="0" w:color="auto"/>
        <w:bottom w:val="none" w:sz="0" w:space="0" w:color="auto"/>
        <w:right w:val="none" w:sz="0" w:space="0" w:color="auto"/>
      </w:divBdr>
      <w:divsChild>
        <w:div w:id="955867897">
          <w:marLeft w:val="0"/>
          <w:marRight w:val="0"/>
          <w:marTop w:val="0"/>
          <w:marBottom w:val="0"/>
          <w:divBdr>
            <w:top w:val="none" w:sz="0" w:space="0" w:color="auto"/>
            <w:left w:val="none" w:sz="0" w:space="0" w:color="auto"/>
            <w:bottom w:val="none" w:sz="0" w:space="0" w:color="auto"/>
            <w:right w:val="none" w:sz="0" w:space="0" w:color="auto"/>
          </w:divBdr>
          <w:divsChild>
            <w:div w:id="7830456">
              <w:marLeft w:val="0"/>
              <w:marRight w:val="0"/>
              <w:marTop w:val="0"/>
              <w:marBottom w:val="0"/>
              <w:divBdr>
                <w:top w:val="none" w:sz="0" w:space="0" w:color="auto"/>
                <w:left w:val="none" w:sz="0" w:space="0" w:color="auto"/>
                <w:bottom w:val="none" w:sz="0" w:space="0" w:color="auto"/>
                <w:right w:val="none" w:sz="0" w:space="0" w:color="auto"/>
              </w:divBdr>
              <w:divsChild>
                <w:div w:id="913931846">
                  <w:marLeft w:val="0"/>
                  <w:marRight w:val="0"/>
                  <w:marTop w:val="0"/>
                  <w:marBottom w:val="0"/>
                  <w:divBdr>
                    <w:top w:val="none" w:sz="0" w:space="0" w:color="auto"/>
                    <w:left w:val="none" w:sz="0" w:space="0" w:color="auto"/>
                    <w:bottom w:val="none" w:sz="0" w:space="0" w:color="auto"/>
                    <w:right w:val="none" w:sz="0" w:space="0" w:color="auto"/>
                  </w:divBdr>
                </w:div>
              </w:divsChild>
            </w:div>
            <w:div w:id="85998176">
              <w:marLeft w:val="0"/>
              <w:marRight w:val="0"/>
              <w:marTop w:val="0"/>
              <w:marBottom w:val="0"/>
              <w:divBdr>
                <w:top w:val="none" w:sz="0" w:space="0" w:color="auto"/>
                <w:left w:val="none" w:sz="0" w:space="0" w:color="auto"/>
                <w:bottom w:val="none" w:sz="0" w:space="0" w:color="auto"/>
                <w:right w:val="none" w:sz="0" w:space="0" w:color="auto"/>
              </w:divBdr>
              <w:divsChild>
                <w:div w:id="2128742207">
                  <w:marLeft w:val="0"/>
                  <w:marRight w:val="0"/>
                  <w:marTop w:val="0"/>
                  <w:marBottom w:val="0"/>
                  <w:divBdr>
                    <w:top w:val="none" w:sz="0" w:space="0" w:color="auto"/>
                    <w:left w:val="none" w:sz="0" w:space="0" w:color="auto"/>
                    <w:bottom w:val="none" w:sz="0" w:space="0" w:color="auto"/>
                    <w:right w:val="none" w:sz="0" w:space="0" w:color="auto"/>
                  </w:divBdr>
                </w:div>
              </w:divsChild>
            </w:div>
            <w:div w:id="129172906">
              <w:marLeft w:val="0"/>
              <w:marRight w:val="0"/>
              <w:marTop w:val="0"/>
              <w:marBottom w:val="0"/>
              <w:divBdr>
                <w:top w:val="none" w:sz="0" w:space="0" w:color="auto"/>
                <w:left w:val="none" w:sz="0" w:space="0" w:color="auto"/>
                <w:bottom w:val="none" w:sz="0" w:space="0" w:color="auto"/>
                <w:right w:val="none" w:sz="0" w:space="0" w:color="auto"/>
              </w:divBdr>
              <w:divsChild>
                <w:div w:id="1370835860">
                  <w:marLeft w:val="0"/>
                  <w:marRight w:val="0"/>
                  <w:marTop w:val="0"/>
                  <w:marBottom w:val="0"/>
                  <w:divBdr>
                    <w:top w:val="none" w:sz="0" w:space="0" w:color="auto"/>
                    <w:left w:val="none" w:sz="0" w:space="0" w:color="auto"/>
                    <w:bottom w:val="none" w:sz="0" w:space="0" w:color="auto"/>
                    <w:right w:val="none" w:sz="0" w:space="0" w:color="auto"/>
                  </w:divBdr>
                </w:div>
              </w:divsChild>
            </w:div>
            <w:div w:id="136458144">
              <w:marLeft w:val="0"/>
              <w:marRight w:val="0"/>
              <w:marTop w:val="0"/>
              <w:marBottom w:val="0"/>
              <w:divBdr>
                <w:top w:val="none" w:sz="0" w:space="0" w:color="auto"/>
                <w:left w:val="none" w:sz="0" w:space="0" w:color="auto"/>
                <w:bottom w:val="none" w:sz="0" w:space="0" w:color="auto"/>
                <w:right w:val="none" w:sz="0" w:space="0" w:color="auto"/>
              </w:divBdr>
              <w:divsChild>
                <w:div w:id="228421013">
                  <w:marLeft w:val="0"/>
                  <w:marRight w:val="0"/>
                  <w:marTop w:val="0"/>
                  <w:marBottom w:val="0"/>
                  <w:divBdr>
                    <w:top w:val="none" w:sz="0" w:space="0" w:color="auto"/>
                    <w:left w:val="none" w:sz="0" w:space="0" w:color="auto"/>
                    <w:bottom w:val="none" w:sz="0" w:space="0" w:color="auto"/>
                    <w:right w:val="none" w:sz="0" w:space="0" w:color="auto"/>
                  </w:divBdr>
                </w:div>
              </w:divsChild>
            </w:div>
            <w:div w:id="168369844">
              <w:marLeft w:val="0"/>
              <w:marRight w:val="0"/>
              <w:marTop w:val="0"/>
              <w:marBottom w:val="0"/>
              <w:divBdr>
                <w:top w:val="none" w:sz="0" w:space="0" w:color="auto"/>
                <w:left w:val="none" w:sz="0" w:space="0" w:color="auto"/>
                <w:bottom w:val="none" w:sz="0" w:space="0" w:color="auto"/>
                <w:right w:val="none" w:sz="0" w:space="0" w:color="auto"/>
              </w:divBdr>
              <w:divsChild>
                <w:div w:id="2112167321">
                  <w:marLeft w:val="0"/>
                  <w:marRight w:val="0"/>
                  <w:marTop w:val="0"/>
                  <w:marBottom w:val="0"/>
                  <w:divBdr>
                    <w:top w:val="none" w:sz="0" w:space="0" w:color="auto"/>
                    <w:left w:val="none" w:sz="0" w:space="0" w:color="auto"/>
                    <w:bottom w:val="none" w:sz="0" w:space="0" w:color="auto"/>
                    <w:right w:val="none" w:sz="0" w:space="0" w:color="auto"/>
                  </w:divBdr>
                </w:div>
              </w:divsChild>
            </w:div>
            <w:div w:id="772238879">
              <w:marLeft w:val="0"/>
              <w:marRight w:val="0"/>
              <w:marTop w:val="0"/>
              <w:marBottom w:val="0"/>
              <w:divBdr>
                <w:top w:val="none" w:sz="0" w:space="0" w:color="auto"/>
                <w:left w:val="none" w:sz="0" w:space="0" w:color="auto"/>
                <w:bottom w:val="none" w:sz="0" w:space="0" w:color="auto"/>
                <w:right w:val="none" w:sz="0" w:space="0" w:color="auto"/>
              </w:divBdr>
              <w:divsChild>
                <w:div w:id="801575058">
                  <w:marLeft w:val="0"/>
                  <w:marRight w:val="0"/>
                  <w:marTop w:val="0"/>
                  <w:marBottom w:val="0"/>
                  <w:divBdr>
                    <w:top w:val="none" w:sz="0" w:space="0" w:color="auto"/>
                    <w:left w:val="none" w:sz="0" w:space="0" w:color="auto"/>
                    <w:bottom w:val="none" w:sz="0" w:space="0" w:color="auto"/>
                    <w:right w:val="none" w:sz="0" w:space="0" w:color="auto"/>
                  </w:divBdr>
                </w:div>
              </w:divsChild>
            </w:div>
            <w:div w:id="836770880">
              <w:marLeft w:val="0"/>
              <w:marRight w:val="0"/>
              <w:marTop w:val="0"/>
              <w:marBottom w:val="0"/>
              <w:divBdr>
                <w:top w:val="none" w:sz="0" w:space="0" w:color="auto"/>
                <w:left w:val="none" w:sz="0" w:space="0" w:color="auto"/>
                <w:bottom w:val="none" w:sz="0" w:space="0" w:color="auto"/>
                <w:right w:val="none" w:sz="0" w:space="0" w:color="auto"/>
              </w:divBdr>
              <w:divsChild>
                <w:div w:id="1274627845">
                  <w:marLeft w:val="0"/>
                  <w:marRight w:val="0"/>
                  <w:marTop w:val="0"/>
                  <w:marBottom w:val="0"/>
                  <w:divBdr>
                    <w:top w:val="none" w:sz="0" w:space="0" w:color="auto"/>
                    <w:left w:val="none" w:sz="0" w:space="0" w:color="auto"/>
                    <w:bottom w:val="none" w:sz="0" w:space="0" w:color="auto"/>
                    <w:right w:val="none" w:sz="0" w:space="0" w:color="auto"/>
                  </w:divBdr>
                </w:div>
              </w:divsChild>
            </w:div>
            <w:div w:id="1277560619">
              <w:marLeft w:val="0"/>
              <w:marRight w:val="0"/>
              <w:marTop w:val="0"/>
              <w:marBottom w:val="0"/>
              <w:divBdr>
                <w:top w:val="none" w:sz="0" w:space="0" w:color="auto"/>
                <w:left w:val="none" w:sz="0" w:space="0" w:color="auto"/>
                <w:bottom w:val="none" w:sz="0" w:space="0" w:color="auto"/>
                <w:right w:val="none" w:sz="0" w:space="0" w:color="auto"/>
              </w:divBdr>
              <w:divsChild>
                <w:div w:id="888417762">
                  <w:marLeft w:val="0"/>
                  <w:marRight w:val="0"/>
                  <w:marTop w:val="0"/>
                  <w:marBottom w:val="0"/>
                  <w:divBdr>
                    <w:top w:val="none" w:sz="0" w:space="0" w:color="auto"/>
                    <w:left w:val="none" w:sz="0" w:space="0" w:color="auto"/>
                    <w:bottom w:val="none" w:sz="0" w:space="0" w:color="auto"/>
                    <w:right w:val="none" w:sz="0" w:space="0" w:color="auto"/>
                  </w:divBdr>
                </w:div>
              </w:divsChild>
            </w:div>
            <w:div w:id="1423449177">
              <w:marLeft w:val="0"/>
              <w:marRight w:val="0"/>
              <w:marTop w:val="0"/>
              <w:marBottom w:val="0"/>
              <w:divBdr>
                <w:top w:val="none" w:sz="0" w:space="0" w:color="auto"/>
                <w:left w:val="none" w:sz="0" w:space="0" w:color="auto"/>
                <w:bottom w:val="none" w:sz="0" w:space="0" w:color="auto"/>
                <w:right w:val="none" w:sz="0" w:space="0" w:color="auto"/>
              </w:divBdr>
              <w:divsChild>
                <w:div w:id="1703019219">
                  <w:marLeft w:val="0"/>
                  <w:marRight w:val="0"/>
                  <w:marTop w:val="0"/>
                  <w:marBottom w:val="0"/>
                  <w:divBdr>
                    <w:top w:val="none" w:sz="0" w:space="0" w:color="auto"/>
                    <w:left w:val="none" w:sz="0" w:space="0" w:color="auto"/>
                    <w:bottom w:val="none" w:sz="0" w:space="0" w:color="auto"/>
                    <w:right w:val="none" w:sz="0" w:space="0" w:color="auto"/>
                  </w:divBdr>
                </w:div>
              </w:divsChild>
            </w:div>
            <w:div w:id="1536960903">
              <w:marLeft w:val="0"/>
              <w:marRight w:val="0"/>
              <w:marTop w:val="0"/>
              <w:marBottom w:val="0"/>
              <w:divBdr>
                <w:top w:val="none" w:sz="0" w:space="0" w:color="auto"/>
                <w:left w:val="none" w:sz="0" w:space="0" w:color="auto"/>
                <w:bottom w:val="none" w:sz="0" w:space="0" w:color="auto"/>
                <w:right w:val="none" w:sz="0" w:space="0" w:color="auto"/>
              </w:divBdr>
              <w:divsChild>
                <w:div w:id="378363359">
                  <w:marLeft w:val="0"/>
                  <w:marRight w:val="0"/>
                  <w:marTop w:val="0"/>
                  <w:marBottom w:val="0"/>
                  <w:divBdr>
                    <w:top w:val="none" w:sz="0" w:space="0" w:color="auto"/>
                    <w:left w:val="none" w:sz="0" w:space="0" w:color="auto"/>
                    <w:bottom w:val="none" w:sz="0" w:space="0" w:color="auto"/>
                    <w:right w:val="none" w:sz="0" w:space="0" w:color="auto"/>
                  </w:divBdr>
                </w:div>
              </w:divsChild>
            </w:div>
            <w:div w:id="1958292292">
              <w:marLeft w:val="0"/>
              <w:marRight w:val="0"/>
              <w:marTop w:val="0"/>
              <w:marBottom w:val="0"/>
              <w:divBdr>
                <w:top w:val="none" w:sz="0" w:space="0" w:color="auto"/>
                <w:left w:val="none" w:sz="0" w:space="0" w:color="auto"/>
                <w:bottom w:val="none" w:sz="0" w:space="0" w:color="auto"/>
                <w:right w:val="none" w:sz="0" w:space="0" w:color="auto"/>
              </w:divBdr>
              <w:divsChild>
                <w:div w:id="1601527497">
                  <w:marLeft w:val="0"/>
                  <w:marRight w:val="0"/>
                  <w:marTop w:val="0"/>
                  <w:marBottom w:val="0"/>
                  <w:divBdr>
                    <w:top w:val="none" w:sz="0" w:space="0" w:color="auto"/>
                    <w:left w:val="none" w:sz="0" w:space="0" w:color="auto"/>
                    <w:bottom w:val="none" w:sz="0" w:space="0" w:color="auto"/>
                    <w:right w:val="none" w:sz="0" w:space="0" w:color="auto"/>
                  </w:divBdr>
                </w:div>
                <w:div w:id="1617327319">
                  <w:marLeft w:val="0"/>
                  <w:marRight w:val="0"/>
                  <w:marTop w:val="0"/>
                  <w:marBottom w:val="0"/>
                  <w:divBdr>
                    <w:top w:val="none" w:sz="0" w:space="0" w:color="auto"/>
                    <w:left w:val="none" w:sz="0" w:space="0" w:color="auto"/>
                    <w:bottom w:val="none" w:sz="0" w:space="0" w:color="auto"/>
                    <w:right w:val="none" w:sz="0" w:space="0" w:color="auto"/>
                  </w:divBdr>
                </w:div>
              </w:divsChild>
            </w:div>
            <w:div w:id="2043626699">
              <w:marLeft w:val="0"/>
              <w:marRight w:val="0"/>
              <w:marTop w:val="0"/>
              <w:marBottom w:val="0"/>
              <w:divBdr>
                <w:top w:val="none" w:sz="0" w:space="0" w:color="auto"/>
                <w:left w:val="none" w:sz="0" w:space="0" w:color="auto"/>
                <w:bottom w:val="none" w:sz="0" w:space="0" w:color="auto"/>
                <w:right w:val="none" w:sz="0" w:space="0" w:color="auto"/>
              </w:divBdr>
              <w:divsChild>
                <w:div w:id="115510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eur-lex.europa.eu/legal-content/EN/TXT/PDF/?uri=CELEX:52018XC0409(01)" TargetMode="External"/><Relationship Id="rId26" Type="http://schemas.openxmlformats.org/officeDocument/2006/relationships/image" Target="media/image15.png"/><Relationship Id="rId39" Type="http://schemas.openxmlformats.org/officeDocument/2006/relationships/image" Target="media/image22.png"/><Relationship Id="rId21" Type="http://schemas.openxmlformats.org/officeDocument/2006/relationships/image" Target="media/image10.png"/><Relationship Id="rId34" Type="http://schemas.microsoft.com/office/2016/09/relationships/commentsIds" Target="commentsIds.xml"/><Relationship Id="rId42" Type="http://schemas.openxmlformats.org/officeDocument/2006/relationships/image" Target="media/image25.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www.iso.org/obp/u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comments" Target="comments.xml"/><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svg"/><Relationship Id="rId23" Type="http://schemas.openxmlformats.org/officeDocument/2006/relationships/image" Target="media/image12.png"/><Relationship Id="rId28" Type="http://schemas.openxmlformats.org/officeDocument/2006/relationships/hyperlink" Target="https://emf.thirdlight.com/link/f1phopemqs36-8xgjzx/@/preview/1?o" TargetMode="External"/><Relationship Id="rId36" Type="http://schemas.openxmlformats.org/officeDocument/2006/relationships/image" Target="media/image19.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7.pn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www.iso.org/obp/ui" TargetMode="External"/><Relationship Id="rId35" Type="http://schemas.openxmlformats.org/officeDocument/2006/relationships/image" Target="media/image18.png"/><Relationship Id="rId43"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png"/><Relationship Id="rId33" Type="http://schemas.microsoft.com/office/2011/relationships/commentsExtended" Target="commentsExtended.xml"/><Relationship Id="rId38" Type="http://schemas.openxmlformats.org/officeDocument/2006/relationships/image" Target="media/image21.png"/><Relationship Id="rId20" Type="http://schemas.openxmlformats.org/officeDocument/2006/relationships/image" Target="media/image9.png"/><Relationship Id="rId41" Type="http://schemas.openxmlformats.org/officeDocument/2006/relationships/image" Target="media/image24.png"/></Relationships>
</file>

<file path=word/_rels/footnotes.xml.rels><?xml version="1.0" encoding="UTF-8" standalone="yes"?>
<Relationships xmlns="http://schemas.openxmlformats.org/package/2006/relationships"><Relationship Id="rId1" Type="http://schemas.openxmlformats.org/officeDocument/2006/relationships/hyperlink" Target="https://ens.dk/sites/ens.dk/files/Affald/guidance_on_the_interpretation_of_key_provisions_on_waste.pdf" TargetMode="External"/></Relationships>
</file>

<file path=word/theme/theme1.xml><?xml version="1.0" encoding="utf-8"?>
<a:theme xmlns:a="http://schemas.openxmlformats.org/drawingml/2006/main" name="Office">
  <a:themeElements>
    <a:clrScheme name="Catena-X Colors">
      <a:dk1>
        <a:srgbClr val="000000"/>
      </a:dk1>
      <a:lt1>
        <a:sysClr val="window" lastClr="FFFFFF"/>
      </a:lt1>
      <a:dk2>
        <a:srgbClr val="595959"/>
      </a:dk2>
      <a:lt2>
        <a:srgbClr val="E1E3DD"/>
      </a:lt2>
      <a:accent1>
        <a:srgbClr val="FFA600"/>
      </a:accent1>
      <a:accent2>
        <a:srgbClr val="B3CB2D"/>
      </a:accent2>
      <a:accent3>
        <a:srgbClr val="A5A5A5"/>
      </a:accent3>
      <a:accent4>
        <a:srgbClr val="FFCA21"/>
      </a:accent4>
      <a:accent5>
        <a:srgbClr val="046B99"/>
      </a:accent5>
      <a:accent6>
        <a:srgbClr val="D91E18"/>
      </a:accent6>
      <a:hlink>
        <a:srgbClr val="595959"/>
      </a:hlink>
      <a:folHlink>
        <a:srgbClr val="595959"/>
      </a:folHlink>
    </a:clrScheme>
    <a:fontScheme name="Catena-X Fonts">
      <a:majorFont>
        <a:latin typeface="Manrope Light"/>
        <a:ea typeface=""/>
        <a:cs typeface=""/>
      </a:majorFont>
      <a:minorFont>
        <a:latin typeface="Manrope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C6F4685B2D4C4E90505040646B65ED" ma:contentTypeVersion="18" ma:contentTypeDescription="Create a new document." ma:contentTypeScope="" ma:versionID="65dcbb219876a54f48775057d68151be">
  <xsd:schema xmlns:xsd="http://www.w3.org/2001/XMLSchema" xmlns:xs="http://www.w3.org/2001/XMLSchema" xmlns:p="http://schemas.microsoft.com/office/2006/metadata/properties" xmlns:ns2="d6cc0a1d-16f7-4ccc-a4bb-da32c7d491d4" xmlns:ns3="b688e9ab-d01d-49ec-869a-d735e976d246" targetNamespace="http://schemas.microsoft.com/office/2006/metadata/properties" ma:root="true" ma:fieldsID="20783c013821ab675cc0fdd7ca1b3521" ns2:_="" ns3:_="">
    <xsd:import namespace="d6cc0a1d-16f7-4ccc-a4bb-da32c7d491d4"/>
    <xsd:import namespace="b688e9ab-d01d-49ec-869a-d735e976d24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cc0a1d-16f7-4ccc-a4bb-da32c7d491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1b34932-0360-4a10-943c-bb73f6fb93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688e9ab-d01d-49ec-869a-d735e976d24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8f597b2f-22ab-4d66-bd68-bfd2d5949bc1}" ma:internalName="TaxCatchAll" ma:showField="CatchAllData" ma:web="b688e9ab-d01d-49ec-869a-d735e976d2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6cc0a1d-16f7-4ccc-a4bb-da32c7d491d4">
      <Terms xmlns="http://schemas.microsoft.com/office/infopath/2007/PartnerControls"/>
    </lcf76f155ced4ddcb4097134ff3c332f>
    <TaxCatchAll xmlns="b688e9ab-d01d-49ec-869a-d735e976d246" xsi:nil="true"/>
  </documentManagement>
</p:properties>
</file>

<file path=customXml/itemProps1.xml><?xml version="1.0" encoding="utf-8"?>
<ds:datastoreItem xmlns:ds="http://schemas.openxmlformats.org/officeDocument/2006/customXml" ds:itemID="{9EDD3EA4-3EA8-4782-B0F3-F3BDE11A77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cc0a1d-16f7-4ccc-a4bb-da32c7d491d4"/>
    <ds:schemaRef ds:uri="b688e9ab-d01d-49ec-869a-d735e976d2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FEAD26-5077-4BD6-9FAE-8E7A122F4847}">
  <ds:schemaRefs>
    <ds:schemaRef ds:uri="http://schemas.microsoft.com/sharepoint/v3/contenttype/forms"/>
  </ds:schemaRefs>
</ds:datastoreItem>
</file>

<file path=customXml/itemProps3.xml><?xml version="1.0" encoding="utf-8"?>
<ds:datastoreItem xmlns:ds="http://schemas.openxmlformats.org/officeDocument/2006/customXml" ds:itemID="{3514BDDD-E6BB-4061-BAF3-90E29D51A6E0}">
  <ds:schemaRefs>
    <ds:schemaRef ds:uri="http://schemas.openxmlformats.org/officeDocument/2006/bibliography"/>
  </ds:schemaRefs>
</ds:datastoreItem>
</file>

<file path=customXml/itemProps4.xml><?xml version="1.0" encoding="utf-8"?>
<ds:datastoreItem xmlns:ds="http://schemas.openxmlformats.org/officeDocument/2006/customXml" ds:itemID="{672A01AC-BCAD-4E03-A775-815F843B174C}">
  <ds:schemaRefs>
    <ds:schemaRef ds:uri="http://schemas.microsoft.com/office/2006/metadata/properties"/>
    <ds:schemaRef ds:uri="http://schemas.microsoft.com/office/infopath/2007/PartnerControls"/>
    <ds:schemaRef ds:uri="d6cc0a1d-16f7-4ccc-a4bb-da32c7d491d4"/>
    <ds:schemaRef ds:uri="b688e9ab-d01d-49ec-869a-d735e976d246"/>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44</Pages>
  <Words>14094</Words>
  <Characters>88797</Characters>
  <Application>Microsoft Office Word</Application>
  <DocSecurity>0</DocSecurity>
  <Lines>739</Lines>
  <Paragraphs>205</Paragraphs>
  <ScaleCrop>false</ScaleCrop>
  <Company>HMETC GmbH</Company>
  <LinksUpToDate>false</LinksUpToDate>
  <CharactersWithSpaces>102686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Bedenian, George</cp:lastModifiedBy>
  <cp:revision>3</cp:revision>
  <dcterms:created xsi:type="dcterms:W3CDTF">2024-10-01T06:16:00Z</dcterms:created>
  <dcterms:modified xsi:type="dcterms:W3CDTF">2024-10-01T09:28:00Z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0x010100B3C6F4685B2D4C4E90505040646B65ED</vt:lpwstr>
  </property>
  <property fmtid="{D5CDD505-2E9C-101B-9397-08002B2CF9AE}" pid="3" name="MediaServiceImageTags">
    <vt:lpwstr/>
  </property>
  <property fmtid="{D5CDD505-2E9C-101B-9397-08002B2CF9AE}" pid="4" name="MSIP_Label_7294a1c8-9899-41e7-8f6e-8b1b3c79592a_Enabled">
    <vt:lpwstr>true</vt:lpwstr>
  </property>
  <property fmtid="{D5CDD505-2E9C-101B-9397-08002B2CF9AE}" pid="5" name="MSIP_Label_7294a1c8-9899-41e7-8f6e-8b1b3c79592a_SetDate">
    <vt:lpwstr>2022-11-16T15:14:48Z</vt:lpwstr>
  </property>
  <property fmtid="{D5CDD505-2E9C-101B-9397-08002B2CF9AE}" pid="6" name="MSIP_Label_7294a1c8-9899-41e7-8f6e-8b1b3c79592a_Method">
    <vt:lpwstr>Privileged</vt:lpwstr>
  </property>
  <property fmtid="{D5CDD505-2E9C-101B-9397-08002B2CF9AE}" pid="7" name="MSIP_Label_7294a1c8-9899-41e7-8f6e-8b1b3c79592a_Name">
    <vt:lpwstr>Internal sub2 (no marking)</vt:lpwstr>
  </property>
  <property fmtid="{D5CDD505-2E9C-101B-9397-08002B2CF9AE}" pid="8" name="MSIP_Label_7294a1c8-9899-41e7-8f6e-8b1b3c79592a_SiteId">
    <vt:lpwstr>eb70b763-b6d7-4486-8555-8831709a784e</vt:lpwstr>
  </property>
  <property fmtid="{D5CDD505-2E9C-101B-9397-08002B2CF9AE}" pid="9" name="MSIP_Label_7294a1c8-9899-41e7-8f6e-8b1b3c79592a_ActionId">
    <vt:lpwstr>5eee0c27-28d5-4e3c-8950-b8759293ee4c</vt:lpwstr>
  </property>
  <property fmtid="{D5CDD505-2E9C-101B-9397-08002B2CF9AE}" pid="10" name="MSIP_Label_7294a1c8-9899-41e7-8f6e-8b1b3c79592a_ContentBits">
    <vt:lpwstr>0</vt:lpwstr>
  </property>
</Properties>
</file>