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79E4CC" w14:textId="77777777" w:rsidR="003C3415" w:rsidRPr="002A297F" w:rsidRDefault="003C3415" w:rsidP="003C3415">
      <w:pPr>
        <w:pStyle w:val="ListParagraph"/>
        <w:ind w:left="2268" w:hanging="1140"/>
        <w:rPr>
          <w:lang w:val="en-GB"/>
        </w:rPr>
      </w:pPr>
      <w:bookmarkStart w:id="0" w:name="_Ref195717044"/>
      <w:r w:rsidRPr="000335DD">
        <w:rPr>
          <w:lang w:val="en-GB"/>
        </w:rPr>
        <w:t>7.</w:t>
      </w:r>
      <w:r>
        <w:rPr>
          <w:lang w:val="en-GB"/>
        </w:rPr>
        <w:t>4</w:t>
      </w:r>
      <w:r w:rsidRPr="000335DD">
        <w:rPr>
          <w:lang w:val="en-GB"/>
        </w:rPr>
        <w:t>.</w:t>
      </w:r>
      <w:r w:rsidRPr="000335DD">
        <w:rPr>
          <w:lang w:val="en-GB"/>
        </w:rPr>
        <w:tab/>
      </w:r>
      <w:r w:rsidRPr="002A297F">
        <w:rPr>
          <w:lang w:val="en-GB"/>
        </w:rPr>
        <w:t xml:space="preserve">Functional Unit and reference flow </w:t>
      </w:r>
      <w:bookmarkEnd w:id="0"/>
    </w:p>
    <w:p w14:paraId="274B5CCC" w14:textId="77777777" w:rsidR="003C3415" w:rsidRPr="0042266D" w:rsidRDefault="004C0A0B" w:rsidP="003C3415">
      <w:pPr>
        <w:ind w:left="2268"/>
        <w:rPr>
          <w:highlight w:val="yellow"/>
        </w:rPr>
      </w:pPr>
      <w:commentRangeStart w:id="1"/>
      <w:commentRangeStart w:id="2"/>
      <w:r w:rsidRPr="0042266D">
        <w:rPr>
          <w:highlight w:val="yellow"/>
        </w:rPr>
        <w:t>[T</w:t>
      </w:r>
      <w:commentRangeEnd w:id="1"/>
      <w:r w:rsidRPr="0042266D">
        <w:rPr>
          <w:rStyle w:val="CommentReference"/>
          <w:rFonts w:eastAsia="SimSun"/>
          <w:sz w:val="20"/>
          <w:szCs w:val="20"/>
          <w:highlight w:val="yellow"/>
        </w:rPr>
        <w:commentReference w:id="1"/>
      </w:r>
      <w:commentRangeEnd w:id="2"/>
      <w:r>
        <w:rPr>
          <w:rStyle w:val="CommentReference"/>
          <w:rFonts w:eastAsia="SimSun"/>
          <w:lang w:val="fr-FR"/>
        </w:rPr>
        <w:commentReference w:id="2"/>
      </w:r>
      <w:r w:rsidRPr="0042266D">
        <w:rPr>
          <w:highlight w:val="yellow"/>
        </w:rPr>
        <w:t xml:space="preserve">he </w:t>
      </w:r>
      <w:r w:rsidR="003C3415" w:rsidRPr="0042266D">
        <w:rPr>
          <w:highlight w:val="yellow"/>
        </w:rPr>
        <w:t>primary function of a light-duty vehicle is to transport passengers and/or goods from one location to another. The functional unit (FU) for light-duty vehicles is defined as the passengers and/or goods transported over vehicle lifetime in kilometres. For vehicles carrying passengers, the default functional unit for vehicles is defined as “passenger-km” (p-km). A default functional unit for vehicles carrying goods is defined as “tonne-km” (t-km), based on assumed carriage of goods.</w:t>
      </w:r>
    </w:p>
    <w:p w14:paraId="1133CD29" w14:textId="77777777" w:rsidR="003C3415" w:rsidRPr="0042266D" w:rsidRDefault="003C3415" w:rsidP="003C3415">
      <w:pPr>
        <w:ind w:left="2268"/>
        <w:rPr>
          <w:highlight w:val="yellow"/>
        </w:rPr>
      </w:pPr>
      <w:commentRangeStart w:id="3"/>
      <w:r w:rsidRPr="0042266D">
        <w:rPr>
          <w:highlight w:val="yellow"/>
        </w:rPr>
        <w:t xml:space="preserve">In </w:t>
      </w:r>
      <w:commentRangeEnd w:id="3"/>
      <w:r w:rsidR="004C0A0B">
        <w:rPr>
          <w:rStyle w:val="CommentReference"/>
          <w:rFonts w:eastAsia="SimSun"/>
          <w:lang w:val="fr-FR"/>
        </w:rPr>
        <w:commentReference w:id="3"/>
      </w:r>
      <w:r w:rsidRPr="0042266D">
        <w:rPr>
          <w:highlight w:val="yellow"/>
        </w:rPr>
        <w:t xml:space="preserve">all regional certification conditions, a </w:t>
      </w:r>
      <w:r w:rsidRPr="003C3415">
        <w:rPr>
          <w:color w:val="FF0000"/>
          <w:highlight w:val="yellow"/>
        </w:rPr>
        <w:t xml:space="preserve">predefined </w:t>
      </w:r>
      <w:r w:rsidRPr="0042266D">
        <w:rPr>
          <w:highlight w:val="yellow"/>
        </w:rPr>
        <w:t xml:space="preserve">occupancy and appropriate loading conditions are already considered for light-duty vehicles, meaning these variables are already factored in in the certification values for the carbon footprint calculation. </w:t>
      </w:r>
      <w:r w:rsidRPr="003C3415">
        <w:rPr>
          <w:color w:val="FF0000"/>
          <w:highlight w:val="yellow"/>
        </w:rPr>
        <w:t>Thus</w:t>
      </w:r>
      <w:r w:rsidRPr="0042266D">
        <w:rPr>
          <w:highlight w:val="yellow"/>
        </w:rPr>
        <w:t>, the loading condition shall follow to official-national regulation and/or legislation according to each jurisdiction.</w:t>
      </w:r>
    </w:p>
    <w:p w14:paraId="0B526993" w14:textId="77777777" w:rsidR="003C3415" w:rsidRPr="0042266D" w:rsidRDefault="003C3415" w:rsidP="003C3415">
      <w:pPr>
        <w:ind w:left="2268"/>
        <w:rPr>
          <w:highlight w:val="yellow"/>
        </w:rPr>
      </w:pPr>
      <w:r w:rsidRPr="0042266D">
        <w:rPr>
          <w:highlight w:val="yellow"/>
        </w:rPr>
        <w:t>However, for vehicles carrying goods, which are designed primarily for goods transport but often serve mixed functions such as carrying tools, equipment, or passengers, the choice of an appropriate functional unit is challenging.</w:t>
      </w:r>
    </w:p>
    <w:p w14:paraId="73A8F169" w14:textId="77777777" w:rsidR="003C3415" w:rsidRPr="0042266D" w:rsidRDefault="003C3415" w:rsidP="003C3415">
      <w:pPr>
        <w:ind w:left="2268"/>
        <w:rPr>
          <w:highlight w:val="yellow"/>
        </w:rPr>
      </w:pPr>
      <w:r w:rsidRPr="0042266D">
        <w:rPr>
          <w:highlight w:val="yellow"/>
        </w:rPr>
        <w:t xml:space="preserve">Given these considerations, a more conservative approach should be considered </w:t>
      </w:r>
      <w:r w:rsidRPr="003C3415">
        <w:rPr>
          <w:color w:val="FF0000"/>
          <w:highlight w:val="yellow"/>
        </w:rPr>
        <w:t>and the occupancy rate and/or loading conditions mandated by the regional certification protocol</w:t>
      </w:r>
      <w:r w:rsidRPr="0042266D">
        <w:rPr>
          <w:highlight w:val="yellow"/>
        </w:rPr>
        <w:t xml:space="preserve"> per vehicle should be assumed, with the presumption that the light-duty vehicle occupancy rate will not change </w:t>
      </w:r>
      <w:r>
        <w:rPr>
          <w:highlight w:val="yellow"/>
        </w:rPr>
        <w:t xml:space="preserve">due to different </w:t>
      </w:r>
      <w:r w:rsidRPr="0042266D">
        <w:rPr>
          <w:highlight w:val="yellow"/>
        </w:rPr>
        <w:t>vehicle technologies</w:t>
      </w:r>
      <w:r>
        <w:rPr>
          <w:highlight w:val="yellow"/>
        </w:rPr>
        <w:t>,</w:t>
      </w:r>
      <w:r w:rsidRPr="0042266D">
        <w:rPr>
          <w:highlight w:val="yellow"/>
        </w:rPr>
        <w:t xml:space="preserve"> energy sources </w:t>
      </w:r>
      <w:r w:rsidRPr="003C3415">
        <w:rPr>
          <w:color w:val="FF0000"/>
          <w:highlight w:val="yellow"/>
        </w:rPr>
        <w:t>or number of seats</w:t>
      </w:r>
      <w:r w:rsidRPr="0042266D">
        <w:rPr>
          <w:highlight w:val="yellow"/>
        </w:rPr>
        <w:t xml:space="preserve">. This will also ensure comparability between different vehicles. </w:t>
      </w:r>
    </w:p>
    <w:p w14:paraId="33422E26" w14:textId="77777777" w:rsidR="003C3415" w:rsidRDefault="003C3415" w:rsidP="003C3415">
      <w:pPr>
        <w:ind w:left="2268"/>
        <w:rPr>
          <w:highlight w:val="yellow"/>
        </w:rPr>
      </w:pPr>
      <w:r w:rsidRPr="0042266D">
        <w:rPr>
          <w:highlight w:val="yellow"/>
        </w:rPr>
        <w:t xml:space="preserve">Considering the above assumption, the functional unit (FU) for a light-duty vehicle is </w:t>
      </w:r>
      <w:r w:rsidRPr="003C3415">
        <w:rPr>
          <w:color w:val="FF0000"/>
          <w:highlight w:val="yellow"/>
        </w:rPr>
        <w:t>defined as the transportation of χ passenger per km of distance travelled over the vehicle lifetime. Where χ is the number of passengers and/or loading conditions dictated by the jurisdiction under consideration.</w:t>
      </w:r>
    </w:p>
    <w:p w14:paraId="0CF13BF4" w14:textId="77777777" w:rsidR="003C3415" w:rsidRPr="000335DD" w:rsidRDefault="003C3415" w:rsidP="003C3415">
      <w:pPr>
        <w:ind w:left="2268"/>
      </w:pPr>
      <w:r w:rsidRPr="0042266D">
        <w:rPr>
          <w:highlight w:val="yellow"/>
        </w:rPr>
        <w:t xml:space="preserve">However, since lifetime distance is different in each region, </w:t>
      </w:r>
      <w:commentRangeStart w:id="5"/>
      <w:r w:rsidRPr="0042266D">
        <w:rPr>
          <w:highlight w:val="yellow"/>
        </w:rPr>
        <w:t xml:space="preserve">each regional authority, upon providing a thorough explanation and documentation, is entitled to adopt a distinct functional unit </w:t>
      </w:r>
      <w:commentRangeEnd w:id="5"/>
      <w:r w:rsidR="004C0A0B">
        <w:rPr>
          <w:rStyle w:val="CommentReference"/>
          <w:rFonts w:eastAsia="SimSun"/>
          <w:lang w:val="fr-FR"/>
        </w:rPr>
        <w:commentReference w:id="5"/>
      </w:r>
      <w:r w:rsidRPr="0042266D">
        <w:rPr>
          <w:highlight w:val="yellow"/>
        </w:rPr>
        <w:t>(e.g. per vehicle service life). This unit shall be based on well-founded assumptions that are reflective of the respective jurisdiction under consideration]</w:t>
      </w:r>
    </w:p>
    <w:p w14:paraId="1D95B272" w14:textId="77777777" w:rsidR="003C3415" w:rsidRPr="000335DD" w:rsidRDefault="003C3415" w:rsidP="003C3415">
      <w:pPr>
        <w:ind w:left="2268"/>
      </w:pPr>
      <w:r w:rsidRPr="000335DD">
        <w:t xml:space="preserve">The reference flow for a vehicle is defined as the measurable quantity of inputs and outputs necessary to meet the defined </w:t>
      </w:r>
      <w:r w:rsidRPr="000335DD">
        <w:rPr>
          <w:i/>
        </w:rPr>
        <w:t>functional unit</w:t>
      </w:r>
      <w:r w:rsidRPr="000335DD">
        <w:t xml:space="preserve"> of the product over its lifecycle. The reference flow in automotive LCAs translates this functional unit into specific, quantifiable measures of resources consumed and emissions produced, covering aspects such as:</w:t>
      </w:r>
    </w:p>
    <w:p w14:paraId="12EB78BD" w14:textId="77777777" w:rsidR="003C3415" w:rsidRPr="000335DD" w:rsidRDefault="003C3415" w:rsidP="003C3415">
      <w:pPr>
        <w:ind w:left="2835" w:hanging="567"/>
      </w:pPr>
      <w:r w:rsidRPr="000335DD">
        <w:t>(a)</w:t>
      </w:r>
      <w:r w:rsidRPr="000335DD">
        <w:tab/>
        <w:t>Vehicle components and materials (e.g., steel, aluminium, plastics required to manufacture the car),</w:t>
      </w:r>
    </w:p>
    <w:p w14:paraId="6E839C69" w14:textId="77777777" w:rsidR="003C3415" w:rsidRPr="000335DD" w:rsidRDefault="003C3415" w:rsidP="003C3415">
      <w:pPr>
        <w:ind w:left="2835" w:hanging="567"/>
      </w:pPr>
      <w:r w:rsidRPr="000335DD">
        <w:t>(b)</w:t>
      </w:r>
      <w:r w:rsidRPr="000335DD">
        <w:tab/>
        <w:t>Fuel and/or energy consumption over the vehicle’s lifetime,</w:t>
      </w:r>
    </w:p>
    <w:p w14:paraId="4A14595C" w14:textId="77777777" w:rsidR="003C3415" w:rsidRPr="000335DD" w:rsidRDefault="003C3415" w:rsidP="003C3415">
      <w:pPr>
        <w:ind w:left="2835" w:hanging="567"/>
      </w:pPr>
      <w:r w:rsidRPr="000335DD">
        <w:lastRenderedPageBreak/>
        <w:t>(c)</w:t>
      </w:r>
      <w:r w:rsidRPr="000335DD">
        <w:tab/>
        <w:t>Maintenance and replacement parts (such as tyres, fluids, SLI batteries</w:t>
      </w:r>
      <w:r w:rsidRPr="000335DD">
        <w:rPr>
          <w:vertAlign w:val="superscript"/>
        </w:rPr>
        <w:footnoteReference w:id="1"/>
      </w:r>
      <w:r w:rsidRPr="000335DD">
        <w:t>, etc.),</w:t>
      </w:r>
    </w:p>
    <w:p w14:paraId="09B509F3" w14:textId="77777777" w:rsidR="003C3415" w:rsidRPr="000335DD" w:rsidRDefault="003C3415" w:rsidP="003C3415">
      <w:pPr>
        <w:ind w:left="2835" w:hanging="567"/>
      </w:pPr>
      <w:r w:rsidRPr="000335DD">
        <w:t>(d)</w:t>
      </w:r>
      <w:r w:rsidRPr="000335DD">
        <w:tab/>
        <w:t>End-of-life treatment for disposal or recycling.</w:t>
      </w:r>
    </w:p>
    <w:p w14:paraId="014B557F" w14:textId="77777777" w:rsidR="003C3415" w:rsidRPr="000335DD" w:rsidRDefault="003C3415" w:rsidP="003C3415">
      <w:pPr>
        <w:ind w:left="2268"/>
      </w:pPr>
      <w:r w:rsidRPr="000335DD">
        <w:t xml:space="preserve">The standardised reference flow enables consistent and comparable assessments across different automotive products, focusing on the impacts associated with achieving the defined service. </w:t>
      </w:r>
    </w:p>
    <w:p w14:paraId="421B8EAD" w14:textId="77777777" w:rsidR="003C3415" w:rsidRPr="000335DD" w:rsidRDefault="003C3415" w:rsidP="003C3415">
      <w:pPr>
        <w:ind w:left="2268"/>
      </w:pPr>
      <w:r w:rsidRPr="000335DD">
        <w:t>Given the current scope of these guidelines, certain definitions, methodological approaches, and calculation rules—including those pertaining to the functional unit, vehicle service life, certification protocols, discrepancy and deterioration factors, leakages, and maintenance parts and activities—are presently limited to the passenger car framework. The processes listed above serve as illustrative examples and are not intended to be exhaustive.]</w:t>
      </w:r>
    </w:p>
    <w:p w14:paraId="363D5CC4" w14:textId="77777777" w:rsidR="00172EBA" w:rsidRDefault="00C67ECD" w:rsidP="003C3415"/>
    <w:sectPr w:rsidR="00172EBA">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TRIPATHY Samarendra" w:date="2025-11-03T00:03:00Z" w:initials="ST">
    <w:p w14:paraId="56EC6394" w14:textId="77777777" w:rsidR="004C0A0B" w:rsidRPr="00C94CA4" w:rsidRDefault="004C0A0B" w:rsidP="004C0A0B">
      <w:pPr>
        <w:pStyle w:val="CommentText"/>
        <w:ind w:left="0"/>
        <w:jc w:val="left"/>
        <w:rPr>
          <w:lang w:val="en-GB"/>
        </w:rPr>
      </w:pPr>
      <w:r>
        <w:rPr>
          <w:rStyle w:val="CommentReference"/>
        </w:rPr>
        <w:annotationRef/>
      </w:r>
      <w:r w:rsidRPr="00C94CA4">
        <w:rPr>
          <w:lang w:val="en-GB"/>
        </w:rPr>
        <w:t>[] proposed by SG4 until this draft proposal is accepted by the CPs on 30</w:t>
      </w:r>
      <w:r w:rsidRPr="00C94CA4">
        <w:rPr>
          <w:vertAlign w:val="superscript"/>
          <w:lang w:val="en-GB"/>
        </w:rPr>
        <w:t>th</w:t>
      </w:r>
      <w:r w:rsidRPr="00C94CA4">
        <w:rPr>
          <w:lang w:val="en-GB"/>
        </w:rPr>
        <w:t xml:space="preserve"> </w:t>
      </w:r>
      <w:proofErr w:type="spellStart"/>
      <w:r w:rsidRPr="00C94CA4">
        <w:rPr>
          <w:lang w:val="en-GB"/>
        </w:rPr>
        <w:t>october</w:t>
      </w:r>
      <w:proofErr w:type="spellEnd"/>
    </w:p>
  </w:comment>
  <w:comment w:id="2" w:author="McDonald, Joseph" w:date="2025-11-12T17:41:00Z" w:initials="JM">
    <w:p w14:paraId="45B518FB" w14:textId="77777777" w:rsidR="004C0A0B" w:rsidRPr="00C94CA4" w:rsidRDefault="004C0A0B" w:rsidP="004C0A0B">
      <w:pPr>
        <w:pStyle w:val="CommentText"/>
        <w:rPr>
          <w:lang w:val="en-GB"/>
        </w:rPr>
      </w:pPr>
      <w:r>
        <w:rPr>
          <w:rStyle w:val="CommentReference"/>
        </w:rPr>
        <w:annotationRef/>
      </w:r>
      <w:r w:rsidRPr="00C94CA4">
        <w:rPr>
          <w:lang w:val="en-GB"/>
        </w:rPr>
        <w:t xml:space="preserve">The U.S. proposes that the functional unit be related to the primary (or secondary) data used to determine vehicle energy consumption and/or CO2 emissions, which in nearly all cases will be either certification data or type approval data.  As such, the functional unit should be </w:t>
      </w:r>
      <w:r w:rsidRPr="00C94CA4">
        <w:rPr>
          <w:u w:val="single"/>
          <w:lang w:val="en-GB"/>
        </w:rPr>
        <w:t>vehicle-km</w:t>
      </w:r>
      <w:r w:rsidRPr="00C94CA4">
        <w:rPr>
          <w:lang w:val="en-GB"/>
        </w:rPr>
        <w:t xml:space="preserve"> for vehicles termed « light-duty » since road load derivation and dynamometer testing are conducted with at fixed weights that due not exactly match either a single passenger or a specific payload.  We recommend that this be discussed further at the IWG level at the next IWG session.  Another alternative would be to require that the functional unit be consistent with the manner in which primary CO2 data is derived.  </w:t>
      </w:r>
    </w:p>
  </w:comment>
  <w:comment w:id="3" w:author="DI PIERRO Giuseppe (JRC-ISPRA)" w:date="2025-11-14T16:16:00Z" w:initials="DPG(">
    <w:p w14:paraId="4F8C2475" w14:textId="77777777" w:rsidR="004C0A0B" w:rsidRPr="004C0A0B" w:rsidRDefault="004C0A0B" w:rsidP="004C0A0B">
      <w:pPr>
        <w:pStyle w:val="CommentText"/>
        <w:ind w:left="0"/>
        <w:rPr>
          <w:lang w:val="en-GB"/>
        </w:rPr>
      </w:pPr>
      <w:r>
        <w:rPr>
          <w:rStyle w:val="CommentReference"/>
        </w:rPr>
        <w:annotationRef/>
      </w:r>
      <w:r w:rsidRPr="004C0A0B">
        <w:rPr>
          <w:lang w:val="en-GB"/>
        </w:rPr>
        <w:t xml:space="preserve">KR proposed new input </w:t>
      </w:r>
      <w:bookmarkStart w:id="4" w:name="_GoBack"/>
      <w:bookmarkEnd w:id="4"/>
      <w:r w:rsidRPr="004C0A0B">
        <w:rPr>
          <w:lang w:val="en-GB"/>
        </w:rPr>
        <w:t xml:space="preserve">wording: </w:t>
      </w:r>
      <w:r w:rsidRPr="004C0A0B">
        <w:rPr>
          <w:lang w:val="en-US"/>
        </w:rPr>
        <w:t>Korea considers that the wording should remain jurisdiction-neutral and allow the functional unit to be consistently linked to how certification data are defined in each jurisdiction.</w:t>
      </w:r>
    </w:p>
  </w:comment>
  <w:comment w:id="5" w:author="DI PIERRO Giuseppe (JRC-ISPRA)" w:date="2025-11-14T16:15:00Z" w:initials="DPG(">
    <w:p w14:paraId="4E5F7D16" w14:textId="77777777" w:rsidR="004C0A0B" w:rsidRDefault="004C0A0B" w:rsidP="004C0A0B">
      <w:pPr>
        <w:pStyle w:val="CommentText"/>
        <w:ind w:left="0"/>
      </w:pPr>
      <w:r>
        <w:rPr>
          <w:rStyle w:val="CommentReference"/>
        </w:rPr>
        <w:annotationRef/>
      </w:r>
      <w:r>
        <w:t>JPN</w:t>
      </w:r>
    </w:p>
    <w:p w14:paraId="404E9400" w14:textId="77777777" w:rsidR="004C0A0B" w:rsidRPr="004C0A0B" w:rsidRDefault="004C0A0B" w:rsidP="004C0A0B">
      <w:pPr>
        <w:pStyle w:val="CommentText"/>
        <w:ind w:left="0"/>
        <w:rPr>
          <w:lang w:val="en-GB"/>
        </w:rPr>
      </w:pPr>
      <w:r w:rsidRPr="004C0A0B">
        <w:rPr>
          <w:lang w:val="en-US"/>
        </w:rPr>
        <w:t>As long as it is clear</w:t>
      </w:r>
      <w:r>
        <w:rPr>
          <w:lang w:val="en-US"/>
        </w:rPr>
        <w:t xml:space="preserve">ly described that CPs are allowed </w:t>
      </w:r>
      <w:r w:rsidRPr="004C0A0B">
        <w:rPr>
          <w:lang w:val="en-US"/>
        </w:rPr>
        <w:t>to apply the unique unit (e.g. per vehicle service life), JPN follows the decision by IWG</w:t>
      </w:r>
      <w:r>
        <w:rPr>
          <w:lang w:val="en-US"/>
        </w:rP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6EC6394" w15:done="0"/>
  <w15:commentEx w15:paraId="45B518FB" w15:paraIdParent="56EC6394" w15:done="0"/>
  <w15:commentEx w15:paraId="4F8C2475" w15:done="0"/>
  <w15:commentEx w15:paraId="404E9400"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518B08" w14:textId="77777777" w:rsidR="00C67ECD" w:rsidRDefault="00C67ECD" w:rsidP="003C3415">
      <w:pPr>
        <w:spacing w:after="0" w:line="240" w:lineRule="auto"/>
      </w:pPr>
      <w:r>
        <w:separator/>
      </w:r>
    </w:p>
  </w:endnote>
  <w:endnote w:type="continuationSeparator" w:id="0">
    <w:p w14:paraId="49A007DB" w14:textId="77777777" w:rsidR="00C67ECD" w:rsidRDefault="00C67ECD" w:rsidP="003C34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0EF2ED" w14:textId="77777777" w:rsidR="00C67ECD" w:rsidRDefault="00C67ECD" w:rsidP="003C3415">
      <w:pPr>
        <w:spacing w:after="0" w:line="240" w:lineRule="auto"/>
      </w:pPr>
      <w:r>
        <w:separator/>
      </w:r>
    </w:p>
  </w:footnote>
  <w:footnote w:type="continuationSeparator" w:id="0">
    <w:p w14:paraId="3229FA83" w14:textId="77777777" w:rsidR="00C67ECD" w:rsidRDefault="00C67ECD" w:rsidP="003C3415">
      <w:pPr>
        <w:spacing w:after="0" w:line="240" w:lineRule="auto"/>
      </w:pPr>
      <w:r>
        <w:continuationSeparator/>
      </w:r>
    </w:p>
  </w:footnote>
  <w:footnote w:id="1">
    <w:p w14:paraId="6C542206" w14:textId="77777777" w:rsidR="003C3415" w:rsidRPr="002A297F" w:rsidRDefault="003C3415" w:rsidP="003C3415">
      <w:pPr>
        <w:pStyle w:val="FootnoteText"/>
      </w:pPr>
      <w:r w:rsidRPr="00A9665D">
        <w:tab/>
      </w:r>
      <w:r w:rsidRPr="007E0E81">
        <w:rPr>
          <w:rStyle w:val="FootnoteReference"/>
        </w:rPr>
        <w:footnoteRef/>
      </w:r>
      <w:r w:rsidRPr="007E0E81">
        <w:tab/>
        <w:t>Batteries for starting-lighting-ignition (SLI) and auxiliary applications only - does not apply to primary battery packs used for electric-drive powertrains</w:t>
      </w:r>
    </w:p>
  </w:footnote>
</w:footnote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TRIPATHY Samarendra">
    <w15:presenceInfo w15:providerId="AD" w15:userId="S::samarendra.tripathy@renault.com::ab5b29d6-737e-4fe9-9a0f-2eaeb13cd2f2"/>
  </w15:person>
  <w15:person w15:author="McDonald, Joseph">
    <w15:presenceInfo w15:providerId="AD" w15:userId="S::McDonald.Joseph@epa.gov::9dbe367b-647a-46ad-857f-2f9cfbdb155e"/>
  </w15:person>
  <w15:person w15:author="DI PIERRO Giuseppe (JRC-ISPRA)">
    <w15:presenceInfo w15:providerId="None" w15:userId="DI PIERRO Giuseppe (JRC-ISPR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3415"/>
    <w:rsid w:val="003C3415"/>
    <w:rsid w:val="004C0A0B"/>
    <w:rsid w:val="007764B7"/>
    <w:rsid w:val="009660EE"/>
    <w:rsid w:val="00C67E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1EF045"/>
  <w15:chartTrackingRefBased/>
  <w15:docId w15:val="{D75494EF-2497-44D6-A5D3-1255F645D2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aliases w:val="4_G,(Footnote Reference),-E Fußnotenzeichen,BVI fnr, BVI fnr,Footnote symbol,Footnote,Footnote Reference Superscript,SUPERS,4_GR"/>
    <w:basedOn w:val="DefaultParagraphFont"/>
    <w:uiPriority w:val="99"/>
    <w:qFormat/>
    <w:rsid w:val="003C3415"/>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qFormat/>
    <w:rsid w:val="003C3415"/>
    <w:pPr>
      <w:tabs>
        <w:tab w:val="right" w:pos="1021"/>
      </w:tabs>
      <w:suppressAutoHyphens/>
      <w:spacing w:after="120" w:line="220" w:lineRule="exact"/>
      <w:ind w:left="1134" w:right="1134" w:hanging="1134"/>
      <w:jc w:val="both"/>
    </w:pPr>
    <w:rPr>
      <w:rFonts w:ascii="Times New Roman" w:eastAsia="Times New Roman" w:hAnsi="Times New Roman" w:cs="Times New Roman"/>
      <w:sz w:val="18"/>
      <w:szCs w:val="20"/>
      <w:lang w:eastAsia="fr-FR"/>
    </w:r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uiPriority w:val="99"/>
    <w:qFormat/>
    <w:rsid w:val="003C3415"/>
    <w:rPr>
      <w:rFonts w:ascii="Times New Roman" w:eastAsia="Times New Roman" w:hAnsi="Times New Roman" w:cs="Times New Roman"/>
      <w:sz w:val="18"/>
      <w:szCs w:val="20"/>
      <w:lang w:eastAsia="fr-FR"/>
    </w:rPr>
  </w:style>
  <w:style w:type="paragraph" w:styleId="ListParagraph">
    <w:name w:val="List Paragraph"/>
    <w:basedOn w:val="Normal"/>
    <w:link w:val="ListParagraphChar"/>
    <w:uiPriority w:val="34"/>
    <w:qFormat/>
    <w:rsid w:val="003C3415"/>
    <w:pPr>
      <w:spacing w:after="120" w:line="240" w:lineRule="auto"/>
      <w:ind w:left="737" w:right="1134"/>
      <w:jc w:val="both"/>
    </w:pPr>
    <w:rPr>
      <w:rFonts w:ascii="Times New Roman" w:eastAsia="Times New Roman" w:hAnsi="Times New Roman" w:cs="Times New Roman"/>
      <w:sz w:val="20"/>
      <w:lang w:val="nl-BE" w:eastAsia="nl-BE"/>
    </w:rPr>
  </w:style>
  <w:style w:type="character" w:styleId="CommentReference">
    <w:name w:val="annotation reference"/>
    <w:basedOn w:val="DefaultParagraphFont"/>
    <w:uiPriority w:val="99"/>
    <w:unhideWhenUsed/>
    <w:rsid w:val="003C3415"/>
    <w:rPr>
      <w:sz w:val="16"/>
      <w:szCs w:val="16"/>
    </w:rPr>
  </w:style>
  <w:style w:type="paragraph" w:styleId="CommentText">
    <w:name w:val="annotation text"/>
    <w:basedOn w:val="Normal"/>
    <w:link w:val="CommentTextChar2"/>
    <w:uiPriority w:val="99"/>
    <w:unhideWhenUsed/>
    <w:rsid w:val="003C3415"/>
    <w:pPr>
      <w:spacing w:after="200" w:line="240" w:lineRule="auto"/>
      <w:ind w:left="737" w:right="1134"/>
      <w:jc w:val="both"/>
    </w:pPr>
    <w:rPr>
      <w:rFonts w:eastAsia="SimSun"/>
      <w:sz w:val="20"/>
      <w:szCs w:val="20"/>
      <w:lang w:val="fr-FR"/>
    </w:rPr>
  </w:style>
  <w:style w:type="character" w:customStyle="1" w:styleId="CommentTextChar">
    <w:name w:val="Comment Text Char"/>
    <w:basedOn w:val="DefaultParagraphFont"/>
    <w:uiPriority w:val="99"/>
    <w:semiHidden/>
    <w:rsid w:val="003C3415"/>
    <w:rPr>
      <w:sz w:val="20"/>
      <w:szCs w:val="20"/>
    </w:rPr>
  </w:style>
  <w:style w:type="character" w:customStyle="1" w:styleId="CommentTextChar2">
    <w:name w:val="Comment Text Char2"/>
    <w:basedOn w:val="DefaultParagraphFont"/>
    <w:link w:val="CommentText"/>
    <w:uiPriority w:val="99"/>
    <w:rsid w:val="003C3415"/>
    <w:rPr>
      <w:rFonts w:eastAsia="SimSun"/>
      <w:sz w:val="20"/>
      <w:szCs w:val="20"/>
      <w:lang w:val="fr-FR"/>
    </w:rPr>
  </w:style>
  <w:style w:type="character" w:customStyle="1" w:styleId="ListParagraphChar">
    <w:name w:val="List Paragraph Char"/>
    <w:basedOn w:val="DefaultParagraphFont"/>
    <w:link w:val="ListParagraph"/>
    <w:uiPriority w:val="34"/>
    <w:rsid w:val="003C3415"/>
    <w:rPr>
      <w:rFonts w:ascii="Times New Roman" w:eastAsia="Times New Roman" w:hAnsi="Times New Roman" w:cs="Times New Roman"/>
      <w:sz w:val="20"/>
      <w:lang w:val="nl-BE" w:eastAsia="nl-BE"/>
    </w:rPr>
  </w:style>
  <w:style w:type="paragraph" w:styleId="BalloonText">
    <w:name w:val="Balloon Text"/>
    <w:basedOn w:val="Normal"/>
    <w:link w:val="BalloonTextChar"/>
    <w:uiPriority w:val="99"/>
    <w:semiHidden/>
    <w:unhideWhenUsed/>
    <w:rsid w:val="003C341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C3415"/>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4C0A0B"/>
    <w:pPr>
      <w:spacing w:after="160"/>
      <w:ind w:left="0" w:right="0"/>
      <w:jc w:val="left"/>
    </w:pPr>
    <w:rPr>
      <w:rFonts w:eastAsiaTheme="minorHAnsi"/>
      <w:b/>
      <w:bCs/>
      <w:lang w:val="en-GB"/>
    </w:rPr>
  </w:style>
  <w:style w:type="character" w:customStyle="1" w:styleId="CommentSubjectChar">
    <w:name w:val="Comment Subject Char"/>
    <w:basedOn w:val="CommentTextChar2"/>
    <w:link w:val="CommentSubject"/>
    <w:uiPriority w:val="99"/>
    <w:semiHidden/>
    <w:rsid w:val="004C0A0B"/>
    <w:rPr>
      <w:rFonts w:eastAsia="SimSun"/>
      <w:b/>
      <w:bCs/>
      <w:sz w:val="20"/>
      <w:szCs w:val="20"/>
      <w:lang w:val="fr-FR"/>
    </w:rPr>
  </w:style>
  <w:style w:type="paragraph" w:styleId="NormalWeb">
    <w:name w:val="Normal (Web)"/>
    <w:basedOn w:val="Normal"/>
    <w:uiPriority w:val="99"/>
    <w:semiHidden/>
    <w:unhideWhenUsed/>
    <w:rsid w:val="004C0A0B"/>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2535840">
      <w:bodyDiv w:val="1"/>
      <w:marLeft w:val="0"/>
      <w:marRight w:val="0"/>
      <w:marTop w:val="0"/>
      <w:marBottom w:val="0"/>
      <w:divBdr>
        <w:top w:val="none" w:sz="0" w:space="0" w:color="auto"/>
        <w:left w:val="none" w:sz="0" w:space="0" w:color="auto"/>
        <w:bottom w:val="none" w:sz="0" w:space="0" w:color="auto"/>
        <w:right w:val="none" w:sz="0" w:space="0" w:color="auto"/>
      </w:divBdr>
    </w:div>
    <w:div w:id="1803881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microsoft.com/office/2011/relationships/commentsExtended" Target="commentsExtended.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omments" Target="comments.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2</Pages>
  <Words>526</Words>
  <Characters>3001</Characters>
  <Application>Microsoft Office Word</Application>
  <DocSecurity>0</DocSecurity>
  <Lines>25</Lines>
  <Paragraphs>7</Paragraphs>
  <ScaleCrop>false</ScaleCrop>
  <Company>JRC-Ispra</Company>
  <LinksUpToDate>false</LinksUpToDate>
  <CharactersWithSpaces>3520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 PIERRO Giuseppe (JRC-ISPRA)</dc:creator>
  <cp:keywords/>
  <dc:description/>
  <cp:lastModifiedBy>DI PIERRO Giuseppe (JRC-ISPRA)</cp:lastModifiedBy>
  <cp:revision>2</cp:revision>
  <dcterms:created xsi:type="dcterms:W3CDTF">2025-11-14T15:10:00Z</dcterms:created>
  <dcterms:modified xsi:type="dcterms:W3CDTF">2025-11-14T15:16:00Z</dcterms:modified>
</cp:coreProperties>
</file>