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CE" w:rsidRDefault="009F1FCE">
      <w:pPr>
        <w:rPr>
          <w:lang w:val="en-GB"/>
        </w:rPr>
      </w:pPr>
    </w:p>
    <w:p w:rsidR="00390F1E" w:rsidRPr="009F1FCE" w:rsidRDefault="00390F1E" w:rsidP="009F1FCE">
      <w:pPr>
        <w:jc w:val="center"/>
        <w:rPr>
          <w:b/>
          <w:lang w:val="en-GB"/>
        </w:rPr>
      </w:pPr>
      <w:r w:rsidRPr="009F1FCE">
        <w:rPr>
          <w:b/>
          <w:lang w:val="en-GB"/>
        </w:rPr>
        <w:t>Discussion paper</w:t>
      </w:r>
      <w:r w:rsidR="009F1FCE">
        <w:rPr>
          <w:b/>
          <w:lang w:val="en-GB"/>
        </w:rPr>
        <w:t xml:space="preserve"> </w:t>
      </w:r>
      <w:r w:rsidR="009F1FCE" w:rsidRPr="009F1FCE">
        <w:rPr>
          <w:b/>
          <w:lang w:val="en-GB"/>
        </w:rPr>
        <w:t>– EMC requirements for AECD</w:t>
      </w:r>
    </w:p>
    <w:p w:rsidR="00390F1E" w:rsidRDefault="00390F1E">
      <w:pPr>
        <w:rPr>
          <w:lang w:val="en-GB"/>
        </w:rPr>
      </w:pPr>
      <w:r>
        <w:rPr>
          <w:lang w:val="en-GB"/>
        </w:rPr>
        <w:t xml:space="preserve">The Netherlands </w:t>
      </w:r>
      <w:r w:rsidR="00B436B4">
        <w:rPr>
          <w:lang w:val="en-GB"/>
        </w:rPr>
        <w:t xml:space="preserve">doubts whether AECD’s are fully covered with regard to EMC by the current draft Regulation on AECS and </w:t>
      </w:r>
      <w:r>
        <w:rPr>
          <w:lang w:val="en-GB"/>
        </w:rPr>
        <w:t>would like to have the opinion by the participants of the IWG on AECS</w:t>
      </w:r>
      <w:r w:rsidR="0036426A">
        <w:rPr>
          <w:lang w:val="en-GB"/>
        </w:rPr>
        <w:t xml:space="preserve"> and by EMC experts</w:t>
      </w:r>
      <w:r w:rsidR="00B436B4">
        <w:rPr>
          <w:lang w:val="en-GB"/>
        </w:rPr>
        <w:t>.</w:t>
      </w:r>
    </w:p>
    <w:p w:rsidR="00B436B4" w:rsidRDefault="00B436B4">
      <w:pPr>
        <w:rPr>
          <w:lang w:val="en-GB"/>
        </w:rPr>
      </w:pPr>
    </w:p>
    <w:p w:rsidR="000B4A88" w:rsidRPr="00E11FC0" w:rsidRDefault="00C4161E">
      <w:pPr>
        <w:rPr>
          <w:lang w:val="en-US"/>
        </w:rPr>
      </w:pPr>
      <w:r w:rsidRPr="00E11FC0">
        <w:rPr>
          <w:lang w:val="en-GB"/>
        </w:rPr>
        <w:t>The set of components of the AEC</w:t>
      </w:r>
      <w:r w:rsidR="0072349F" w:rsidRPr="00E11FC0">
        <w:rPr>
          <w:lang w:val="en-GB"/>
        </w:rPr>
        <w:t>D</w:t>
      </w:r>
      <w:r w:rsidRPr="00E11FC0">
        <w:rPr>
          <w:lang w:val="en-GB"/>
        </w:rPr>
        <w:t xml:space="preserve"> can be regarded as being </w:t>
      </w:r>
      <w:r w:rsidRPr="00E11FC0">
        <w:rPr>
          <w:lang w:val="en-US"/>
        </w:rPr>
        <w:t>liable to the effects of electromagnetic disturbances.</w:t>
      </w:r>
    </w:p>
    <w:p w:rsidR="00195098" w:rsidRPr="00E11FC0" w:rsidRDefault="00DC45EF">
      <w:pPr>
        <w:rPr>
          <w:lang w:val="en-GB"/>
        </w:rPr>
      </w:pPr>
      <w:r w:rsidRPr="00E11FC0">
        <w:rPr>
          <w:lang w:val="en-GB"/>
        </w:rPr>
        <w:t>The latest working document AECS-02-02-Rev.4 requires the effectiveness of the AECD not to be adversely affected by magnetic or electrical fields by ensuring compliance with Regulation No. 10.05</w:t>
      </w:r>
      <w:r w:rsidR="00390F1E">
        <w:rPr>
          <w:lang w:val="en-GB"/>
        </w:rPr>
        <w:t xml:space="preserve"> (</w:t>
      </w:r>
      <w:r w:rsidR="00B436B4">
        <w:rPr>
          <w:lang w:val="en-GB"/>
        </w:rPr>
        <w:t xml:space="preserve">according to </w:t>
      </w:r>
      <w:r w:rsidR="00390F1E">
        <w:rPr>
          <w:lang w:val="en-GB"/>
        </w:rPr>
        <w:t>Part I, paragraph 7.1.)</w:t>
      </w:r>
      <w:r w:rsidR="00195098" w:rsidRPr="00E11FC0">
        <w:rPr>
          <w:lang w:val="en-GB"/>
        </w:rPr>
        <w:t>.</w:t>
      </w:r>
    </w:p>
    <w:p w:rsidR="00BF2BD8" w:rsidRPr="00E11FC0" w:rsidRDefault="00C4161E">
      <w:pPr>
        <w:rPr>
          <w:lang w:val="en-US"/>
        </w:rPr>
      </w:pPr>
      <w:r w:rsidRPr="00E11FC0">
        <w:rPr>
          <w:lang w:val="en-US"/>
        </w:rPr>
        <w:t>The AEC</w:t>
      </w:r>
      <w:r w:rsidR="0072349F" w:rsidRPr="00E11FC0">
        <w:rPr>
          <w:lang w:val="en-US"/>
        </w:rPr>
        <w:t>D</w:t>
      </w:r>
      <w:r w:rsidRPr="00E11FC0">
        <w:rPr>
          <w:lang w:val="en-US"/>
        </w:rPr>
        <w:t xml:space="preserve"> c</w:t>
      </w:r>
      <w:r w:rsidR="00BF2BD8" w:rsidRPr="00E11FC0">
        <w:rPr>
          <w:lang w:val="en-US"/>
        </w:rPr>
        <w:t>ould</w:t>
      </w:r>
      <w:r w:rsidRPr="00E11FC0">
        <w:rPr>
          <w:lang w:val="en-US"/>
        </w:rPr>
        <w:t xml:space="preserve"> be approved according to UN Regulation No. 10 as</w:t>
      </w:r>
      <w:r w:rsidR="00195098" w:rsidRPr="00E11FC0">
        <w:rPr>
          <w:lang w:val="en-US"/>
        </w:rPr>
        <w:t>:</w:t>
      </w:r>
      <w:r w:rsidR="00195098" w:rsidRPr="00E11FC0">
        <w:rPr>
          <w:lang w:val="en-US"/>
        </w:rPr>
        <w:br/>
        <w:t>-</w:t>
      </w:r>
      <w:r w:rsidRPr="00E11FC0">
        <w:rPr>
          <w:lang w:val="en-US"/>
        </w:rPr>
        <w:t xml:space="preserve"> an ESA </w:t>
      </w:r>
      <w:r w:rsidR="00DC45EF" w:rsidRPr="00E11FC0">
        <w:rPr>
          <w:lang w:val="en-US"/>
        </w:rPr>
        <w:t>for the purpose of Part I</w:t>
      </w:r>
      <w:r w:rsidR="00195098" w:rsidRPr="00E11FC0">
        <w:rPr>
          <w:lang w:val="en-US"/>
        </w:rPr>
        <w:t>,</w:t>
      </w:r>
      <w:r w:rsidR="00DC45EF" w:rsidRPr="00E11FC0">
        <w:rPr>
          <w:lang w:val="en-US"/>
        </w:rPr>
        <w:t xml:space="preserve"> </w:t>
      </w:r>
      <w:r w:rsidRPr="00E11FC0">
        <w:rPr>
          <w:lang w:val="en-US"/>
        </w:rPr>
        <w:t>or</w:t>
      </w:r>
      <w:r w:rsidR="00195098" w:rsidRPr="00E11FC0">
        <w:rPr>
          <w:lang w:val="en-US"/>
        </w:rPr>
        <w:br/>
        <w:t>-</w:t>
      </w:r>
      <w:r w:rsidRPr="00E11FC0">
        <w:rPr>
          <w:lang w:val="en-US"/>
        </w:rPr>
        <w:t xml:space="preserve"> being part of a vehicle</w:t>
      </w:r>
      <w:r w:rsidR="00DC45EF" w:rsidRPr="00E11FC0">
        <w:rPr>
          <w:lang w:val="en-US"/>
        </w:rPr>
        <w:t xml:space="preserve"> for the purpose of Part III</w:t>
      </w:r>
      <w:r w:rsidR="00390F1E">
        <w:rPr>
          <w:lang w:val="en-US"/>
        </w:rPr>
        <w:t xml:space="preserve"> (</w:t>
      </w:r>
      <w:r w:rsidR="00B55BC7">
        <w:rPr>
          <w:lang w:val="en-US"/>
        </w:rPr>
        <w:t xml:space="preserve">no EMC requirements included </w:t>
      </w:r>
      <w:r w:rsidR="000B14A1">
        <w:rPr>
          <w:lang w:val="en-US"/>
        </w:rPr>
        <w:t xml:space="preserve">in Part III </w:t>
      </w:r>
      <w:r w:rsidR="00B55BC7">
        <w:rPr>
          <w:lang w:val="en-US"/>
        </w:rPr>
        <w:t>yet</w:t>
      </w:r>
      <w:r w:rsidR="00390F1E">
        <w:rPr>
          <w:lang w:val="en-US"/>
        </w:rPr>
        <w:t>)</w:t>
      </w:r>
      <w:r w:rsidRPr="00E11FC0">
        <w:rPr>
          <w:lang w:val="en-US"/>
        </w:rPr>
        <w:t>.</w:t>
      </w:r>
      <w:r w:rsidR="00593B85" w:rsidRPr="00E11FC0">
        <w:rPr>
          <w:lang w:val="en-US"/>
        </w:rPr>
        <w:br/>
      </w:r>
    </w:p>
    <w:p w:rsidR="00195098" w:rsidRPr="00E11FC0" w:rsidRDefault="00195098">
      <w:pPr>
        <w:rPr>
          <w:lang w:val="en-US"/>
        </w:rPr>
      </w:pPr>
      <w:r w:rsidRPr="00E11FC0">
        <w:rPr>
          <w:lang w:val="en-US"/>
        </w:rPr>
        <w:t>Considerations:</w:t>
      </w:r>
    </w:p>
    <w:p w:rsidR="00C4161E" w:rsidRPr="00E11FC0" w:rsidRDefault="00C4161E" w:rsidP="00C4161E">
      <w:pPr>
        <w:pStyle w:val="Paragraphedeliste"/>
        <w:numPr>
          <w:ilvl w:val="0"/>
          <w:numId w:val="1"/>
        </w:numPr>
        <w:rPr>
          <w:lang w:val="en-GB"/>
        </w:rPr>
      </w:pPr>
      <w:r w:rsidRPr="00E11FC0">
        <w:rPr>
          <w:lang w:val="en-GB"/>
        </w:rPr>
        <w:t xml:space="preserve">It </w:t>
      </w:r>
      <w:r w:rsidR="00390F1E">
        <w:rPr>
          <w:lang w:val="en-GB"/>
        </w:rPr>
        <w:t xml:space="preserve">may be interpreted differently by Approval Authorities and Technical Services </w:t>
      </w:r>
      <w:r w:rsidR="00B16A17" w:rsidRPr="00E11FC0">
        <w:rPr>
          <w:lang w:val="en-GB"/>
        </w:rPr>
        <w:t>whether</w:t>
      </w:r>
      <w:r w:rsidRPr="00E11FC0">
        <w:rPr>
          <w:lang w:val="en-GB"/>
        </w:rPr>
        <w:t xml:space="preserve"> </w:t>
      </w:r>
      <w:r w:rsidRPr="00E11FC0">
        <w:rPr>
          <w:lang w:val="en-US"/>
        </w:rPr>
        <w:t>UN Regulation No. 10 applies to the AEC</w:t>
      </w:r>
      <w:r w:rsidR="0072349F" w:rsidRPr="00E11FC0">
        <w:rPr>
          <w:lang w:val="en-US"/>
        </w:rPr>
        <w:t>D</w:t>
      </w:r>
      <w:r w:rsidRPr="00E11FC0">
        <w:rPr>
          <w:lang w:val="en-US"/>
        </w:rPr>
        <w:t xml:space="preserve"> as an ESA i</w:t>
      </w:r>
      <w:r w:rsidR="00390F1E">
        <w:rPr>
          <w:lang w:val="en-US"/>
        </w:rPr>
        <w:t>n case</w:t>
      </w:r>
      <w:r w:rsidRPr="00E11FC0">
        <w:rPr>
          <w:lang w:val="en-US"/>
        </w:rPr>
        <w:t xml:space="preserve"> the AEC</w:t>
      </w:r>
      <w:r w:rsidR="0072349F" w:rsidRPr="00E11FC0">
        <w:rPr>
          <w:lang w:val="en-US"/>
        </w:rPr>
        <w:t>D</w:t>
      </w:r>
      <w:r w:rsidRPr="00E11FC0">
        <w:rPr>
          <w:lang w:val="en-US"/>
        </w:rPr>
        <w:t xml:space="preserve"> is seen as </w:t>
      </w:r>
      <w:r w:rsidR="00B16A17" w:rsidRPr="00E11FC0">
        <w:rPr>
          <w:lang w:val="en-US"/>
        </w:rPr>
        <w:t>being</w:t>
      </w:r>
      <w:r w:rsidRPr="00E11FC0">
        <w:rPr>
          <w:lang w:val="en-US"/>
        </w:rPr>
        <w:t xml:space="preserve"> </w:t>
      </w:r>
      <w:r w:rsidR="00390F1E">
        <w:rPr>
          <w:lang w:val="en-US"/>
        </w:rPr>
        <w:t xml:space="preserve">a </w:t>
      </w:r>
      <w:r w:rsidRPr="00E11FC0">
        <w:rPr>
          <w:lang w:val="en-US"/>
        </w:rPr>
        <w:t>“passive</w:t>
      </w:r>
      <w:r w:rsidR="00B16A17" w:rsidRPr="00E11FC0">
        <w:rPr>
          <w:lang w:val="en-US"/>
        </w:rPr>
        <w:t>”</w:t>
      </w:r>
      <w:r w:rsidR="00390F1E">
        <w:rPr>
          <w:lang w:val="en-US"/>
        </w:rPr>
        <w:t xml:space="preserve"> device</w:t>
      </w:r>
      <w:r w:rsidR="00B16A17" w:rsidRPr="00E11FC0">
        <w:rPr>
          <w:lang w:val="en-US"/>
        </w:rPr>
        <w:t xml:space="preserve"> (according to </w:t>
      </w:r>
      <w:r w:rsidR="0057734C" w:rsidRPr="00E11FC0">
        <w:rPr>
          <w:lang w:val="en-US"/>
        </w:rPr>
        <w:t>UN Regulation No. 10</w:t>
      </w:r>
      <w:r w:rsidR="0057734C">
        <w:rPr>
          <w:lang w:val="en-US"/>
        </w:rPr>
        <w:t xml:space="preserve"> </w:t>
      </w:r>
      <w:r w:rsidR="00B16A17" w:rsidRPr="00E11FC0">
        <w:rPr>
          <w:lang w:val="en-US"/>
        </w:rPr>
        <w:t>paragraph 3.2.1.).</w:t>
      </w:r>
      <w:r w:rsidR="0057734C">
        <w:rPr>
          <w:lang w:val="en-US"/>
        </w:rPr>
        <w:t xml:space="preserve"> Is there a common </w:t>
      </w:r>
      <w:proofErr w:type="gramStart"/>
      <w:r w:rsidR="0057734C">
        <w:rPr>
          <w:lang w:val="en-US"/>
        </w:rPr>
        <w:t>understanding</w:t>
      </w:r>
      <w:proofErr w:type="gramEnd"/>
      <w:r w:rsidR="0057734C">
        <w:rPr>
          <w:lang w:val="en-US"/>
        </w:rPr>
        <w:t xml:space="preserve"> of “passive” or any definition given somewhere?</w:t>
      </w:r>
      <w:r w:rsidR="00390F1E">
        <w:rPr>
          <w:lang w:val="en-US"/>
        </w:rPr>
        <w:br/>
        <w:t xml:space="preserve">If we regard AECD´s being liable to the effects </w:t>
      </w:r>
      <w:r w:rsidR="0057734C">
        <w:rPr>
          <w:lang w:val="en-US"/>
        </w:rPr>
        <w:t xml:space="preserve">of EMC </w:t>
      </w:r>
      <w:r w:rsidR="00390F1E">
        <w:rPr>
          <w:lang w:val="en-US"/>
        </w:rPr>
        <w:t xml:space="preserve">this should be specifically reflected by the requirements of </w:t>
      </w:r>
      <w:r w:rsidR="00390F1E" w:rsidRPr="00E11FC0">
        <w:rPr>
          <w:lang w:val="en-US"/>
        </w:rPr>
        <w:t>Regulation No. 10</w:t>
      </w:r>
      <w:r w:rsidR="00390F1E">
        <w:rPr>
          <w:lang w:val="en-US"/>
        </w:rPr>
        <w:t xml:space="preserve"> (e.g. by modifying the provisions of this Regulation).</w:t>
      </w:r>
    </w:p>
    <w:p w:rsidR="00B16A17" w:rsidRPr="00E11FC0" w:rsidRDefault="00390F1E" w:rsidP="00B16A17">
      <w:pPr>
        <w:pStyle w:val="Paragraphedeliste"/>
        <w:numPr>
          <w:ilvl w:val="0"/>
          <w:numId w:val="1"/>
        </w:numPr>
        <w:rPr>
          <w:lang w:val="en-GB"/>
        </w:rPr>
      </w:pPr>
      <w:r w:rsidRPr="00E11FC0">
        <w:rPr>
          <w:lang w:val="en-GB"/>
        </w:rPr>
        <w:t xml:space="preserve">It </w:t>
      </w:r>
      <w:r>
        <w:rPr>
          <w:lang w:val="en-GB"/>
        </w:rPr>
        <w:t xml:space="preserve">may be interpreted differently by Approval Authorities and Technical Services </w:t>
      </w:r>
      <w:r w:rsidR="00B16A17" w:rsidRPr="00E11FC0">
        <w:rPr>
          <w:lang w:val="en-GB"/>
        </w:rPr>
        <w:t xml:space="preserve">whether </w:t>
      </w:r>
      <w:r w:rsidR="00B16A17" w:rsidRPr="00E11FC0">
        <w:rPr>
          <w:lang w:val="en-US"/>
        </w:rPr>
        <w:t>UN Regulation No. 10 applies to the AEC</w:t>
      </w:r>
      <w:r w:rsidR="0072349F" w:rsidRPr="00E11FC0">
        <w:rPr>
          <w:lang w:val="en-US"/>
        </w:rPr>
        <w:t>D</w:t>
      </w:r>
      <w:r w:rsidR="00B16A17" w:rsidRPr="00E11FC0">
        <w:rPr>
          <w:lang w:val="en-US"/>
        </w:rPr>
        <w:t xml:space="preserve"> as part of a vehicle approval if th</w:t>
      </w:r>
      <w:r>
        <w:rPr>
          <w:lang w:val="en-US"/>
        </w:rPr>
        <w:t xml:space="preserve">is </w:t>
      </w:r>
      <w:r w:rsidR="00B16A17" w:rsidRPr="00E11FC0">
        <w:rPr>
          <w:lang w:val="en-US"/>
        </w:rPr>
        <w:t>i</w:t>
      </w:r>
      <w:r>
        <w:rPr>
          <w:lang w:val="en-US"/>
        </w:rPr>
        <w:t xml:space="preserve">s seen as not being “relevant” </w:t>
      </w:r>
      <w:r w:rsidR="00B16A17" w:rsidRPr="00E11FC0">
        <w:rPr>
          <w:lang w:val="en-US"/>
        </w:rPr>
        <w:t xml:space="preserve">according to </w:t>
      </w:r>
      <w:r w:rsidRPr="00E11FC0">
        <w:rPr>
          <w:lang w:val="en-US"/>
        </w:rPr>
        <w:t>Regulation No. 10</w:t>
      </w:r>
      <w:r>
        <w:rPr>
          <w:lang w:val="en-US"/>
        </w:rPr>
        <w:t xml:space="preserve"> </w:t>
      </w:r>
      <w:r w:rsidR="00B16A17" w:rsidRPr="00E11FC0">
        <w:rPr>
          <w:lang w:val="en-US"/>
        </w:rPr>
        <w:t>paragraph 3.1.3.</w:t>
      </w:r>
      <w:r w:rsidR="00195098" w:rsidRPr="00E11FC0">
        <w:rPr>
          <w:lang w:val="en-US"/>
        </w:rPr>
        <w:t xml:space="preserve"> </w:t>
      </w:r>
      <w:proofErr w:type="gramStart"/>
      <w:r w:rsidR="00195098" w:rsidRPr="00E11FC0">
        <w:rPr>
          <w:lang w:val="en-US"/>
        </w:rPr>
        <w:t>because</w:t>
      </w:r>
      <w:proofErr w:type="gramEnd"/>
      <w:r w:rsidR="00195098" w:rsidRPr="00E11FC0">
        <w:rPr>
          <w:lang w:val="en-US"/>
        </w:rPr>
        <w:t xml:space="preserve"> i</w:t>
      </w:r>
      <w:r w:rsidR="0072349F" w:rsidRPr="00E11FC0">
        <w:rPr>
          <w:lang w:val="en-US"/>
        </w:rPr>
        <w:t xml:space="preserve">t may not be seen as an “immunity related function” </w:t>
      </w:r>
      <w:r>
        <w:rPr>
          <w:lang w:val="en-US"/>
        </w:rPr>
        <w:t>e.g.</w:t>
      </w:r>
      <w:r w:rsidR="0072349F" w:rsidRPr="00E11FC0">
        <w:rPr>
          <w:lang w:val="en-US"/>
        </w:rPr>
        <w:t xml:space="preserve"> “related to driver, passenger and other road user protection” (according to paragraph 2.12.(b)).</w:t>
      </w:r>
      <w:r w:rsidR="00B436B4">
        <w:rPr>
          <w:lang w:val="en-US"/>
        </w:rPr>
        <w:br/>
        <w:t xml:space="preserve">This may be solved by amending </w:t>
      </w:r>
      <w:r w:rsidR="00B436B4" w:rsidRPr="00E11FC0">
        <w:rPr>
          <w:lang w:val="en-US"/>
        </w:rPr>
        <w:t>Regulation No. 10</w:t>
      </w:r>
      <w:r w:rsidR="00B436B4">
        <w:rPr>
          <w:lang w:val="en-US"/>
        </w:rPr>
        <w:t xml:space="preserve"> </w:t>
      </w:r>
      <w:r w:rsidR="00B436B4" w:rsidRPr="00E11FC0">
        <w:rPr>
          <w:lang w:val="en-US"/>
        </w:rPr>
        <w:t>paragraph 3.1.3.</w:t>
      </w:r>
      <w:r w:rsidR="0057734C">
        <w:rPr>
          <w:lang w:val="en-US"/>
        </w:rPr>
        <w:t xml:space="preserve"> and/or 2.12.</w:t>
      </w:r>
    </w:p>
    <w:p w:rsidR="0072349F" w:rsidRPr="00E11FC0" w:rsidRDefault="00195098" w:rsidP="00B16A17">
      <w:pPr>
        <w:pStyle w:val="Paragraphedeliste"/>
        <w:numPr>
          <w:ilvl w:val="0"/>
          <w:numId w:val="1"/>
        </w:numPr>
        <w:rPr>
          <w:lang w:val="en-GB"/>
        </w:rPr>
      </w:pPr>
      <w:r w:rsidRPr="00E11FC0">
        <w:rPr>
          <w:lang w:val="en-US"/>
        </w:rPr>
        <w:t xml:space="preserve">The </w:t>
      </w:r>
      <w:r w:rsidR="00D57D5E" w:rsidRPr="00E11FC0">
        <w:rPr>
          <w:lang w:val="en-US"/>
        </w:rPr>
        <w:t xml:space="preserve">immunity </w:t>
      </w:r>
      <w:r w:rsidRPr="00E11FC0">
        <w:rPr>
          <w:lang w:val="en-US"/>
        </w:rPr>
        <w:t>requirement</w:t>
      </w:r>
      <w:r w:rsidR="00390F1E">
        <w:rPr>
          <w:lang w:val="en-US"/>
        </w:rPr>
        <w:t>s</w:t>
      </w:r>
      <w:r w:rsidRPr="00E11FC0">
        <w:rPr>
          <w:lang w:val="en-US"/>
        </w:rPr>
        <w:t xml:space="preserve"> </w:t>
      </w:r>
      <w:r w:rsidR="00D57D5E" w:rsidRPr="00E11FC0">
        <w:rPr>
          <w:lang w:val="en-US"/>
        </w:rPr>
        <w:t xml:space="preserve">of UN Regulation No. 10 </w:t>
      </w:r>
      <w:r w:rsidR="00390F1E">
        <w:rPr>
          <w:lang w:val="en-US"/>
        </w:rPr>
        <w:t>relate to</w:t>
      </w:r>
      <w:proofErr w:type="gramStart"/>
      <w:r w:rsidR="00D57D5E" w:rsidRPr="00E11FC0">
        <w:rPr>
          <w:lang w:val="en-US"/>
        </w:rPr>
        <w:t>:</w:t>
      </w:r>
      <w:proofErr w:type="gramEnd"/>
      <w:r w:rsidR="00D57D5E" w:rsidRPr="00E11FC0">
        <w:rPr>
          <w:lang w:val="en-US"/>
        </w:rPr>
        <w:br/>
        <w:t>- for a vehicle type</w:t>
      </w:r>
      <w:r w:rsidR="00B50F02">
        <w:rPr>
          <w:lang w:val="en-US"/>
        </w:rPr>
        <w:t>,</w:t>
      </w:r>
      <w:r w:rsidRPr="00E11FC0">
        <w:rPr>
          <w:rFonts w:cs="Arial"/>
          <w:lang w:val="en-GB"/>
        </w:rPr>
        <w:t xml:space="preserve"> </w:t>
      </w:r>
      <w:r w:rsidR="00B50F02">
        <w:rPr>
          <w:rFonts w:cs="Arial"/>
          <w:lang w:val="en-GB"/>
        </w:rPr>
        <w:t>paragraph 6.4.2.2.: “</w:t>
      </w:r>
      <w:r w:rsidRPr="00E11FC0">
        <w:rPr>
          <w:rFonts w:cs="Arial"/>
          <w:lang w:val="en-GB"/>
        </w:rPr>
        <w:t xml:space="preserve">no degradation of performance </w:t>
      </w:r>
      <w:r w:rsidR="00B81A56" w:rsidRPr="00E11FC0">
        <w:rPr>
          <w:rFonts w:cs="Arial"/>
          <w:lang w:val="en-GB"/>
        </w:rPr>
        <w:t xml:space="preserve">of immunity related </w:t>
      </w:r>
      <w:r w:rsidR="00B50F02">
        <w:rPr>
          <w:rFonts w:cs="Arial"/>
          <w:lang w:val="en-GB"/>
        </w:rPr>
        <w:br/>
        <w:t xml:space="preserve">  </w:t>
      </w:r>
      <w:r w:rsidR="00B81A56" w:rsidRPr="00E11FC0">
        <w:rPr>
          <w:rFonts w:cs="Arial"/>
          <w:lang w:val="en-GB"/>
        </w:rPr>
        <w:t>functions</w:t>
      </w:r>
      <w:r w:rsidRPr="00E11FC0">
        <w:rPr>
          <w:rFonts w:cs="Arial"/>
          <w:lang w:val="en-GB"/>
        </w:rPr>
        <w:t xml:space="preserve"> according to paragraph 2.1. </w:t>
      </w:r>
      <w:proofErr w:type="gramStart"/>
      <w:r w:rsidRPr="00E11FC0">
        <w:rPr>
          <w:rFonts w:cs="Arial"/>
          <w:lang w:val="en-GB"/>
        </w:rPr>
        <w:t>of</w:t>
      </w:r>
      <w:proofErr w:type="gramEnd"/>
      <w:r w:rsidRPr="00E11FC0">
        <w:rPr>
          <w:rFonts w:cs="Arial"/>
          <w:lang w:val="en-GB"/>
        </w:rPr>
        <w:t xml:space="preserve"> Annex 6</w:t>
      </w:r>
      <w:r w:rsidR="00B81A56" w:rsidRPr="00E11FC0">
        <w:rPr>
          <w:rFonts w:cs="Arial"/>
          <w:lang w:val="en-GB"/>
        </w:rPr>
        <w:t>” (</w:t>
      </w:r>
      <w:r w:rsidR="00390F1E">
        <w:rPr>
          <w:rFonts w:cs="Arial"/>
          <w:lang w:val="en-GB"/>
        </w:rPr>
        <w:t xml:space="preserve">meaning </w:t>
      </w:r>
      <w:r w:rsidR="00B81A56" w:rsidRPr="00E11FC0">
        <w:rPr>
          <w:rFonts w:cs="Arial"/>
          <w:lang w:val="en-GB"/>
        </w:rPr>
        <w:t xml:space="preserve">related to the direct control of </w:t>
      </w:r>
      <w:r w:rsidR="00B50F02">
        <w:rPr>
          <w:rFonts w:cs="Arial"/>
          <w:lang w:val="en-GB"/>
        </w:rPr>
        <w:br/>
        <w:t xml:space="preserve">  </w:t>
      </w:r>
      <w:r w:rsidR="00B81A56" w:rsidRPr="00E11FC0">
        <w:rPr>
          <w:rFonts w:cs="Arial"/>
          <w:lang w:val="en-GB"/>
        </w:rPr>
        <w:t>the vehicle)</w:t>
      </w:r>
      <w:r w:rsidR="00B436B4">
        <w:rPr>
          <w:rFonts w:cs="Arial"/>
          <w:lang w:val="en-GB"/>
        </w:rPr>
        <w:t>,</w:t>
      </w:r>
      <w:r w:rsidR="00D57D5E" w:rsidRPr="00E11FC0">
        <w:rPr>
          <w:rFonts w:cs="Arial"/>
          <w:lang w:val="en-GB"/>
        </w:rPr>
        <w:br/>
      </w:r>
      <w:r w:rsidR="00D57D5E" w:rsidRPr="00E11FC0">
        <w:rPr>
          <w:lang w:val="en-US"/>
        </w:rPr>
        <w:t>- for an ESA type</w:t>
      </w:r>
      <w:r w:rsidR="00B50F02">
        <w:rPr>
          <w:lang w:val="en-US"/>
        </w:rPr>
        <w:t>,</w:t>
      </w:r>
      <w:r w:rsidR="00B50F02" w:rsidRPr="00E11FC0">
        <w:rPr>
          <w:rFonts w:cs="Arial"/>
          <w:lang w:val="en-GB"/>
        </w:rPr>
        <w:t xml:space="preserve"> </w:t>
      </w:r>
      <w:r w:rsidR="00B50F02">
        <w:rPr>
          <w:rFonts w:cs="Arial"/>
          <w:lang w:val="en-GB"/>
        </w:rPr>
        <w:t>paragraph 6.8.2.2.</w:t>
      </w:r>
      <w:r w:rsidR="00D57D5E" w:rsidRPr="00E11FC0">
        <w:rPr>
          <w:lang w:val="en-US"/>
        </w:rPr>
        <w:t>:</w:t>
      </w:r>
      <w:r w:rsidR="00D57D5E" w:rsidRPr="00E11FC0">
        <w:rPr>
          <w:rFonts w:cs="Arial"/>
          <w:lang w:val="en-GB"/>
        </w:rPr>
        <w:t xml:space="preserve"> </w:t>
      </w:r>
      <w:r w:rsidR="00B50F02">
        <w:rPr>
          <w:rFonts w:cs="Arial"/>
          <w:lang w:val="en-GB"/>
        </w:rPr>
        <w:t>“</w:t>
      </w:r>
      <w:r w:rsidR="00D57D5E" w:rsidRPr="00E11FC0">
        <w:rPr>
          <w:rFonts w:cs="Arial"/>
          <w:lang w:val="en-GB"/>
        </w:rPr>
        <w:t xml:space="preserve">no degradation of performance of immunity related </w:t>
      </w:r>
      <w:r w:rsidR="00B50F02">
        <w:rPr>
          <w:rFonts w:cs="Arial"/>
          <w:lang w:val="en-GB"/>
        </w:rPr>
        <w:br/>
        <w:t xml:space="preserve">  </w:t>
      </w:r>
      <w:r w:rsidR="00D57D5E" w:rsidRPr="00E11FC0">
        <w:rPr>
          <w:rFonts w:cs="Arial"/>
          <w:lang w:val="en-GB"/>
        </w:rPr>
        <w:t>functions".</w:t>
      </w:r>
      <w:r w:rsidR="00D57D5E" w:rsidRPr="00E11FC0">
        <w:rPr>
          <w:rFonts w:cs="Arial"/>
          <w:lang w:val="en-GB"/>
        </w:rPr>
        <w:br/>
      </w:r>
      <w:r w:rsidR="00B50F02">
        <w:rPr>
          <w:rFonts w:cs="Arial"/>
          <w:lang w:val="en-GB"/>
        </w:rPr>
        <w:t>“I</w:t>
      </w:r>
      <w:r w:rsidR="00B50F02" w:rsidRPr="00E11FC0">
        <w:rPr>
          <w:rFonts w:cs="Arial"/>
          <w:lang w:val="en-GB"/>
        </w:rPr>
        <w:t>mmunity related functions"</w:t>
      </w:r>
      <w:r w:rsidR="00B50F02">
        <w:rPr>
          <w:rFonts w:cs="Arial"/>
          <w:lang w:val="en-GB"/>
        </w:rPr>
        <w:t xml:space="preserve"> (acc. to par. 2.12) relate to the vehicle and not to the</w:t>
      </w:r>
      <w:r w:rsidR="00D71889">
        <w:rPr>
          <w:rFonts w:cs="Arial"/>
          <w:lang w:val="en-GB"/>
        </w:rPr>
        <w:t xml:space="preserve"> </w:t>
      </w:r>
      <w:r w:rsidR="00B50F02">
        <w:rPr>
          <w:rFonts w:cs="Arial"/>
          <w:lang w:val="en-GB"/>
        </w:rPr>
        <w:t>functioning of the device itself when exposed to electromagnetic fields.</w:t>
      </w:r>
      <w:r w:rsidR="00B50F02">
        <w:rPr>
          <w:rFonts w:cs="Arial"/>
          <w:lang w:val="en-GB"/>
        </w:rPr>
        <w:br/>
        <w:t>Therefore t</w:t>
      </w:r>
      <w:r w:rsidR="00B81A56" w:rsidRPr="00E11FC0">
        <w:rPr>
          <w:rFonts w:cs="Arial"/>
          <w:lang w:val="en-GB"/>
        </w:rPr>
        <w:t xml:space="preserve">here is no </w:t>
      </w:r>
      <w:r w:rsidR="00390F1E">
        <w:rPr>
          <w:rFonts w:cs="Arial"/>
          <w:lang w:val="en-GB"/>
        </w:rPr>
        <w:t xml:space="preserve">clear </w:t>
      </w:r>
      <w:r w:rsidR="00B81A56" w:rsidRPr="00E11FC0">
        <w:rPr>
          <w:rFonts w:cs="Arial"/>
          <w:lang w:val="en-GB"/>
        </w:rPr>
        <w:t xml:space="preserve">requirement in UN Regulation No. 10 related to the proper functioning of the AECD where it concerns </w:t>
      </w:r>
      <w:r w:rsidR="00CA7977" w:rsidRPr="00E11FC0">
        <w:rPr>
          <w:rFonts w:cs="Arial"/>
          <w:lang w:val="en-GB"/>
        </w:rPr>
        <w:t>establishing voice communication and transmission of data</w:t>
      </w:r>
      <w:r w:rsidR="00390F1E">
        <w:rPr>
          <w:rFonts w:cs="Arial"/>
          <w:lang w:val="en-GB"/>
        </w:rPr>
        <w:t xml:space="preserve"> after an accident in an area having electromagnetic disturbances</w:t>
      </w:r>
      <w:r w:rsidR="00CA7977" w:rsidRPr="00E11FC0">
        <w:rPr>
          <w:rFonts w:cs="Arial"/>
          <w:lang w:val="en-GB"/>
        </w:rPr>
        <w:t xml:space="preserve">. This means that the AECD can fulfil the requirements of UN Regulation No. 10 but does not </w:t>
      </w:r>
      <w:r w:rsidR="00CA7977" w:rsidRPr="00E11FC0">
        <w:rPr>
          <w:rFonts w:cs="Arial"/>
          <w:lang w:val="en-GB"/>
        </w:rPr>
        <w:lastRenderedPageBreak/>
        <w:t xml:space="preserve">function </w:t>
      </w:r>
      <w:r w:rsidR="00390F1E">
        <w:rPr>
          <w:rFonts w:cs="Arial"/>
          <w:lang w:val="en-GB"/>
        </w:rPr>
        <w:t xml:space="preserve">after an accident </w:t>
      </w:r>
      <w:r w:rsidR="00CA7977" w:rsidRPr="00E11FC0">
        <w:rPr>
          <w:rFonts w:cs="Arial"/>
          <w:lang w:val="en-GB"/>
        </w:rPr>
        <w:t xml:space="preserve">(no voice communication / transmission of data) when the device or vehicle is exposed to </w:t>
      </w:r>
      <w:r w:rsidR="00E11FC0" w:rsidRPr="00E11FC0">
        <w:rPr>
          <w:rFonts w:cs="Arial"/>
          <w:lang w:val="en-GB"/>
        </w:rPr>
        <w:t>electromagnetic disturbances.</w:t>
      </w:r>
      <w:r w:rsidR="00E11FC0" w:rsidRPr="00E11FC0">
        <w:rPr>
          <w:rFonts w:cs="Arial"/>
          <w:lang w:val="en-GB"/>
        </w:rPr>
        <w:br/>
        <w:t xml:space="preserve">It therefore needs consideration </w:t>
      </w:r>
      <w:r w:rsidR="00390F1E">
        <w:rPr>
          <w:rFonts w:cs="Arial"/>
          <w:lang w:val="en-GB"/>
        </w:rPr>
        <w:t xml:space="preserve">whether </w:t>
      </w:r>
      <w:r w:rsidR="00E11FC0" w:rsidRPr="00E11FC0">
        <w:rPr>
          <w:rFonts w:cs="Arial"/>
          <w:lang w:val="en-GB"/>
        </w:rPr>
        <w:t>to include specific requirements in either</w:t>
      </w:r>
      <w:proofErr w:type="gramStart"/>
      <w:r w:rsidR="00E11FC0" w:rsidRPr="00E11FC0">
        <w:rPr>
          <w:rFonts w:cs="Arial"/>
          <w:lang w:val="en-GB"/>
        </w:rPr>
        <w:t>:</w:t>
      </w:r>
      <w:proofErr w:type="gramEnd"/>
      <w:r w:rsidR="00E11FC0" w:rsidRPr="00E11FC0">
        <w:rPr>
          <w:rFonts w:cs="Arial"/>
          <w:lang w:val="en-GB"/>
        </w:rPr>
        <w:br/>
        <w:t xml:space="preserve">- UN Regulation No. 10, e.g. </w:t>
      </w:r>
      <w:r w:rsidR="00390F1E">
        <w:rPr>
          <w:rFonts w:cs="Arial"/>
          <w:lang w:val="en-GB"/>
        </w:rPr>
        <w:t xml:space="preserve">by amending </w:t>
      </w:r>
      <w:r w:rsidR="00E11FC0" w:rsidRPr="00E11FC0">
        <w:rPr>
          <w:rFonts w:cs="Arial"/>
          <w:lang w:val="en-GB"/>
        </w:rPr>
        <w:t xml:space="preserve">paragraph 2.12 (definitions of "Immunity related </w:t>
      </w:r>
      <w:r w:rsidR="00390F1E">
        <w:rPr>
          <w:rFonts w:cs="Arial"/>
          <w:lang w:val="en-GB"/>
        </w:rPr>
        <w:br/>
        <w:t xml:space="preserve">  </w:t>
      </w:r>
      <w:r w:rsidR="00E11FC0" w:rsidRPr="00E11FC0">
        <w:rPr>
          <w:rFonts w:cs="Arial"/>
          <w:lang w:val="en-GB"/>
        </w:rPr>
        <w:t>functions"), or</w:t>
      </w:r>
      <w:r w:rsidR="00B81A56" w:rsidRPr="00E11FC0">
        <w:rPr>
          <w:rFonts w:cs="Arial"/>
          <w:lang w:val="en-GB"/>
        </w:rPr>
        <w:br/>
      </w:r>
      <w:r w:rsidR="00E11FC0" w:rsidRPr="00E11FC0">
        <w:rPr>
          <w:rFonts w:cs="Arial"/>
          <w:lang w:val="en-GB"/>
        </w:rPr>
        <w:t xml:space="preserve">- </w:t>
      </w:r>
      <w:r w:rsidR="009F1FCE">
        <w:rPr>
          <w:rFonts w:cs="Arial"/>
          <w:lang w:val="en-GB"/>
        </w:rPr>
        <w:t xml:space="preserve">in </w:t>
      </w:r>
      <w:r w:rsidR="00390F1E">
        <w:rPr>
          <w:rFonts w:cs="Arial"/>
          <w:lang w:val="en-GB"/>
        </w:rPr>
        <w:t>t</w:t>
      </w:r>
      <w:r w:rsidR="00E11FC0" w:rsidRPr="00E11FC0">
        <w:rPr>
          <w:rFonts w:cs="Arial"/>
          <w:lang w:val="en-GB"/>
        </w:rPr>
        <w:t>he draft Regulation on AECD</w:t>
      </w:r>
      <w:r w:rsidR="00390F1E">
        <w:rPr>
          <w:rFonts w:cs="Arial"/>
          <w:lang w:val="en-GB"/>
        </w:rPr>
        <w:t>, Part III</w:t>
      </w:r>
      <w:r w:rsidR="00E11FC0" w:rsidRPr="00E11FC0">
        <w:rPr>
          <w:rFonts w:cs="Arial"/>
          <w:lang w:val="en-GB"/>
        </w:rPr>
        <w:t>.</w:t>
      </w:r>
    </w:p>
    <w:p w:rsidR="009F1FCE" w:rsidRPr="009F1FCE" w:rsidRDefault="00E11FC0" w:rsidP="009F1FCE">
      <w:pPr>
        <w:pStyle w:val="Paragraphedeliste"/>
        <w:numPr>
          <w:ilvl w:val="0"/>
          <w:numId w:val="1"/>
        </w:numPr>
        <w:rPr>
          <w:lang w:val="en-GB"/>
        </w:rPr>
      </w:pPr>
      <w:r w:rsidRPr="00E11FC0">
        <w:rPr>
          <w:rFonts w:cs="Arial"/>
          <w:lang w:val="en-GB"/>
        </w:rPr>
        <w:t xml:space="preserve">If we regard </w:t>
      </w:r>
      <w:r w:rsidR="00390F1E">
        <w:rPr>
          <w:rFonts w:cs="Arial"/>
          <w:lang w:val="en-GB"/>
        </w:rPr>
        <w:t>amendments</w:t>
      </w:r>
      <w:r w:rsidRPr="00E11FC0">
        <w:rPr>
          <w:rFonts w:cs="Arial"/>
          <w:lang w:val="en-GB"/>
        </w:rPr>
        <w:t>, as indicated in item 3 above</w:t>
      </w:r>
      <w:r w:rsidR="009F1FCE">
        <w:rPr>
          <w:rFonts w:cs="Arial"/>
          <w:lang w:val="en-GB"/>
        </w:rPr>
        <w:t>,</w:t>
      </w:r>
      <w:r w:rsidRPr="00E11FC0">
        <w:rPr>
          <w:rFonts w:cs="Arial"/>
          <w:lang w:val="en-GB"/>
        </w:rPr>
        <w:t xml:space="preserve"> necessary, it need</w:t>
      </w:r>
      <w:r w:rsidR="00B436B4">
        <w:rPr>
          <w:rFonts w:cs="Arial"/>
          <w:lang w:val="en-GB"/>
        </w:rPr>
        <w:t>s</w:t>
      </w:r>
      <w:r w:rsidRPr="00E11FC0">
        <w:rPr>
          <w:rFonts w:cs="Arial"/>
          <w:lang w:val="en-GB"/>
        </w:rPr>
        <w:t xml:space="preserve"> to be considere</w:t>
      </w:r>
      <w:r w:rsidR="00390F1E">
        <w:rPr>
          <w:rFonts w:cs="Arial"/>
          <w:lang w:val="en-GB"/>
        </w:rPr>
        <w:t>d</w:t>
      </w:r>
      <w:r w:rsidRPr="00E11FC0">
        <w:rPr>
          <w:rFonts w:cs="Arial"/>
          <w:lang w:val="en-GB"/>
        </w:rPr>
        <w:t xml:space="preserve"> how this can be tested, (establishing voice communication / transmission of data w</w:t>
      </w:r>
      <w:r w:rsidR="00390F1E">
        <w:rPr>
          <w:rFonts w:cs="Arial"/>
          <w:lang w:val="en-GB"/>
        </w:rPr>
        <w:t>hen</w:t>
      </w:r>
      <w:r w:rsidRPr="00E11FC0">
        <w:rPr>
          <w:rFonts w:cs="Arial"/>
          <w:lang w:val="en-GB"/>
        </w:rPr>
        <w:t xml:space="preserve"> exposed to electromagnetic disturbances in an anechoic chamber or cell).</w:t>
      </w:r>
    </w:p>
    <w:sectPr w:rsidR="009F1FCE" w:rsidRPr="009F1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E9" w:rsidRDefault="000C43E9" w:rsidP="009F1FCE">
      <w:pPr>
        <w:spacing w:after="0" w:line="240" w:lineRule="auto"/>
      </w:pPr>
      <w:r>
        <w:separator/>
      </w:r>
    </w:p>
  </w:endnote>
  <w:endnote w:type="continuationSeparator" w:id="0">
    <w:p w:rsidR="000C43E9" w:rsidRDefault="000C43E9" w:rsidP="009F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A5" w:rsidRDefault="001676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472098"/>
      <w:docPartObj>
        <w:docPartGallery w:val="Page Numbers (Bottom of Page)"/>
        <w:docPartUnique/>
      </w:docPartObj>
    </w:sdtPr>
    <w:sdtEndPr/>
    <w:sdtContent>
      <w:p w:rsidR="009F1FCE" w:rsidRDefault="009F1F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A5">
          <w:rPr>
            <w:noProof/>
          </w:rPr>
          <w:t>1</w:t>
        </w:r>
        <w:r>
          <w:fldChar w:fldCharType="end"/>
        </w:r>
      </w:p>
    </w:sdtContent>
  </w:sdt>
  <w:p w:rsidR="009F1FCE" w:rsidRDefault="009F1FC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A5" w:rsidRDefault="001676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E9" w:rsidRDefault="000C43E9" w:rsidP="009F1FCE">
      <w:pPr>
        <w:spacing w:after="0" w:line="240" w:lineRule="auto"/>
      </w:pPr>
      <w:r>
        <w:separator/>
      </w:r>
    </w:p>
  </w:footnote>
  <w:footnote w:type="continuationSeparator" w:id="0">
    <w:p w:rsidR="000C43E9" w:rsidRDefault="000C43E9" w:rsidP="009F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A5" w:rsidRDefault="001676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E" w:rsidRPr="009F1FCE" w:rsidRDefault="009F1FCE">
    <w:pPr>
      <w:pStyle w:val="En-tte"/>
      <w:rPr>
        <w:lang w:val="en-GB"/>
      </w:rPr>
    </w:pPr>
    <w:r w:rsidRPr="009F1FCE">
      <w:rPr>
        <w:lang w:val="en-GB"/>
      </w:rPr>
      <w:t>Submitted by the expert from The Netherlands</w:t>
    </w:r>
    <w:r>
      <w:rPr>
        <w:lang w:val="en-GB"/>
      </w:rPr>
      <w:tab/>
    </w:r>
    <w:r>
      <w:rPr>
        <w:lang w:val="en-GB"/>
      </w:rPr>
      <w:tab/>
      <w:t xml:space="preserve">doc. no. </w:t>
    </w:r>
    <w:r w:rsidR="001676A5">
      <w:rPr>
        <w:lang w:val="en-GB"/>
      </w:rPr>
      <w:t>A</w:t>
    </w:r>
    <w:bookmarkStart w:id="0" w:name="_GoBack"/>
    <w:bookmarkEnd w:id="0"/>
    <w:r w:rsidR="001676A5">
      <w:rPr>
        <w:lang w:val="en-GB"/>
      </w:rPr>
      <w:t>ECS-09-06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A5" w:rsidRDefault="001676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0AE8"/>
    <w:multiLevelType w:val="hybridMultilevel"/>
    <w:tmpl w:val="E95E6B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1E"/>
    <w:rsid w:val="000B14A1"/>
    <w:rsid w:val="000B4A88"/>
    <w:rsid w:val="000C43E9"/>
    <w:rsid w:val="001676A5"/>
    <w:rsid w:val="00195098"/>
    <w:rsid w:val="002454FE"/>
    <w:rsid w:val="00297945"/>
    <w:rsid w:val="0036426A"/>
    <w:rsid w:val="00390F1E"/>
    <w:rsid w:val="004509C4"/>
    <w:rsid w:val="0057734C"/>
    <w:rsid w:val="00593B85"/>
    <w:rsid w:val="0072349F"/>
    <w:rsid w:val="008D3E89"/>
    <w:rsid w:val="009F1FCE"/>
    <w:rsid w:val="00B16A17"/>
    <w:rsid w:val="00B436B4"/>
    <w:rsid w:val="00B50F02"/>
    <w:rsid w:val="00B55BC7"/>
    <w:rsid w:val="00B81A56"/>
    <w:rsid w:val="00BF2BD8"/>
    <w:rsid w:val="00C4161E"/>
    <w:rsid w:val="00CA7977"/>
    <w:rsid w:val="00D57D5E"/>
    <w:rsid w:val="00D71889"/>
    <w:rsid w:val="00DC45EF"/>
    <w:rsid w:val="00E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DE62D-A39C-4A75-A81E-62070289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6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FCE"/>
  </w:style>
  <w:style w:type="paragraph" w:styleId="Pieddepage">
    <w:name w:val="footer"/>
    <w:basedOn w:val="Normal"/>
    <w:link w:val="PieddepageCar"/>
    <w:uiPriority w:val="99"/>
    <w:unhideWhenUsed/>
    <w:rsid w:val="009F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RDW Voertuiginformatie en -toelating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Guiting, Tim</dc:creator>
  <cp:lastModifiedBy>Olivier FONTAINE</cp:lastModifiedBy>
  <cp:revision>3</cp:revision>
  <dcterms:created xsi:type="dcterms:W3CDTF">2015-07-06T09:40:00Z</dcterms:created>
  <dcterms:modified xsi:type="dcterms:W3CDTF">2015-07-06T09:41:00Z</dcterms:modified>
</cp:coreProperties>
</file>