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506C" w:rsidRPr="00A142BC" w:rsidRDefault="002A5E7A">
      <w:pPr>
        <w:rPr>
          <w:b/>
          <w:sz w:val="24"/>
        </w:rPr>
      </w:pPr>
      <w:r w:rsidRPr="00A142BC">
        <w:rPr>
          <w:b/>
          <w:sz w:val="24"/>
        </w:rPr>
        <w:t>CLIV Session 5 Day 2 Meeting Minutes</w:t>
      </w:r>
    </w:p>
    <w:p w:rsidR="00B53B7B" w:rsidRDefault="002A5E7A">
      <w:r>
        <w:t xml:space="preserve">The Chair welcomed the attendees and stressed that Day 2 would be largely about countermeasures for CLIV and that some outcomes would be determined. </w:t>
      </w:r>
      <w:r w:rsidR="00B53B7B">
        <w:t>Initially, bus CLIV countermeasures would be discussed, followed by light vehicle CLIV countermeasure.</w:t>
      </w:r>
    </w:p>
    <w:p w:rsidR="00B53B7B" w:rsidRDefault="002A5E7A">
      <w:r>
        <w:t xml:space="preserve">South Korean representatives and the </w:t>
      </w:r>
      <w:r w:rsidR="00294E83">
        <w:t xml:space="preserve">Australian </w:t>
      </w:r>
      <w:r>
        <w:t xml:space="preserve">Bus Industry Confederation presented countermeasures for preventing CLIV in buses. </w:t>
      </w:r>
      <w:r w:rsidR="00294E83">
        <w:t>Korea’s presentation categorised countermeasures into physical driver checks, indirect and direct detection of occupants. There were mentions in both presentations about obligations in their respective countries to install checking alarms that go off after a particular amount of time (contractual in Australia, regulatory in Korea)</w:t>
      </w:r>
      <w:r w:rsidR="00B53B7B">
        <w:t>, as well as costs for such systems</w:t>
      </w:r>
      <w:r w:rsidR="00294E83">
        <w:t xml:space="preserve">. </w:t>
      </w:r>
      <w:r w:rsidR="00B53B7B">
        <w:t>Driver training was raised as an aspect in both cases. While there was discussion of any equivalent light vehicle method, including the off switch for servicing, it was agreed that any easily turned off system would be misused. Both raised the importance of reliable, effective systems with false alarm considerations were preferred. There was agreement that duration of and until warnings be considered, training be domestic, systems capable of activating for a sufficient time and an off switch for servicing requirements. Other contracting parties shared retro fitment capabilities</w:t>
      </w:r>
      <w:r w:rsidR="00D729D9">
        <w:t>, that existing seatbelt reminder sensitivity couldn’t detect children</w:t>
      </w:r>
      <w:r w:rsidR="00B53B7B">
        <w:t xml:space="preserve"> and information about the target age groups. </w:t>
      </w:r>
    </w:p>
    <w:p w:rsidR="00B53B7B" w:rsidRDefault="00B53B7B">
      <w:r>
        <w:t>The Chair raised the agenda item “</w:t>
      </w:r>
      <w:r w:rsidRPr="00B53B7B">
        <w:t>Feasibility, Drawbacks and Consensus on Countermeasures for Buses</w:t>
      </w:r>
      <w:r>
        <w:t>.” Korea, China and Australia agreed this solution was simple, efficient and easily applicable. The Canadian representative</w:t>
      </w:r>
      <w:r w:rsidR="00D729D9">
        <w:t xml:space="preserve"> agreed that a simple low-cost solution is something the attendees can all support. The US representative raised misuse/abuse of the system was important, including turning off or not checking for children. There was agreement that misuse is up to the responsibility of the driver, and not under WP.29 to consider in this specific instance. </w:t>
      </w:r>
    </w:p>
    <w:p w:rsidR="00D729D9" w:rsidRDefault="00115C01">
      <w:r>
        <w:t xml:space="preserve">The Chair announced that the meeting would begin looking at light vehicle countermeasures. </w:t>
      </w:r>
      <w:r w:rsidR="00D729D9">
        <w:t xml:space="preserve">Australia presented </w:t>
      </w:r>
      <w:r>
        <w:t>its</w:t>
      </w:r>
      <w:r w:rsidR="00D729D9">
        <w:t xml:space="preserve"> findings on countermeasures, including principles for countermeasures, existing protocols, CLIV system testing methods/dummies, types of sensors, false alarm rates and estimated costs of </w:t>
      </w:r>
      <w:r w:rsidR="000A6552">
        <w:t xml:space="preserve">Hyundai Motor Group </w:t>
      </w:r>
      <w:r w:rsidR="00D729D9">
        <w:t>direct sensing systems in the document “</w:t>
      </w:r>
      <w:r w:rsidR="00B43A35" w:rsidRPr="00B43A35">
        <w:t xml:space="preserve">Australia </w:t>
      </w:r>
      <w:proofErr w:type="spellStart"/>
      <w:r w:rsidR="00B43A35" w:rsidRPr="00B43A35">
        <w:t>ToR</w:t>
      </w:r>
      <w:proofErr w:type="spellEnd"/>
      <w:r w:rsidR="00B43A35" w:rsidRPr="00B43A35">
        <w:t xml:space="preserve"> Q1-5 IWG CLIV 5-4-Rev1e</w:t>
      </w:r>
      <w:r>
        <w:t xml:space="preserve">” The Vice-chairs presented their findings. The three presentations were largely similar. Euro NCAP presented how </w:t>
      </w:r>
      <w:r w:rsidR="00B43A35">
        <w:t>its</w:t>
      </w:r>
      <w:r>
        <w:t xml:space="preserve"> protocol works currently and into the future, as well as existing conflicts with UN Regulations in their protocol.</w:t>
      </w:r>
      <w:r w:rsidR="000A6552">
        <w:t xml:space="preserve"> They displayed a scientific journal paper that found 83% of Americans are willing to pay for technology to prevent CLIV, and that interventions and reductions of false positive rates must be considered. Breathing rate profiles were questioned by the US representative, which were confirmed by academic papers. CPD dummies were discussed.</w:t>
      </w:r>
    </w:p>
    <w:p w:rsidR="000A6552" w:rsidRDefault="000A6552">
      <w:r>
        <w:t>A Korean OEM representative from Hyundai Motor group presented their ultrasonic and radar-based technology to directly detect CLIV. No guides for cost were given, and these systems couldn’t address gained access scenarios. The USA representative raised that footwells couldn’t be seen, confirmed by the Hyundai representative. The Australian representative raised if this was only due to positioning and the system could see the footwell with appropriate positioning, confirmed by the representative. Maximum duration was estimated at 10 minutes on battery power.</w:t>
      </w:r>
    </w:p>
    <w:p w:rsidR="00FA11B0" w:rsidRDefault="00FA11B0">
      <w:r>
        <w:t xml:space="preserve">The Chair raised the agenda item “Discussion and Debate Surrounding Future Regulation Development.” Korea, China and Australia agreed there was sufficient countermeasures data and information on technical solutions to pursue regulation. The Canadian representative raised that there is sufficient information, but to go to GRSP to finalise a decision. The US representative said they needed to take the information back to their colleagues, and that a UNR or GTR has potential, </w:t>
      </w:r>
      <w:r>
        <w:lastRenderedPageBreak/>
        <w:t>but they need further clarification on the inclusions in that possible regulation</w:t>
      </w:r>
      <w:r w:rsidR="00EF1C7F">
        <w:t>. This was answered by multiple attendees to be determined only after the IWG and GRSP decides to regulate. The Chair sought agreement from the US representative on if the IWG gathered enough information. The US representative agreed we gathered enough information. The attendees agreed to proposal that the United States and Canada return to a more concrete position in CLIV Session 6.</w:t>
      </w:r>
    </w:p>
    <w:p w:rsidR="00EF1C7F" w:rsidRDefault="00EF1C7F">
      <w:r>
        <w:t>The attendees agreed to pursue two regulations; one for heavy vehicles/buses. The Chair and Vice-chairs agreed to pursue a UNR and GTR. Online OICA representatives raised and agreed that GRSG could be given the ability to attend CLIV discussions.</w:t>
      </w:r>
    </w:p>
    <w:p w:rsidR="00EF1C7F" w:rsidRDefault="00EF1C7F">
      <w:r>
        <w:t>There was debate about whether to proceed with Phase 2. The Chair and Vice-chair agreed. The US representative responded that we recognise the guidelines of the Phase 1 Terms of Reference. The Australia representative responded with the recognition that there is an appetite among other attendees to develop a Phase 2 Terms of Reference before GRSP in December 2024. Korean representatives agreed to the proposal to draft a Terms of Reference for the CLIV IWG Phase 2. The attendees agreed to proceed with Phase 2.</w:t>
      </w:r>
    </w:p>
    <w:p w:rsidR="00EF1C7F" w:rsidRDefault="00EF1C7F">
      <w:r>
        <w:t xml:space="preserve">Conflicts with UN Regulations were raised based on the NCAP protocols. The Chair stressed that domestic factors be considered separately to the IWG. </w:t>
      </w:r>
      <w:r w:rsidR="006A70FA">
        <w:t xml:space="preserve">Temporary deactivation of systems, public availability of testing methods/dummies and misuse were discussed. </w:t>
      </w:r>
    </w:p>
    <w:p w:rsidR="006A70FA" w:rsidRDefault="006A70FA">
      <w:r>
        <w:t xml:space="preserve">Technological neutrality was discussed. The Consumers International representative agreed there are enough countermeasures that a regulation to light vehicles could be technologically neutral. The IEE representative raised that the IWG should decide what to detect rather than if technologies are present. The OICA representative </w:t>
      </w:r>
      <w:proofErr w:type="spellStart"/>
      <w:r>
        <w:t>Agnsar</w:t>
      </w:r>
      <w:proofErr w:type="spellEnd"/>
      <w:r>
        <w:t xml:space="preserve"> raised that as any testing tool cannot imitate all aspects of the human body, any regulation wouldn’t have technological neutrality. The Euro NCAP representative stated that no crash test dummies have 100% bio fidelity, with the agreement of the IEE and Consumers International representatives. The OICA representative suggested the use of a real child. The other attendees disagreed on the basis that manufacturers and type approval authorities don’t approve of this method. The OICA representative reiterated that any regulation would not be technologically neutral. The Australian representative countered that you can have technological neutrality within specific biomarkers, as there are multiple methods to test a specific biomarker, using the analogy of detecting the “motion” biomarker with several different methods.</w:t>
      </w:r>
    </w:p>
    <w:p w:rsidR="006A70FA" w:rsidRDefault="006A70FA">
      <w:r>
        <w:t>The Chair raised that we can decide later if Phase 2 should consider dummy/testing development and concluded the meeting.</w:t>
      </w:r>
    </w:p>
    <w:p w:rsidR="00256B16" w:rsidRPr="00A142BC" w:rsidRDefault="00256B16" w:rsidP="00256B16">
      <w:pPr>
        <w:rPr>
          <w:b/>
          <w:sz w:val="24"/>
        </w:rPr>
      </w:pPr>
      <w:r w:rsidRPr="00A142BC">
        <w:rPr>
          <w:b/>
          <w:sz w:val="24"/>
        </w:rPr>
        <w:t>CLIV Session 5 Day 3 Meeting Minutes</w:t>
      </w:r>
    </w:p>
    <w:p w:rsidR="00256B16" w:rsidRDefault="00256B16" w:rsidP="00256B16">
      <w:r>
        <w:t>The status report was drafted with assistance from all attendees, supplying broad summaries to the Phase 1 Terms of Reference research questions, a problem statement and recommendation to GRSP.</w:t>
      </w:r>
      <w:r w:rsidR="00A142BC">
        <w:t xml:space="preserve"> Square brackets were added to the status report for contracting parties that would firm their positions for CLIV Session 6.</w:t>
      </w:r>
      <w:bookmarkStart w:id="0" w:name="_GoBack"/>
      <w:bookmarkEnd w:id="0"/>
    </w:p>
    <w:p w:rsidR="00256B16" w:rsidRDefault="00256B16"/>
    <w:sectPr w:rsidR="00256B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5E7A"/>
    <w:rsid w:val="000A6552"/>
    <w:rsid w:val="00115C01"/>
    <w:rsid w:val="00256B16"/>
    <w:rsid w:val="00294E83"/>
    <w:rsid w:val="002A5E7A"/>
    <w:rsid w:val="006A70FA"/>
    <w:rsid w:val="0083347B"/>
    <w:rsid w:val="0094349F"/>
    <w:rsid w:val="00A142BC"/>
    <w:rsid w:val="00B43A35"/>
    <w:rsid w:val="00B53B7B"/>
    <w:rsid w:val="00D729D9"/>
    <w:rsid w:val="00EF1C7F"/>
    <w:rsid w:val="00F30953"/>
    <w:rsid w:val="00FA11B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A6CA7E"/>
  <w15:chartTrackingRefBased/>
  <w15:docId w15:val="{E9DB1922-CE68-4EEE-AC14-D32C480B5A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73</TotalTime>
  <Pages>2</Pages>
  <Words>1074</Words>
  <Characters>6122</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Australian Government</Company>
  <LinksUpToDate>false</LinksUpToDate>
  <CharactersWithSpaces>7182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ROYDS, Matthew</dc:creator>
  <cp:keywords/>
  <dc:description/>
  <cp:lastModifiedBy>ROYDS, Matthew</cp:lastModifiedBy>
  <cp:revision>9</cp:revision>
  <dcterms:created xsi:type="dcterms:W3CDTF">2024-10-21T05:45:00Z</dcterms:created>
  <dcterms:modified xsi:type="dcterms:W3CDTF">2024-11-13T00:44:00Z</dcterms:modified>
</cp:coreProperties>
</file>