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BD635C" w14:textId="4C2D83E9" w:rsidR="00B6744D" w:rsidRPr="00893C45" w:rsidRDefault="00B6744D" w:rsidP="00B6744D">
      <w:pPr>
        <w:pStyle w:val="HChG"/>
        <w:jc w:val="both"/>
      </w:pPr>
      <w:r w:rsidRPr="00893C45">
        <w:tab/>
      </w:r>
      <w:r w:rsidRPr="00893C45">
        <w:tab/>
      </w:r>
      <w:r w:rsidRPr="00893C45">
        <w:tab/>
      </w:r>
      <w:r w:rsidR="00EF0089" w:rsidRPr="006A5726">
        <w:rPr>
          <w:bCs/>
        </w:rPr>
        <w:t>Proposal for Supplement 5 to the 03 Series of Amendments and Supplement 2 to the 04 Series of Amendments to UN Regulation No. 100 (</w:t>
      </w:r>
      <w:r w:rsidR="00EF0089" w:rsidRPr="000A6B6F">
        <w:t>Electric Power Trained Vehicles</w:t>
      </w:r>
      <w:r w:rsidR="00EF0089" w:rsidRPr="006A5726">
        <w:rPr>
          <w:bCs/>
        </w:rPr>
        <w:t>)</w:t>
      </w:r>
      <w:r w:rsidRPr="00893C45">
        <w:t xml:space="preserve"> </w:t>
      </w:r>
    </w:p>
    <w:p w14:paraId="36996E81" w14:textId="77777777" w:rsidR="00B6744D" w:rsidRPr="00893C45" w:rsidRDefault="00B6744D" w:rsidP="00B6744D">
      <w:pPr>
        <w:pStyle w:val="H1G"/>
      </w:pPr>
      <w:r w:rsidRPr="00893C45">
        <w:tab/>
      </w:r>
      <w:r w:rsidRPr="00893C45">
        <w:tab/>
        <w:t xml:space="preserve">Submitted by the </w:t>
      </w:r>
      <w:r w:rsidRPr="00893C45">
        <w:rPr>
          <w:spacing w:val="-4"/>
        </w:rPr>
        <w:t>Special Interest Group on Thermal Propagation</w:t>
      </w:r>
      <w:r w:rsidRPr="00893C45">
        <w:rPr>
          <w:rStyle w:val="a5"/>
          <w:sz w:val="20"/>
          <w:szCs w:val="24"/>
        </w:rPr>
        <w:t xml:space="preserve"> </w:t>
      </w:r>
      <w:r w:rsidRPr="00893C45">
        <w:rPr>
          <w:rStyle w:val="a5"/>
          <w:szCs w:val="24"/>
        </w:rPr>
        <w:footnoteReference w:customMarkFollows="1" w:id="2"/>
        <w:sym w:font="Symbol" w:char="F02A"/>
      </w:r>
    </w:p>
    <w:p w14:paraId="3731198B" w14:textId="7A838E69" w:rsidR="00B6744D" w:rsidRPr="00893C45" w:rsidRDefault="00B6744D" w:rsidP="00B6744D">
      <w:pPr>
        <w:pStyle w:val="SingleTxtG"/>
        <w:ind w:firstLine="567"/>
        <w:rPr>
          <w:szCs w:val="23"/>
        </w:rPr>
      </w:pPr>
      <w:r w:rsidRPr="00893C45">
        <w:rPr>
          <w:snapToGrid w:val="0"/>
        </w:rPr>
        <w:t>The text reproduced below was prepared by the experts from Australia, France, Germany, Italy, Japan, Republic of Korea, the</w:t>
      </w:r>
      <w:r w:rsidRPr="00893C45">
        <w:t xml:space="preserve"> Netherlands, Spain, the United Kingdom </w:t>
      </w:r>
      <w:r>
        <w:t xml:space="preserve">of Great Britian and Northern Ireland, </w:t>
      </w:r>
      <w:r w:rsidRPr="00893C45">
        <w:t>and the European Commission</w:t>
      </w:r>
      <w:r>
        <w:t>.  It</w:t>
      </w:r>
      <w:r w:rsidRPr="00893C45">
        <w:t xml:space="preserve"> aim</w:t>
      </w:r>
      <w:r>
        <w:t>s</w:t>
      </w:r>
      <w:r w:rsidRPr="00893C45">
        <w:t xml:space="preserve"> </w:t>
      </w:r>
      <w:r>
        <w:t xml:space="preserve">to </w:t>
      </w:r>
      <w:r w:rsidRPr="00893C45">
        <w:t>introduc</w:t>
      </w:r>
      <w:r>
        <w:t>e</w:t>
      </w:r>
      <w:r w:rsidRPr="00893C45">
        <w:t xml:space="preserve"> the improved requirements </w:t>
      </w:r>
      <w:r>
        <w:t xml:space="preserve">on </w:t>
      </w:r>
      <w:r w:rsidRPr="00893C45">
        <w:t xml:space="preserve">thermal propagation and </w:t>
      </w:r>
      <w:r>
        <w:t xml:space="preserve">the </w:t>
      </w:r>
      <w:r w:rsidRPr="00893C45">
        <w:t xml:space="preserve">approval of electric powered vehicles. In addition, the provisions concerning </w:t>
      </w:r>
      <w:r>
        <w:t xml:space="preserve">the </w:t>
      </w:r>
      <w:r w:rsidRPr="00893C45">
        <w:t>treatment of intellectual properties of manufacturers have been introduced in</w:t>
      </w:r>
      <w:r>
        <w:t>to</w:t>
      </w:r>
      <w:r w:rsidRPr="00893C45">
        <w:t xml:space="preserve"> the UN Regulation. </w:t>
      </w:r>
      <w:r w:rsidRPr="00B90A04">
        <w:rPr>
          <w:color w:val="FF0000"/>
        </w:rPr>
        <w:t>The document is to replace ECE/TRANS/WP.29/GRSP</w:t>
      </w:r>
      <w:r>
        <w:rPr>
          <w:color w:val="FF0000"/>
        </w:rPr>
        <w:t>/2024</w:t>
      </w:r>
      <w:r w:rsidRPr="00B90A04">
        <w:rPr>
          <w:color w:val="FF0000"/>
        </w:rPr>
        <w:t>/</w:t>
      </w:r>
      <w:r w:rsidR="00EF0089">
        <w:rPr>
          <w:rFonts w:hint="eastAsia"/>
          <w:color w:val="FF0000"/>
          <w:lang w:eastAsia="ja-JP"/>
        </w:rPr>
        <w:t>2</w:t>
      </w:r>
      <w:r w:rsidR="00EF0089">
        <w:rPr>
          <w:color w:val="FF0000"/>
          <w:lang w:eastAsia="ja-JP"/>
        </w:rPr>
        <w:t>2</w:t>
      </w:r>
      <w:r w:rsidRPr="00B90A04">
        <w:rPr>
          <w:color w:val="FF0000"/>
        </w:rPr>
        <w:t>.</w:t>
      </w:r>
      <w:r w:rsidRPr="00893C45">
        <w:t xml:space="preserve"> The modifications to the current text of the UN Regulation (including ECE/TRANS/WP.29/2024/41) are marked in bold for new or strikethrough for deleted characters</w:t>
      </w:r>
      <w:r>
        <w:t xml:space="preserve"> </w:t>
      </w:r>
      <w:r w:rsidRPr="00B90A04">
        <w:rPr>
          <w:color w:val="FF0000"/>
        </w:rPr>
        <w:t>while the modification from ECE/TRANS/WP.29/GRSP</w:t>
      </w:r>
      <w:r>
        <w:rPr>
          <w:color w:val="FF0000"/>
        </w:rPr>
        <w:t>/2024</w:t>
      </w:r>
      <w:r w:rsidRPr="00B90A04">
        <w:rPr>
          <w:color w:val="FF0000"/>
        </w:rPr>
        <w:t>/</w:t>
      </w:r>
      <w:r w:rsidR="00EF0089">
        <w:rPr>
          <w:color w:val="FF0000"/>
        </w:rPr>
        <w:t>22</w:t>
      </w:r>
      <w:r w:rsidRPr="00B90A04">
        <w:rPr>
          <w:color w:val="FF0000"/>
        </w:rPr>
        <w:t xml:space="preserve"> are indicated in red coloured texts</w:t>
      </w:r>
      <w:r w:rsidRPr="00893C45">
        <w:rPr>
          <w:szCs w:val="23"/>
        </w:rPr>
        <w:t>.</w:t>
      </w:r>
    </w:p>
    <w:p w14:paraId="28520F1E" w14:textId="77777777" w:rsidR="00C2754A" w:rsidRPr="00B6744D" w:rsidRDefault="00C2754A" w:rsidP="00C2754A">
      <w:pPr>
        <w:pStyle w:val="SingleTxtG"/>
        <w:ind w:firstLine="567"/>
        <w:rPr>
          <w:szCs w:val="23"/>
        </w:rPr>
      </w:pPr>
    </w:p>
    <w:p w14:paraId="6F1AB4A8" w14:textId="77777777" w:rsidR="00C2754A" w:rsidRPr="006A5726" w:rsidRDefault="00C2754A" w:rsidP="00C2754A">
      <w:pPr>
        <w:spacing w:line="240" w:lineRule="auto"/>
      </w:pPr>
      <w:r w:rsidRPr="006A5726">
        <w:br w:type="page"/>
      </w:r>
    </w:p>
    <w:p w14:paraId="6C9490CA" w14:textId="77777777" w:rsidR="002B41A0" w:rsidRPr="006A5726" w:rsidRDefault="002B41A0" w:rsidP="002B41A0">
      <w:pPr>
        <w:pStyle w:val="HChG"/>
      </w:pPr>
      <w:r w:rsidRPr="006A5726">
        <w:lastRenderedPageBreak/>
        <w:tab/>
        <w:t>I.</w:t>
      </w:r>
      <w:r w:rsidRPr="006A5726">
        <w:tab/>
        <w:t>Proposal</w:t>
      </w:r>
    </w:p>
    <w:p w14:paraId="07E67365" w14:textId="77777777" w:rsidR="00C443E6" w:rsidRPr="006A5726" w:rsidRDefault="00C443E6" w:rsidP="00C443E6">
      <w:pPr>
        <w:pStyle w:val="SingleTxtG"/>
        <w:ind w:left="2268" w:hanging="1134"/>
        <w:rPr>
          <w:iCs/>
        </w:rPr>
      </w:pPr>
      <w:r w:rsidRPr="006A5726">
        <w:rPr>
          <w:i/>
        </w:rPr>
        <w:t xml:space="preserve">Insert new paragraph 2.56., </w:t>
      </w:r>
      <w:r w:rsidRPr="006A5726">
        <w:rPr>
          <w:iCs/>
        </w:rPr>
        <w:t>to read:</w:t>
      </w:r>
    </w:p>
    <w:p w14:paraId="2EE59201" w14:textId="4799A755" w:rsidR="00C443E6" w:rsidRPr="006A5726" w:rsidRDefault="00C443E6" w:rsidP="00C443E6">
      <w:pPr>
        <w:pStyle w:val="SingleTxtG"/>
        <w:ind w:left="2268" w:hanging="1134"/>
        <w:rPr>
          <w:b/>
          <w:bCs/>
          <w:i/>
        </w:rPr>
      </w:pPr>
      <w:r w:rsidRPr="006A5726">
        <w:rPr>
          <w:bCs/>
        </w:rPr>
        <w:t>"</w:t>
      </w:r>
      <w:r w:rsidRPr="006A5726">
        <w:rPr>
          <w:b/>
          <w:bCs/>
        </w:rPr>
        <w:t>2.56.</w:t>
      </w:r>
      <w:r w:rsidRPr="006A5726">
        <w:rPr>
          <w:b/>
          <w:bCs/>
        </w:rPr>
        <w:tab/>
      </w:r>
      <w:r w:rsidRPr="006A5726">
        <w:rPr>
          <w:b/>
          <w:bCs/>
        </w:rPr>
        <w:tab/>
        <w:t>"</w:t>
      </w:r>
      <w:r w:rsidRPr="006A5726">
        <w:rPr>
          <w:b/>
          <w:bCs/>
          <w:i/>
          <w:iCs/>
        </w:rPr>
        <w:t>Common space</w:t>
      </w:r>
      <w:r w:rsidRPr="006A5726">
        <w:rPr>
          <w:b/>
          <w:bCs/>
        </w:rPr>
        <w:t>" means an area on which two or more information functions (e.g. symbol) may be displayed but not simultaneously.</w:t>
      </w:r>
      <w:r w:rsidRPr="006A5726">
        <w:t>"</w:t>
      </w:r>
    </w:p>
    <w:p w14:paraId="381EFF90" w14:textId="77777777" w:rsidR="00C443E6" w:rsidRPr="006A5726" w:rsidRDefault="00C443E6" w:rsidP="00C443E6">
      <w:pPr>
        <w:pStyle w:val="SingleTxtG"/>
        <w:ind w:left="2268" w:hanging="1134"/>
        <w:rPr>
          <w:i/>
        </w:rPr>
      </w:pPr>
      <w:r w:rsidRPr="006A5726">
        <w:rPr>
          <w:i/>
        </w:rPr>
        <w:t xml:space="preserve">Insert new paragraphs 3.4. to 3.5., </w:t>
      </w:r>
      <w:r w:rsidRPr="006A5726">
        <w:rPr>
          <w:iCs/>
        </w:rPr>
        <w:t>to read:</w:t>
      </w:r>
    </w:p>
    <w:p w14:paraId="183F10EE" w14:textId="77777777" w:rsidR="00C443E6" w:rsidRPr="006A5726" w:rsidRDefault="00C443E6" w:rsidP="00C443E6">
      <w:pPr>
        <w:pStyle w:val="para"/>
        <w:rPr>
          <w:b/>
          <w:bCs/>
          <w:lang w:val="en-GB"/>
        </w:rPr>
      </w:pPr>
      <w:r w:rsidRPr="006A5726">
        <w:rPr>
          <w:bCs/>
          <w:lang w:val="en-GB"/>
        </w:rPr>
        <w:t>"</w:t>
      </w:r>
      <w:r w:rsidRPr="006A5726">
        <w:rPr>
          <w:b/>
          <w:bCs/>
          <w:lang w:val="en-GB"/>
        </w:rPr>
        <w:t>3.4.</w:t>
      </w:r>
      <w:r w:rsidRPr="006A5726">
        <w:rPr>
          <w:b/>
          <w:bCs/>
          <w:lang w:val="en-GB"/>
        </w:rPr>
        <w:tab/>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4679373A" w14:textId="77777777" w:rsidR="00C443E6" w:rsidRPr="006A5726" w:rsidRDefault="00C443E6" w:rsidP="00C443E6">
      <w:pPr>
        <w:pStyle w:val="para"/>
        <w:rPr>
          <w:b/>
          <w:bCs/>
          <w:lang w:val="en-GB"/>
        </w:rPr>
      </w:pPr>
      <w:r w:rsidRPr="006A5726">
        <w:rPr>
          <w:b/>
          <w:bCs/>
          <w:lang w:val="en-GB"/>
        </w:rPr>
        <w:t>3.5.</w:t>
      </w:r>
      <w:r w:rsidRPr="006A5726">
        <w:rPr>
          <w:b/>
          <w:bCs/>
          <w:lang w:val="en-GB"/>
        </w:rPr>
        <w:tab/>
        <w:t>Documentation shall be made available in two parts:</w:t>
      </w:r>
    </w:p>
    <w:p w14:paraId="334891D3" w14:textId="77777777" w:rsidR="00C443E6" w:rsidRPr="006A5726" w:rsidRDefault="00C443E6" w:rsidP="00C443E6">
      <w:pPr>
        <w:pStyle w:val="af8"/>
        <w:rPr>
          <w:b/>
          <w:bCs/>
          <w:lang w:val="en-GB"/>
        </w:rPr>
      </w:pPr>
      <w:r w:rsidRPr="006A5726">
        <w:rPr>
          <w:b/>
          <w:bCs/>
          <w:lang w:val="en-GB" w:eastAsia="ja-JP"/>
        </w:rPr>
        <w:t>(</w:t>
      </w:r>
      <w:r w:rsidRPr="006A5726">
        <w:rPr>
          <w:b/>
          <w:bCs/>
          <w:lang w:val="en-GB"/>
        </w:rPr>
        <w:t>a)</w:t>
      </w:r>
      <w:r w:rsidRPr="006A5726">
        <w:rPr>
          <w:b/>
          <w:bCs/>
          <w:lang w:val="en-GB"/>
        </w:rPr>
        <w:tab/>
        <w:t>The formal documentation package for the approval, containing the material specified in Annex 1, Appendix 1 or Appendix 2 which shall be supplied to the Approval Authority or its Technical Service at the time of submission of the type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counted from the time when production of the vehicle/REESS type is definitively discontinued.</w:t>
      </w:r>
    </w:p>
    <w:p w14:paraId="020F18C2" w14:textId="77777777" w:rsidR="00C443E6" w:rsidRPr="006A5726" w:rsidRDefault="00C443E6" w:rsidP="00C443E6">
      <w:pPr>
        <w:pStyle w:val="af8"/>
        <w:rPr>
          <w:bCs/>
          <w:lang w:val="en-GB"/>
        </w:rPr>
      </w:pPr>
      <w:r w:rsidRPr="006A5726">
        <w:rPr>
          <w:b/>
          <w:bCs/>
          <w:lang w:val="en-GB"/>
        </w:rPr>
        <w:t>(b)</w:t>
      </w:r>
      <w:r w:rsidRPr="006A5726">
        <w:rPr>
          <w:b/>
          <w:bCs/>
          <w:lang w:val="en-GB"/>
        </w:rPr>
        <w:tab/>
        <w:t>Additional material relevant to the requirements of this Regulation may be retained by the manufacturer, but shall be made open for inspection at the time of type approval. The manufacturer shall ensure that any material made open for inspection at the time of type approval remains available for at least a period of 10 years counted from the time when production of the vehicle/REESS type is definitively discontinued.</w:t>
      </w:r>
      <w:r w:rsidRPr="006A5726">
        <w:rPr>
          <w:bCs/>
          <w:lang w:val="en-GB"/>
        </w:rPr>
        <w:t>"</w:t>
      </w:r>
    </w:p>
    <w:p w14:paraId="18357A6F" w14:textId="77777777" w:rsidR="00C443E6" w:rsidRPr="006A5726" w:rsidRDefault="00C443E6" w:rsidP="00C443E6">
      <w:pPr>
        <w:pStyle w:val="SingleTxtG"/>
        <w:ind w:left="2268" w:hanging="1134"/>
        <w:rPr>
          <w:i/>
        </w:rPr>
      </w:pPr>
      <w:r w:rsidRPr="006A5726">
        <w:rPr>
          <w:i/>
        </w:rPr>
        <w:t xml:space="preserve">Paragraph 6.4.2.3., </w:t>
      </w:r>
      <w:r w:rsidRPr="006A5726">
        <w:rPr>
          <w:iCs/>
        </w:rPr>
        <w:t>amend</w:t>
      </w:r>
      <w:r w:rsidRPr="006A5726">
        <w:rPr>
          <w:i/>
        </w:rPr>
        <w:t xml:space="preserve"> </w:t>
      </w:r>
      <w:r w:rsidRPr="006A5726">
        <w:rPr>
          <w:iCs/>
        </w:rPr>
        <w:t>to read:</w:t>
      </w:r>
    </w:p>
    <w:p w14:paraId="56A6B164" w14:textId="77777777" w:rsidR="00C443E6" w:rsidRPr="006A5726" w:rsidRDefault="00C443E6" w:rsidP="00C443E6">
      <w:pPr>
        <w:keepNext/>
        <w:keepLines/>
        <w:spacing w:after="120"/>
        <w:ind w:left="2268" w:right="1134" w:hanging="1134"/>
        <w:jc w:val="both"/>
        <w:rPr>
          <w:bCs/>
        </w:rPr>
      </w:pPr>
      <w:r w:rsidRPr="006A5726">
        <w:rPr>
          <w:bCs/>
        </w:rPr>
        <w:t>"6.4.2.3.</w:t>
      </w:r>
      <w:r w:rsidRPr="006A5726">
        <w:rPr>
          <w:bCs/>
        </w:rPr>
        <w:tab/>
        <w:t>Acceptance criteria</w:t>
      </w:r>
    </w:p>
    <w:p w14:paraId="53F03B98" w14:textId="77777777" w:rsidR="00C443E6" w:rsidRPr="006A5726" w:rsidRDefault="00C443E6" w:rsidP="00C443E6">
      <w:pPr>
        <w:spacing w:after="120"/>
        <w:ind w:left="2268" w:right="1134"/>
        <w:jc w:val="both"/>
        <w:rPr>
          <w:bCs/>
        </w:rPr>
      </w:pPr>
      <w:r w:rsidRPr="006A5726">
        <w:rPr>
          <w:bCs/>
        </w:rPr>
        <w:t>During the test there shall be no evidence of:</w:t>
      </w:r>
    </w:p>
    <w:p w14:paraId="422B1022" w14:textId="77777777" w:rsidR="00C443E6" w:rsidRPr="006A5726" w:rsidRDefault="00C443E6" w:rsidP="00C443E6">
      <w:pPr>
        <w:spacing w:after="120"/>
        <w:ind w:left="2268" w:right="1134"/>
        <w:jc w:val="both"/>
        <w:rPr>
          <w:bCs/>
        </w:rPr>
      </w:pPr>
      <w:r w:rsidRPr="006A5726">
        <w:rPr>
          <w:bCs/>
        </w:rPr>
        <w:t>(a)</w:t>
      </w:r>
      <w:r w:rsidRPr="006A5726">
        <w:rPr>
          <w:bCs/>
        </w:rPr>
        <w:tab/>
        <w:t>Fire;</w:t>
      </w:r>
    </w:p>
    <w:p w14:paraId="0916C0FF" w14:textId="77777777" w:rsidR="00C443E6" w:rsidRPr="006A5726" w:rsidRDefault="00C443E6" w:rsidP="00C443E6">
      <w:pPr>
        <w:spacing w:after="120"/>
        <w:ind w:left="2268" w:right="1134"/>
        <w:jc w:val="both"/>
        <w:rPr>
          <w:bCs/>
        </w:rPr>
      </w:pPr>
      <w:r w:rsidRPr="006A5726">
        <w:rPr>
          <w:bCs/>
        </w:rPr>
        <w:t>(b)</w:t>
      </w:r>
      <w:r w:rsidRPr="006A5726">
        <w:rPr>
          <w:bCs/>
        </w:rPr>
        <w:tab/>
        <w:t>Explosion;</w:t>
      </w:r>
    </w:p>
    <w:p w14:paraId="48F6A58B" w14:textId="77777777" w:rsidR="00C443E6" w:rsidRPr="006A5726" w:rsidRDefault="00C443E6" w:rsidP="00C443E6">
      <w:pPr>
        <w:spacing w:after="120"/>
        <w:ind w:left="2268" w:right="1134"/>
        <w:jc w:val="both"/>
        <w:rPr>
          <w:bCs/>
        </w:rPr>
      </w:pPr>
      <w:r w:rsidRPr="006A5726">
        <w:rPr>
          <w:bCs/>
        </w:rPr>
        <w:t>(c1)</w:t>
      </w:r>
      <w:r w:rsidRPr="006A5726">
        <w:rPr>
          <w:bCs/>
        </w:rPr>
        <w:tab/>
        <w:t xml:space="preserve">Electrolyte leakage if tested according to paragraph </w:t>
      </w:r>
      <w:r w:rsidRPr="006A5726">
        <w:rPr>
          <w:b/>
        </w:rPr>
        <w:t>6.4.2.1.1.</w:t>
      </w:r>
      <w:r w:rsidRPr="006A5726">
        <w:rPr>
          <w:bCs/>
          <w:strike/>
        </w:rPr>
        <w:t>6.4.1.1.</w:t>
      </w:r>
      <w:r w:rsidRPr="006A5726">
        <w:rPr>
          <w:bCs/>
        </w:rPr>
        <w:t>:</w:t>
      </w:r>
    </w:p>
    <w:p w14:paraId="39399419" w14:textId="77777777" w:rsidR="00C443E6" w:rsidRPr="006A5726" w:rsidRDefault="00C443E6" w:rsidP="00C443E6">
      <w:pPr>
        <w:spacing w:after="120"/>
        <w:ind w:left="3402" w:right="1134" w:hanging="567"/>
        <w:jc w:val="both"/>
        <w:rPr>
          <w:bCs/>
          <w:lang w:eastAsia="ja-JP"/>
        </w:rPr>
      </w:pPr>
      <w:r w:rsidRPr="006A5726">
        <w:rPr>
          <w:bCs/>
        </w:rPr>
        <w:t>(i)</w:t>
      </w:r>
      <w:r w:rsidRPr="006A5726">
        <w:rPr>
          <w:bCs/>
        </w:rPr>
        <w:tab/>
        <w:t xml:space="preserve">In case of </w:t>
      </w:r>
      <w:r w:rsidRPr="006A5726">
        <w:rPr>
          <w:bCs/>
          <w:lang w:eastAsia="ja-JP"/>
        </w:rPr>
        <w:t>…</w:t>
      </w:r>
    </w:p>
    <w:p w14:paraId="70F34B4F" w14:textId="77777777" w:rsidR="00C443E6" w:rsidRPr="006A5726" w:rsidRDefault="00C443E6" w:rsidP="00C443E6">
      <w:pPr>
        <w:spacing w:after="120"/>
        <w:ind w:left="2835" w:right="1134" w:hanging="567"/>
        <w:jc w:val="both"/>
        <w:rPr>
          <w:bCs/>
        </w:rPr>
      </w:pPr>
      <w:r w:rsidRPr="006A5726">
        <w:rPr>
          <w:bCs/>
        </w:rPr>
        <w:t>(c2)</w:t>
      </w:r>
      <w:r w:rsidRPr="006A5726">
        <w:rPr>
          <w:bCs/>
        </w:rPr>
        <w:tab/>
        <w:t xml:space="preserve">Electrolyte leakage if tested according to </w:t>
      </w:r>
      <w:r w:rsidRPr="006A5726">
        <w:rPr>
          <w:b/>
        </w:rPr>
        <w:t>paragraph 6.4.2.1.2. or</w:t>
      </w:r>
      <w:r w:rsidRPr="006A5726">
        <w:rPr>
          <w:bCs/>
        </w:rPr>
        <w:t xml:space="preserve"> paragraph 6.4.2.2.</w:t>
      </w:r>
    </w:p>
    <w:p w14:paraId="409D19CC" w14:textId="77777777" w:rsidR="00C443E6" w:rsidRPr="006A5726" w:rsidRDefault="00C443E6" w:rsidP="00C443E6">
      <w:pPr>
        <w:spacing w:after="120"/>
        <w:ind w:left="2268" w:right="1134"/>
        <w:jc w:val="both"/>
        <w:rPr>
          <w:rFonts w:cs="Arial"/>
          <w:bCs/>
        </w:rPr>
      </w:pPr>
      <w:r w:rsidRPr="006A5726">
        <w:rPr>
          <w:bCs/>
        </w:rPr>
        <w:t xml:space="preserve">For a high voltage REESS, the </w:t>
      </w:r>
      <w:r w:rsidRPr="006A5726">
        <w:rPr>
          <w:bCs/>
          <w:lang w:eastAsia="ja-JP"/>
        </w:rPr>
        <w:t>…</w:t>
      </w:r>
      <w:r w:rsidRPr="006A5726">
        <w:rPr>
          <w:bCs/>
        </w:rPr>
        <w:t>"</w:t>
      </w:r>
    </w:p>
    <w:p w14:paraId="0322B74A" w14:textId="77777777" w:rsidR="00904E10" w:rsidRPr="00AB18F2" w:rsidRDefault="00904E10" w:rsidP="00904E10">
      <w:pPr>
        <w:pStyle w:val="SingleTxtG"/>
        <w:ind w:left="2268" w:hanging="1134"/>
        <w:rPr>
          <w:iCs/>
          <w:color w:val="FF0000"/>
        </w:rPr>
      </w:pPr>
      <w:r w:rsidRPr="00AB18F2">
        <w:rPr>
          <w:i/>
          <w:color w:val="FF0000"/>
        </w:rPr>
        <w:t xml:space="preserve">Paragraph 6.5., </w:t>
      </w:r>
      <w:r w:rsidRPr="00AB18F2">
        <w:rPr>
          <w:iCs/>
          <w:color w:val="FF0000"/>
        </w:rPr>
        <w:t>amend</w:t>
      </w:r>
      <w:r w:rsidRPr="00AB18F2">
        <w:rPr>
          <w:i/>
          <w:color w:val="FF0000"/>
        </w:rPr>
        <w:t xml:space="preserve"> </w:t>
      </w:r>
      <w:r w:rsidRPr="00AB18F2">
        <w:rPr>
          <w:iCs/>
          <w:color w:val="FF0000"/>
        </w:rPr>
        <w:t>to read:</w:t>
      </w:r>
    </w:p>
    <w:p w14:paraId="65DE51F2" w14:textId="77777777" w:rsidR="00904E10" w:rsidRPr="00AB18F2" w:rsidRDefault="00904E10" w:rsidP="00904E10">
      <w:pPr>
        <w:pStyle w:val="SingleTxtG"/>
        <w:rPr>
          <w:bCs/>
          <w:color w:val="FF0000"/>
        </w:rPr>
      </w:pPr>
      <w:r w:rsidRPr="00AB18F2">
        <w:rPr>
          <w:bCs/>
          <w:color w:val="FF0000"/>
        </w:rPr>
        <w:t>"</w:t>
      </w:r>
      <w:r w:rsidRPr="00AB18F2">
        <w:rPr>
          <w:rFonts w:hint="eastAsia"/>
          <w:bCs/>
          <w:color w:val="FF0000"/>
        </w:rPr>
        <w:t>6.5.</w:t>
      </w:r>
      <w:r w:rsidRPr="00AB18F2">
        <w:rPr>
          <w:rFonts w:hint="eastAsia"/>
          <w:bCs/>
          <w:color w:val="FF0000"/>
        </w:rPr>
        <w:tab/>
      </w:r>
      <w:r w:rsidRPr="00AB18F2">
        <w:rPr>
          <w:bCs/>
          <w:color w:val="FF0000"/>
        </w:rPr>
        <w:tab/>
      </w:r>
      <w:r w:rsidRPr="00AB18F2">
        <w:rPr>
          <w:rFonts w:hint="eastAsia"/>
          <w:bCs/>
          <w:color w:val="FF0000"/>
        </w:rPr>
        <w:t>Fire resistance</w:t>
      </w:r>
    </w:p>
    <w:p w14:paraId="1CFA965F" w14:textId="77777777" w:rsidR="00904E10" w:rsidRPr="00AB18F2" w:rsidRDefault="00904E10" w:rsidP="00904E10">
      <w:pPr>
        <w:pStyle w:val="SingleTxtG"/>
        <w:ind w:left="2268"/>
        <w:rPr>
          <w:bCs/>
          <w:color w:val="FF0000"/>
        </w:rPr>
      </w:pPr>
      <w:r w:rsidRPr="00AB18F2">
        <w:rPr>
          <w:rFonts w:hint="eastAsia"/>
          <w:bCs/>
          <w:color w:val="FF0000"/>
        </w:rPr>
        <w:t>This test is required for REESS containing flammable electrolyte</w:t>
      </w:r>
      <w:r w:rsidRPr="00AB18F2">
        <w:rPr>
          <w:bCs/>
          <w:color w:val="FF0000"/>
        </w:rPr>
        <w:t>.</w:t>
      </w:r>
    </w:p>
    <w:p w14:paraId="546782BE" w14:textId="77777777" w:rsidR="00904E10" w:rsidRPr="00AB18F2" w:rsidRDefault="00904E10" w:rsidP="00904E10">
      <w:pPr>
        <w:pStyle w:val="SingleTxtG"/>
        <w:ind w:left="2268"/>
        <w:rPr>
          <w:iCs/>
          <w:color w:val="FF0000"/>
        </w:rPr>
      </w:pPr>
      <w:r w:rsidRPr="00AB18F2">
        <w:rPr>
          <w:bCs/>
          <w:color w:val="FF0000"/>
          <w:lang w:eastAsia="en-GB"/>
        </w:rPr>
        <w:t xml:space="preserve">This test is not required when the REESS as installed in the vehicle, is mounted such that the lowest surface of the casing of the REESS is more than 1.5m above the ground. </w:t>
      </w:r>
      <w:r w:rsidRPr="00AB18F2">
        <w:rPr>
          <w:bCs/>
          <w:color w:val="FF0000"/>
        </w:rPr>
        <w:t xml:space="preserve">At the </w:t>
      </w:r>
      <w:r w:rsidRPr="00AB18F2">
        <w:rPr>
          <w:b/>
          <w:color w:val="FF0000"/>
        </w:rPr>
        <w:t xml:space="preserve">request </w:t>
      </w:r>
      <w:r w:rsidRPr="00AB18F2">
        <w:rPr>
          <w:bCs/>
          <w:strike/>
          <w:color w:val="FF0000"/>
        </w:rPr>
        <w:t xml:space="preserve">option </w:t>
      </w:r>
      <w:r w:rsidRPr="00AB18F2">
        <w:rPr>
          <w:bCs/>
          <w:color w:val="FF0000"/>
        </w:rPr>
        <w:t xml:space="preserve">of the manufacturer, this test may be performed </w:t>
      </w:r>
      <w:r w:rsidRPr="00AB18F2">
        <w:rPr>
          <w:b/>
          <w:color w:val="FF0000"/>
        </w:rPr>
        <w:t xml:space="preserve">when </w:t>
      </w:r>
      <w:r w:rsidRPr="00AB18F2">
        <w:rPr>
          <w:bCs/>
          <w:strike/>
          <w:color w:val="FF0000"/>
        </w:rPr>
        <w:t xml:space="preserve">where </w:t>
      </w:r>
      <w:r w:rsidRPr="00AB18F2">
        <w:rPr>
          <w:bCs/>
          <w:color w:val="FF0000"/>
        </w:rPr>
        <w:t xml:space="preserve">the </w:t>
      </w:r>
      <w:r w:rsidRPr="00AB18F2">
        <w:rPr>
          <w:b/>
          <w:color w:val="FF0000"/>
          <w:lang w:eastAsia="en-GB"/>
        </w:rPr>
        <w:t xml:space="preserve">lowest surface of the casing of the REESS </w:t>
      </w:r>
      <w:r w:rsidRPr="00AB18F2">
        <w:rPr>
          <w:bCs/>
          <w:strike/>
          <w:color w:val="FF0000"/>
        </w:rPr>
        <w:t xml:space="preserve">of the REESS’s lower surface </w:t>
      </w:r>
      <w:r w:rsidRPr="00AB18F2">
        <w:rPr>
          <w:bCs/>
          <w:color w:val="FF0000"/>
        </w:rPr>
        <w:t>is higher than …"</w:t>
      </w:r>
    </w:p>
    <w:p w14:paraId="65F389F0" w14:textId="77777777" w:rsidR="00C443E6" w:rsidRPr="006A5726" w:rsidRDefault="00C443E6" w:rsidP="00C443E6">
      <w:pPr>
        <w:pStyle w:val="SingleTxtG"/>
        <w:ind w:left="2268" w:hanging="1134"/>
        <w:rPr>
          <w:i/>
        </w:rPr>
      </w:pPr>
      <w:r w:rsidRPr="006A5726">
        <w:rPr>
          <w:i/>
        </w:rPr>
        <w:t xml:space="preserve">Paragraph 6.15.1., </w:t>
      </w:r>
      <w:r w:rsidRPr="006A5726">
        <w:rPr>
          <w:iCs/>
        </w:rPr>
        <w:t>amend</w:t>
      </w:r>
      <w:r w:rsidRPr="006A5726">
        <w:rPr>
          <w:i/>
        </w:rPr>
        <w:t xml:space="preserve"> </w:t>
      </w:r>
      <w:r w:rsidRPr="006A5726">
        <w:rPr>
          <w:iCs/>
        </w:rPr>
        <w:t>to read:</w:t>
      </w:r>
    </w:p>
    <w:p w14:paraId="4AFFAC6E" w14:textId="77777777" w:rsidR="00C443E6" w:rsidRPr="006A5726" w:rsidRDefault="00C443E6" w:rsidP="00C443E6">
      <w:pPr>
        <w:spacing w:after="120"/>
        <w:ind w:leftChars="565" w:left="2264" w:right="1134" w:hangingChars="567" w:hanging="1134"/>
        <w:jc w:val="both"/>
        <w:rPr>
          <w:b/>
        </w:rPr>
      </w:pPr>
      <w:r w:rsidRPr="006A5726">
        <w:rPr>
          <w:bCs/>
        </w:rPr>
        <w:lastRenderedPageBreak/>
        <w:t>"</w:t>
      </w:r>
      <w:r w:rsidRPr="006A5726">
        <w:rPr>
          <w:bCs/>
          <w:lang w:eastAsia="ja-JP"/>
        </w:rPr>
        <w:t>6.15</w:t>
      </w:r>
      <w:r w:rsidRPr="006A5726">
        <w:rPr>
          <w:bCs/>
        </w:rPr>
        <w:t>.1.</w:t>
      </w:r>
      <w:r w:rsidRPr="006A5726">
        <w:rPr>
          <w:bCs/>
        </w:rPr>
        <w:tab/>
        <w:t xml:space="preserve">The </w:t>
      </w:r>
      <w:r w:rsidRPr="006A5726">
        <w:rPr>
          <w:bCs/>
          <w:lang w:eastAsia="ja-JP"/>
        </w:rPr>
        <w:t>REESS</w:t>
      </w:r>
      <w:r w:rsidRPr="006A5726">
        <w:rPr>
          <w:bCs/>
        </w:rPr>
        <w:t xml:space="preserve"> </w:t>
      </w:r>
      <w:r w:rsidRPr="006A5726">
        <w:rPr>
          <w:bCs/>
          <w:lang w:eastAsia="ja-JP"/>
        </w:rPr>
        <w:t xml:space="preserve">or vehicle system </w:t>
      </w:r>
      <w:r w:rsidRPr="006A5726">
        <w:rPr>
          <w:bCs/>
        </w:rPr>
        <w:t xml:space="preserve">shall provide </w:t>
      </w:r>
      <w:r w:rsidRPr="006A5726">
        <w:rPr>
          <w:bCs/>
          <w:lang w:eastAsia="ja-JP"/>
        </w:rPr>
        <w:t xml:space="preserve">a signal to activate the </w:t>
      </w:r>
      <w:r w:rsidRPr="006A5726">
        <w:rPr>
          <w:bCs/>
        </w:rPr>
        <w:t xml:space="preserve">advance warning indication </w:t>
      </w:r>
      <w:r w:rsidRPr="006A5726">
        <w:rPr>
          <w:bCs/>
          <w:lang w:eastAsia="ja-JP"/>
        </w:rPr>
        <w:t>in the vehicle</w:t>
      </w:r>
      <w:r w:rsidRPr="006A5726">
        <w:rPr>
          <w:b/>
        </w:rPr>
        <w:t>:</w:t>
      </w:r>
    </w:p>
    <w:p w14:paraId="4D86D58C" w14:textId="77777777" w:rsidR="00C443E6" w:rsidRPr="006A5726" w:rsidRDefault="00C443E6" w:rsidP="00C443E6">
      <w:pPr>
        <w:spacing w:after="120"/>
        <w:ind w:leftChars="565" w:left="2260" w:right="1134" w:hangingChars="563" w:hanging="1130"/>
        <w:jc w:val="both"/>
        <w:rPr>
          <w:bCs/>
        </w:rPr>
      </w:pPr>
      <w:r w:rsidRPr="006A5726">
        <w:rPr>
          <w:b/>
        </w:rPr>
        <w:tab/>
        <w:t xml:space="preserve">(a) </w:t>
      </w:r>
      <w:r w:rsidRPr="006A5726">
        <w:rPr>
          <w:bCs/>
        </w:rPr>
        <w:t>to allow egress</w:t>
      </w:r>
      <w:r w:rsidRPr="006A5726">
        <w:rPr>
          <w:b/>
        </w:rPr>
        <w:t>;</w:t>
      </w:r>
      <w:r w:rsidRPr="006A5726">
        <w:rPr>
          <w:bCs/>
        </w:rPr>
        <w:t xml:space="preserve"> or </w:t>
      </w:r>
    </w:p>
    <w:p w14:paraId="48BB30AE" w14:textId="77777777" w:rsidR="00C443E6" w:rsidRPr="006A5726" w:rsidRDefault="00C443E6" w:rsidP="00C443E6">
      <w:pPr>
        <w:spacing w:after="120"/>
        <w:ind w:leftChars="565" w:left="2260" w:right="1134" w:hangingChars="563" w:hanging="1130"/>
        <w:jc w:val="both"/>
        <w:rPr>
          <w:bCs/>
        </w:rPr>
      </w:pPr>
      <w:r w:rsidRPr="006A5726">
        <w:rPr>
          <w:b/>
        </w:rPr>
        <w:tab/>
        <w:t xml:space="preserve">(b) </w:t>
      </w:r>
      <w:r w:rsidRPr="006A5726">
        <w:rPr>
          <w:bCs/>
        </w:rPr>
        <w:t xml:space="preserve">5 minutes </w:t>
      </w:r>
    </w:p>
    <w:p w14:paraId="50474E5D" w14:textId="77777777" w:rsidR="00C443E6" w:rsidRPr="006A5726" w:rsidRDefault="00C443E6" w:rsidP="00C443E6">
      <w:pPr>
        <w:spacing w:after="120"/>
        <w:ind w:leftChars="565" w:left="2260" w:right="1134" w:hangingChars="563" w:hanging="1130"/>
        <w:jc w:val="both"/>
        <w:rPr>
          <w:bCs/>
        </w:rPr>
      </w:pPr>
      <w:r w:rsidRPr="006A5726">
        <w:rPr>
          <w:b/>
        </w:rPr>
        <w:tab/>
      </w:r>
      <w:r w:rsidRPr="006A5726">
        <w:rPr>
          <w:bCs/>
        </w:rPr>
        <w:t xml:space="preserve">prior to the presence of a hazardous situation inside the passenger compartment caused by thermal propagation which is triggered by an internal short circuit leading to a single cell thermal runaway such as fire, explosion or smoke. This requirement is deemed to be satisfied if the thermal propagation does not lead to a hazardous situation for the vehicle occupants. </w:t>
      </w:r>
      <w:r w:rsidRPr="006A5726">
        <w:rPr>
          <w:bCs/>
          <w:lang w:eastAsia="ja-JP"/>
        </w:rPr>
        <w:t>REESS</w:t>
      </w:r>
      <w:r w:rsidRPr="006A5726">
        <w:rPr>
          <w:bCs/>
        </w:rPr>
        <w:t xml:space="preserve"> </w:t>
      </w:r>
      <w:r w:rsidRPr="006A5726">
        <w:rPr>
          <w:bCs/>
          <w:lang w:eastAsia="ja-JP"/>
        </w:rPr>
        <w:t xml:space="preserve">or vehicle </w:t>
      </w:r>
      <w:r w:rsidRPr="006A5726">
        <w:rPr>
          <w:bCs/>
        </w:rPr>
        <w:t>manufacturer shall make available, at the request of the Technical Service with its necessity, the following documentation explaining safety performance of the system level or sub-system level of the vehicle:</w:t>
      </w:r>
    </w:p>
    <w:p w14:paraId="5A9626BE" w14:textId="77777777" w:rsidR="00C443E6" w:rsidRPr="006A5726" w:rsidRDefault="00C443E6" w:rsidP="00C443E6">
      <w:pPr>
        <w:spacing w:after="120"/>
        <w:ind w:leftChars="565" w:left="2260" w:right="1134" w:hangingChars="563" w:hanging="1130"/>
        <w:jc w:val="both"/>
        <w:rPr>
          <w:bCs/>
        </w:rPr>
      </w:pPr>
      <w:r w:rsidRPr="006A5726">
        <w:rPr>
          <w:b/>
        </w:rPr>
        <w:tab/>
        <w:t>If the manufacturer chooses to apply the condition (a) above, the manufacturer shall provide the justification for the duration required for the egress. The Communication for Type Approval granted shall contain the remarks if the condition (a) above is applied to that approval.</w:t>
      </w:r>
      <w:r w:rsidRPr="006A5726">
        <w:rPr>
          <w:bCs/>
        </w:rPr>
        <w:t>"</w:t>
      </w:r>
    </w:p>
    <w:p w14:paraId="4D592283" w14:textId="77777777" w:rsidR="00C443E6" w:rsidRPr="006A5726" w:rsidRDefault="00C443E6" w:rsidP="00C443E6">
      <w:pPr>
        <w:spacing w:after="120"/>
        <w:ind w:leftChars="565" w:left="2256" w:right="1134" w:hangingChars="563" w:hanging="1126"/>
        <w:jc w:val="both"/>
        <w:rPr>
          <w:bCs/>
        </w:rPr>
      </w:pPr>
      <w:r w:rsidRPr="006A5726">
        <w:rPr>
          <w:bCs/>
          <w:i/>
          <w:iCs/>
        </w:rPr>
        <w:t>Annex 1</w:t>
      </w:r>
      <w:r w:rsidRPr="006A5726">
        <w:rPr>
          <w:b/>
          <w:i/>
          <w:iCs/>
        </w:rPr>
        <w:t xml:space="preserve"> –</w:t>
      </w:r>
      <w:r w:rsidRPr="006A5726">
        <w:rPr>
          <w:bCs/>
          <w:i/>
          <w:iCs/>
        </w:rPr>
        <w:t xml:space="preserve"> Part 1</w:t>
      </w:r>
      <w:r w:rsidRPr="006A5726">
        <w:rPr>
          <w:bCs/>
        </w:rPr>
        <w:t>, amend to read:</w:t>
      </w:r>
    </w:p>
    <w:p w14:paraId="6F8DCD1C" w14:textId="77777777" w:rsidR="00C443E6" w:rsidRPr="006A5726" w:rsidRDefault="00C443E6" w:rsidP="00C443E6">
      <w:pPr>
        <w:pStyle w:val="HChG"/>
        <w:spacing w:before="0"/>
      </w:pPr>
      <w:r w:rsidRPr="006A5726">
        <w:tab/>
      </w:r>
      <w:r w:rsidRPr="006A5726">
        <w:tab/>
      </w:r>
      <w:bookmarkStart w:id="0" w:name="_Toc352838562"/>
      <w:bookmarkStart w:id="1" w:name="_Toc352852732"/>
      <w:r w:rsidRPr="006A5726">
        <w:rPr>
          <w:bCs/>
        </w:rPr>
        <w:t>"</w:t>
      </w:r>
      <w:r w:rsidRPr="006A5726">
        <w:t>Communication</w:t>
      </w:r>
      <w:bookmarkEnd w:id="0"/>
      <w:bookmarkEnd w:id="1"/>
    </w:p>
    <w:p w14:paraId="2E029CFD" w14:textId="77777777" w:rsidR="00C443E6" w:rsidRPr="006A5726" w:rsidRDefault="00C443E6" w:rsidP="00C443E6">
      <w:pPr>
        <w:pStyle w:val="SingleTxtG"/>
        <w:ind w:left="2268" w:hanging="1134"/>
        <w:rPr>
          <w:b/>
          <w:lang w:eastAsia="ja-JP"/>
        </w:rPr>
      </w:pPr>
      <w:r w:rsidRPr="006A5726">
        <w:rPr>
          <w:b/>
        </w:rPr>
        <w:tab/>
      </w:r>
      <w:r w:rsidRPr="006A5726">
        <w:rPr>
          <w:b/>
          <w:lang w:eastAsia="ja-JP"/>
        </w:rPr>
        <w:t>…</w:t>
      </w:r>
    </w:p>
    <w:p w14:paraId="5E77BE8E" w14:textId="1E10277C" w:rsidR="00BD122A" w:rsidRPr="006A5726" w:rsidRDefault="00BD122A" w:rsidP="00BD122A">
      <w:pPr>
        <w:tabs>
          <w:tab w:val="left" w:pos="-720"/>
          <w:tab w:val="left" w:pos="0"/>
          <w:tab w:val="right" w:leader="dot" w:pos="8505"/>
          <w:tab w:val="right" w:leader="dot" w:pos="9474"/>
        </w:tabs>
        <w:spacing w:after="120" w:line="334" w:lineRule="auto"/>
        <w:ind w:left="1701" w:right="992" w:hanging="567"/>
      </w:pPr>
      <w:r w:rsidRPr="006A5726">
        <w:rPr>
          <w:b/>
          <w:bCs/>
        </w:rPr>
        <w:t>18.</w:t>
      </w:r>
      <w:r w:rsidRPr="006A5726">
        <w:rPr>
          <w:b/>
          <w:bCs/>
        </w:rPr>
        <w:tab/>
        <w:t xml:space="preserve">Remarks: </w:t>
      </w:r>
      <w:r w:rsidRPr="006A5726">
        <w:rPr>
          <w:b/>
          <w:bCs/>
        </w:rPr>
        <w:tab/>
      </w:r>
      <w:r w:rsidRPr="006A5726">
        <w:rPr>
          <w:bCs/>
        </w:rPr>
        <w:t>"</w:t>
      </w:r>
    </w:p>
    <w:p w14:paraId="7646701C" w14:textId="6F9FBF38" w:rsidR="00C443E6" w:rsidRPr="006A5726" w:rsidRDefault="00C443E6" w:rsidP="00C443E6">
      <w:pPr>
        <w:spacing w:after="120"/>
        <w:ind w:leftChars="565" w:left="2256" w:right="1134" w:hangingChars="563" w:hanging="1126"/>
        <w:jc w:val="both"/>
        <w:rPr>
          <w:bCs/>
        </w:rPr>
      </w:pPr>
      <w:r w:rsidRPr="006A5726">
        <w:rPr>
          <w:bCs/>
          <w:i/>
          <w:iCs/>
        </w:rPr>
        <w:t>Annex 1</w:t>
      </w:r>
      <w:r w:rsidRPr="006A5726">
        <w:rPr>
          <w:b/>
          <w:i/>
          <w:iCs/>
        </w:rPr>
        <w:t xml:space="preserve"> –</w:t>
      </w:r>
      <w:r w:rsidRPr="006A5726">
        <w:rPr>
          <w:bCs/>
          <w:i/>
          <w:iCs/>
        </w:rPr>
        <w:t xml:space="preserve"> Part </w:t>
      </w:r>
      <w:r w:rsidRPr="006A5726">
        <w:rPr>
          <w:bCs/>
          <w:i/>
          <w:iCs/>
          <w:lang w:eastAsia="ja-JP"/>
        </w:rPr>
        <w:t>2,</w:t>
      </w:r>
      <w:r w:rsidRPr="006A5726">
        <w:rPr>
          <w:bCs/>
        </w:rPr>
        <w:t xml:space="preserve"> amend to read:</w:t>
      </w:r>
    </w:p>
    <w:p w14:paraId="0747D770" w14:textId="77777777" w:rsidR="00C443E6" w:rsidRPr="006A5726" w:rsidRDefault="00C443E6" w:rsidP="00C443E6">
      <w:pPr>
        <w:pStyle w:val="HChG"/>
        <w:spacing w:before="0"/>
      </w:pPr>
      <w:r w:rsidRPr="006A5726">
        <w:tab/>
      </w:r>
      <w:r w:rsidRPr="006A5726">
        <w:tab/>
      </w:r>
      <w:r w:rsidRPr="006A5726">
        <w:rPr>
          <w:bCs/>
        </w:rPr>
        <w:t>"</w:t>
      </w:r>
      <w:r w:rsidRPr="006A5726">
        <w:t>Communication</w:t>
      </w:r>
    </w:p>
    <w:p w14:paraId="6A20A180" w14:textId="77777777" w:rsidR="00C443E6" w:rsidRPr="006A5726" w:rsidRDefault="00C443E6" w:rsidP="00C443E6">
      <w:pPr>
        <w:pStyle w:val="SingleTxtG"/>
        <w:ind w:left="2268" w:hanging="1134"/>
        <w:rPr>
          <w:b/>
          <w:lang w:eastAsia="ja-JP"/>
        </w:rPr>
      </w:pPr>
      <w:r w:rsidRPr="006A5726">
        <w:rPr>
          <w:b/>
        </w:rPr>
        <w:tab/>
      </w:r>
      <w:r w:rsidRPr="006A5726">
        <w:rPr>
          <w:b/>
          <w:lang w:eastAsia="ja-JP"/>
        </w:rPr>
        <w:t>…</w:t>
      </w:r>
    </w:p>
    <w:p w14:paraId="455053C3" w14:textId="7F7368E1" w:rsidR="00C443E6" w:rsidRPr="006A5726" w:rsidRDefault="00BD122A" w:rsidP="00BD122A">
      <w:pPr>
        <w:tabs>
          <w:tab w:val="left" w:pos="-720"/>
          <w:tab w:val="left" w:pos="0"/>
          <w:tab w:val="right" w:leader="dot" w:pos="8505"/>
          <w:tab w:val="right" w:leader="dot" w:pos="9474"/>
        </w:tabs>
        <w:spacing w:after="120" w:line="334" w:lineRule="auto"/>
        <w:ind w:left="1701" w:right="992" w:hanging="567"/>
      </w:pPr>
      <w:r w:rsidRPr="006A5726">
        <w:rPr>
          <w:b/>
          <w:bCs/>
        </w:rPr>
        <w:t>18.</w:t>
      </w:r>
      <w:r w:rsidRPr="006A5726">
        <w:rPr>
          <w:b/>
          <w:bCs/>
        </w:rPr>
        <w:tab/>
        <w:t xml:space="preserve">Remarks: </w:t>
      </w:r>
      <w:r w:rsidRPr="006A5726">
        <w:rPr>
          <w:b/>
          <w:bCs/>
        </w:rPr>
        <w:tab/>
      </w:r>
      <w:r w:rsidRPr="006A5726">
        <w:rPr>
          <w:bCs/>
        </w:rPr>
        <w:t>"</w:t>
      </w:r>
    </w:p>
    <w:p w14:paraId="35AA3B68" w14:textId="77777777" w:rsidR="00C443E6" w:rsidRPr="006A5726" w:rsidRDefault="00C443E6" w:rsidP="00C443E6">
      <w:pPr>
        <w:pStyle w:val="HChG"/>
        <w:rPr>
          <w:snapToGrid w:val="0"/>
          <w:lang w:eastAsia="ja-JP"/>
        </w:rPr>
      </w:pPr>
      <w:r w:rsidRPr="006A5726">
        <w:rPr>
          <w:snapToGrid w:val="0"/>
          <w:lang w:eastAsia="ja-JP"/>
        </w:rPr>
        <w:tab/>
        <w:t>II.</w:t>
      </w:r>
      <w:r w:rsidRPr="006A5726">
        <w:rPr>
          <w:snapToGrid w:val="0"/>
          <w:lang w:eastAsia="ja-JP"/>
        </w:rPr>
        <w:tab/>
      </w:r>
      <w:r w:rsidRPr="006A5726">
        <w:rPr>
          <w:snapToGrid w:val="0"/>
          <w:lang w:eastAsia="ja-JP"/>
        </w:rPr>
        <w:tab/>
      </w:r>
      <w:r w:rsidRPr="006A5726">
        <w:t>Justification</w:t>
      </w:r>
    </w:p>
    <w:p w14:paraId="5EB5C25F" w14:textId="1E3CB7E7" w:rsidR="00C443E6" w:rsidRPr="006A5726" w:rsidRDefault="00C443E6" w:rsidP="005838A1">
      <w:pPr>
        <w:pStyle w:val="SingleTxtG"/>
      </w:pPr>
      <w:r w:rsidRPr="006A5726">
        <w:t>1.</w:t>
      </w:r>
      <w:r w:rsidRPr="006A5726">
        <w:tab/>
        <w:t xml:space="preserve">The 03 series of amendment to UN Regulation No.100 </w:t>
      </w:r>
      <w:r w:rsidR="009362CE">
        <w:t>aims</w:t>
      </w:r>
      <w:r w:rsidRPr="006A5726">
        <w:t xml:space="preserve"> to transpose the technical requirements of </w:t>
      </w:r>
      <w:r w:rsidR="009362CE">
        <w:t xml:space="preserve">UN </w:t>
      </w:r>
      <w:r w:rsidRPr="006A5726">
        <w:t>GTR</w:t>
      </w:r>
      <w:r w:rsidR="009362CE">
        <w:t xml:space="preserve"> No. </w:t>
      </w:r>
      <w:r w:rsidRPr="006A5726">
        <w:t>20, where the below remarks are given in its Part I:</w:t>
      </w:r>
    </w:p>
    <w:p w14:paraId="7DEE9C30" w14:textId="77777777" w:rsidR="00C443E6" w:rsidRPr="006A5726" w:rsidRDefault="00C443E6" w:rsidP="00C443E6">
      <w:pPr>
        <w:pStyle w:val="H23G"/>
        <w:ind w:left="1701" w:firstLine="0"/>
      </w:pPr>
      <w:r w:rsidRPr="006A5726">
        <w:rPr>
          <w:bCs/>
        </w:rPr>
        <w:t>"</w:t>
      </w:r>
      <w:r w:rsidRPr="006A5726">
        <w:rPr>
          <w:lang w:eastAsia="ja-JP"/>
        </w:rPr>
        <w:t>3.</w:t>
      </w:r>
      <w:r w:rsidRPr="006A5726">
        <w:rPr>
          <w:lang w:eastAsia="ja-JP"/>
        </w:rPr>
        <w:tab/>
      </w:r>
      <w:r w:rsidRPr="006A5726">
        <w:t>Confidentiality of information</w:t>
      </w:r>
    </w:p>
    <w:p w14:paraId="45EAC9EF" w14:textId="7AA2984B" w:rsidR="00C443E6" w:rsidRPr="006A5726" w:rsidRDefault="00C443E6" w:rsidP="00C443E6">
      <w:pPr>
        <w:pStyle w:val="SingleTxtG"/>
        <w:ind w:left="1701"/>
      </w:pPr>
      <w:r w:rsidRPr="006A5726">
        <w:rPr>
          <w:lang w:eastAsia="ja-JP"/>
        </w:rPr>
        <w:t>242</w:t>
      </w:r>
      <w:r w:rsidRPr="006A5726">
        <w:t>.</w:t>
      </w:r>
      <w:r w:rsidRPr="006A5726">
        <w:tab/>
        <w:t xml:space="preserve">As described in section E above, this </w:t>
      </w:r>
      <w:r w:rsidRPr="006A5726">
        <w:rPr>
          <w:lang w:eastAsia="ja-JP"/>
        </w:rPr>
        <w:t>UN GTR</w:t>
      </w:r>
      <w:r w:rsidRPr="006A5726">
        <w:t xml:space="preserve"> includes specific requirements for manufacturer to provide technical documentations that address specific aspects, such as REESS warnings (paragraphs 5.3.2.</w:t>
      </w:r>
      <w:r w:rsidRPr="006A5726">
        <w:rPr>
          <w:lang w:eastAsia="ja-JP"/>
        </w:rPr>
        <w:t xml:space="preserve">, </w:t>
      </w:r>
      <w:r w:rsidRPr="006A5726">
        <w:t>5.3.3.</w:t>
      </w:r>
      <w:r w:rsidRPr="006A5726">
        <w:rPr>
          <w:lang w:eastAsia="ja-JP"/>
        </w:rPr>
        <w:t>, 7.2.2. and 7.2.3.</w:t>
      </w:r>
      <w:r w:rsidRPr="006A5726">
        <w:t xml:space="preserve">), low-temperature </w:t>
      </w:r>
      <w:r w:rsidRPr="006A5726">
        <w:rPr>
          <w:lang w:eastAsia="ja-JP"/>
        </w:rPr>
        <w:t xml:space="preserve">protection </w:t>
      </w:r>
      <w:r w:rsidRPr="006A5726">
        <w:t>(paragraph</w:t>
      </w:r>
      <w:r w:rsidRPr="006A5726">
        <w:rPr>
          <w:lang w:eastAsia="ja-JP"/>
        </w:rPr>
        <w:t>s</w:t>
      </w:r>
      <w:r w:rsidRPr="006A5726">
        <w:t xml:space="preserve"> 5.4.10.</w:t>
      </w:r>
      <w:r w:rsidRPr="006A5726">
        <w:rPr>
          <w:lang w:eastAsia="ja-JP"/>
        </w:rPr>
        <w:t xml:space="preserve"> and 7.3.10.</w:t>
      </w:r>
      <w:r w:rsidRPr="006A5726">
        <w:t>) and thermal propagation (paragraph</w:t>
      </w:r>
      <w:r w:rsidRPr="006A5726">
        <w:rPr>
          <w:lang w:eastAsia="ja-JP"/>
        </w:rPr>
        <w:t>s</w:t>
      </w:r>
      <w:r w:rsidRPr="006A5726">
        <w:t xml:space="preserve"> 5.4.12.</w:t>
      </w:r>
      <w:r w:rsidRPr="006A5726">
        <w:rPr>
          <w:lang w:eastAsia="ja-JP"/>
        </w:rPr>
        <w:t xml:space="preserve"> and 7.3.12.</w:t>
      </w:r>
      <w:r w:rsidRPr="006A5726">
        <w:t>). In order to describe the required aspects sufficiently, such documentation will include</w:t>
      </w:r>
      <w:r w:rsidR="009362CE">
        <w:t xml:space="preserve"> the</w:t>
      </w:r>
      <w:r w:rsidRPr="006A5726">
        <w:t xml:space="preserve"> </w:t>
      </w:r>
      <w:r w:rsidRPr="006A5726">
        <w:rPr>
          <w:lang w:eastAsia="ja-JP"/>
        </w:rPr>
        <w:t>manufacturer's</w:t>
      </w:r>
      <w:r w:rsidRPr="006A5726">
        <w:t xml:space="preserve"> confidential and proprietary information, where it is indispensable to protect the intellectual properties therein. Accordingly, </w:t>
      </w:r>
      <w:r w:rsidRPr="006A5726">
        <w:rPr>
          <w:lang w:eastAsia="ja-JP"/>
        </w:rPr>
        <w:t>1998 Ag. Cps.</w:t>
      </w:r>
      <w:r w:rsidRPr="006A5726">
        <w:t xml:space="preserve"> implementing this regulation should take necessary measures to protect such intellectual properties by allowing confidential treatment of the documentation if requested by the manufacturer.</w:t>
      </w:r>
      <w:r w:rsidRPr="006A5726">
        <w:rPr>
          <w:bCs/>
        </w:rPr>
        <w:t xml:space="preserve"> "</w:t>
      </w:r>
    </w:p>
    <w:p w14:paraId="5B51B043" w14:textId="11A4E147" w:rsidR="00C443E6" w:rsidRPr="006A5726" w:rsidRDefault="00C443E6" w:rsidP="005838A1">
      <w:pPr>
        <w:pStyle w:val="SingleTxtG"/>
      </w:pPr>
      <w:r w:rsidRPr="006A5726">
        <w:t xml:space="preserve">However, the measures to protect such intellectual properties </w:t>
      </w:r>
      <w:r w:rsidR="009362CE">
        <w:t xml:space="preserve">have yet to be </w:t>
      </w:r>
      <w:r w:rsidRPr="006A5726">
        <w:t>clearly specified in this Regulation.</w:t>
      </w:r>
    </w:p>
    <w:p w14:paraId="2BB14A7A" w14:textId="48ADE613" w:rsidR="00C443E6" w:rsidRPr="006A5726" w:rsidRDefault="00C443E6" w:rsidP="005838A1">
      <w:pPr>
        <w:pStyle w:val="SingleTxtG"/>
      </w:pPr>
      <w:r w:rsidRPr="006A5726">
        <w:t>2</w:t>
      </w:r>
      <w:r w:rsidRPr="006A5726">
        <w:tab/>
        <w:t>Similar concern exists in other regulations such as UN Regulation No.155 (</w:t>
      </w:r>
      <w:r w:rsidR="009362CE" w:rsidRPr="006A5726">
        <w:t>Cyber Security)</w:t>
      </w:r>
      <w:r w:rsidRPr="006A5726">
        <w:t xml:space="preserve">, </w:t>
      </w:r>
      <w:r w:rsidR="009362CE" w:rsidRPr="006A5726">
        <w:t xml:space="preserve">UN Regulation </w:t>
      </w:r>
      <w:r w:rsidRPr="006A5726">
        <w:t>No.</w:t>
      </w:r>
      <w:r w:rsidR="009362CE">
        <w:t xml:space="preserve"> </w:t>
      </w:r>
      <w:r w:rsidRPr="006A5726">
        <w:t>156 (</w:t>
      </w:r>
      <w:r w:rsidR="009362CE" w:rsidRPr="006A5726">
        <w:t>Software Update</w:t>
      </w:r>
      <w:r w:rsidRPr="006A5726">
        <w:t xml:space="preserve">) and so on, where specific provisions are provided to protect </w:t>
      </w:r>
      <w:r w:rsidR="009362CE">
        <w:t xml:space="preserve">the </w:t>
      </w:r>
      <w:r w:rsidRPr="006A5726">
        <w:t>intellectual properties of the manufacturer. It is considered as appropriate to include similar provisions to this Regulation.</w:t>
      </w:r>
    </w:p>
    <w:p w14:paraId="7AF8D970" w14:textId="64B49CD8" w:rsidR="00C443E6" w:rsidRPr="006A5726" w:rsidRDefault="00C443E6" w:rsidP="005838A1">
      <w:pPr>
        <w:pStyle w:val="SingleTxtG"/>
      </w:pPr>
      <w:r w:rsidRPr="006A5726">
        <w:lastRenderedPageBreak/>
        <w:t>3.</w:t>
      </w:r>
      <w:r w:rsidRPr="006A5726">
        <w:tab/>
        <w:t xml:space="preserve">During the development of the 05 series of amendments to UN Regulation No.100, it was agreed to eliminate the ambiguity in the duration for securing the occupant in the event of thermal propagation which is </w:t>
      </w:r>
      <w:r w:rsidR="00C82369">
        <w:t xml:space="preserve">caused </w:t>
      </w:r>
      <w:r w:rsidRPr="006A5726">
        <w:t xml:space="preserve">by an internal short circuit leading to a single cell thermal runaway. However, the </w:t>
      </w:r>
      <w:r w:rsidR="009362CE">
        <w:t>experts from the contracting partie</w:t>
      </w:r>
      <w:r w:rsidR="009362CE" w:rsidRPr="006A5726">
        <w:t xml:space="preserve">s </w:t>
      </w:r>
      <w:r w:rsidRPr="006A5726">
        <w:t xml:space="preserve">in the </w:t>
      </w:r>
      <w:r w:rsidR="009362CE" w:rsidRPr="006A5726">
        <w:t xml:space="preserve">Special Interest Group </w:t>
      </w:r>
      <w:r w:rsidR="009362CE">
        <w:t>o</w:t>
      </w:r>
      <w:r w:rsidR="009362CE" w:rsidRPr="006A5726">
        <w:t>n Thermal Propagation</w:t>
      </w:r>
      <w:r w:rsidRPr="006A5726">
        <w:t xml:space="preserve"> agreed to allow exemptions for the existing approvals </w:t>
      </w:r>
      <w:r w:rsidR="00C82369">
        <w:t xml:space="preserve">by </w:t>
      </w:r>
      <w:r w:rsidRPr="006A5726">
        <w:t xml:space="preserve">applying the condition of “allow egress” from mandatory implementation of the 05 series of amendment. </w:t>
      </w:r>
      <w:r w:rsidR="00C82369">
        <w:t>I</w:t>
      </w:r>
      <w:r w:rsidRPr="006A5726">
        <w:t xml:space="preserve">t </w:t>
      </w:r>
      <w:r w:rsidR="00C82369">
        <w:t xml:space="preserve">then </w:t>
      </w:r>
      <w:r w:rsidRPr="006A5726">
        <w:t>becomes necessary to identify th</w:t>
      </w:r>
      <w:r w:rsidR="00C82369">
        <w:t>e</w:t>
      </w:r>
      <w:r w:rsidRPr="006A5726">
        <w:t xml:space="preserve"> approvals applying such a provision.</w:t>
      </w:r>
    </w:p>
    <w:p w14:paraId="37BA84A4" w14:textId="77777777" w:rsidR="00C443E6" w:rsidRPr="006A5726" w:rsidRDefault="00C443E6" w:rsidP="00C443E6">
      <w:pPr>
        <w:ind w:leftChars="567" w:left="1700" w:right="1134" w:hangingChars="283" w:hanging="566"/>
        <w:jc w:val="both"/>
      </w:pPr>
    </w:p>
    <w:p w14:paraId="745C3379" w14:textId="4968FEFD" w:rsidR="00C443E6" w:rsidRPr="009362CE" w:rsidRDefault="00C443E6" w:rsidP="005838A1">
      <w:pPr>
        <w:pStyle w:val="SingleTxtG"/>
      </w:pPr>
      <w:r w:rsidRPr="006A5726">
        <w:t>4.</w:t>
      </w:r>
      <w:r w:rsidRPr="006A5726">
        <w:tab/>
        <w:t xml:space="preserve">In order to resolve the issue of different interpretations of "common space" in paragraph 5.2.3., </w:t>
      </w:r>
      <w:r w:rsidR="00C82369">
        <w:t xml:space="preserve">a </w:t>
      </w:r>
      <w:r w:rsidRPr="006A5726">
        <w:t xml:space="preserve">new definition of "common space" </w:t>
      </w:r>
      <w:r w:rsidR="00C82369" w:rsidRPr="006A5726">
        <w:t xml:space="preserve">is added </w:t>
      </w:r>
      <w:r w:rsidR="00C82369">
        <w:t xml:space="preserve">on the </w:t>
      </w:r>
      <w:r w:rsidRPr="006A5726">
        <w:t>bas</w:t>
      </w:r>
      <w:r w:rsidR="00C82369">
        <w:t>is of the definition</w:t>
      </w:r>
      <w:r w:rsidRPr="006A5726">
        <w:t xml:space="preserve"> in UN Regulation No. 121. </w:t>
      </w:r>
    </w:p>
    <w:p w14:paraId="102FB081" w14:textId="3E535CD3" w:rsidR="00C443E6" w:rsidRPr="006A5726" w:rsidRDefault="00C443E6" w:rsidP="005838A1">
      <w:pPr>
        <w:pStyle w:val="SingleTxtG"/>
      </w:pPr>
      <w:r w:rsidRPr="006A5726">
        <w:t>5.</w:t>
      </w:r>
      <w:r w:rsidRPr="006A5726">
        <w:tab/>
        <w:t>The paragraph numbers referred to in paragraph 6.4.2.3. (</w:t>
      </w:r>
      <w:proofErr w:type="gramStart"/>
      <w:r w:rsidRPr="006A5726">
        <w:t>mechanical</w:t>
      </w:r>
      <w:proofErr w:type="gramEnd"/>
      <w:r w:rsidRPr="006A5726">
        <w:t xml:space="preserve"> integrity) are corrected where the criterion (c1) appl</w:t>
      </w:r>
      <w:r w:rsidR="00C82369">
        <w:t>ies</w:t>
      </w:r>
      <w:r w:rsidRPr="006A5726">
        <w:t xml:space="preserve"> to the vehicle</w:t>
      </w:r>
      <w:r w:rsidR="00C82369">
        <w:t>-</w:t>
      </w:r>
      <w:r w:rsidRPr="006A5726">
        <w:t>based dynamic test (6.4.2.1.1.)</w:t>
      </w:r>
      <w:r w:rsidR="00C82369">
        <w:t>,</w:t>
      </w:r>
      <w:r w:rsidRPr="006A5726">
        <w:t xml:space="preserve"> while the criterion (c2) </w:t>
      </w:r>
      <w:r w:rsidR="00C82369">
        <w:t xml:space="preserve">applies </w:t>
      </w:r>
      <w:r w:rsidRPr="006A5726">
        <w:t>to the vehicle</w:t>
      </w:r>
      <w:r w:rsidR="00C82369">
        <w:t>-</w:t>
      </w:r>
      <w:r w:rsidRPr="006A5726">
        <w:t>specific component test (6.4.2.1.2.) and the component</w:t>
      </w:r>
      <w:r w:rsidR="00C82369">
        <w:t>-</w:t>
      </w:r>
      <w:r w:rsidRPr="006A5726">
        <w:t>based test (6.4.2.2.).</w:t>
      </w:r>
      <w:r w:rsidR="00B10947">
        <w:t xml:space="preserve"> </w:t>
      </w:r>
      <w:r w:rsidR="00B10947" w:rsidRPr="000D6B81">
        <w:rPr>
          <w:color w:val="FF0000"/>
        </w:rPr>
        <w:t xml:space="preserve">Other editorial </w:t>
      </w:r>
      <w:r w:rsidR="000D6B81" w:rsidRPr="000D6B81">
        <w:rPr>
          <w:color w:val="FF0000"/>
        </w:rPr>
        <w:t>change</w:t>
      </w:r>
      <w:r w:rsidR="002246C2" w:rsidRPr="000D6B81">
        <w:rPr>
          <w:color w:val="FF0000"/>
        </w:rPr>
        <w:t xml:space="preserve"> in Paragraph 6.5. to </w:t>
      </w:r>
      <w:r w:rsidR="000D6B81" w:rsidRPr="000D6B81">
        <w:rPr>
          <w:color w:val="FF0000"/>
        </w:rPr>
        <w:t>improve the consistency of the description.</w:t>
      </w:r>
    </w:p>
    <w:p w14:paraId="05FAF29B" w14:textId="216913BD" w:rsidR="00AB46E1" w:rsidRPr="006A5726" w:rsidRDefault="00AB46E1" w:rsidP="00AB46E1">
      <w:pPr>
        <w:spacing w:before="240"/>
        <w:jc w:val="center"/>
        <w:rPr>
          <w:u w:val="single"/>
        </w:rPr>
      </w:pPr>
      <w:r w:rsidRPr="006A5726">
        <w:rPr>
          <w:u w:val="single"/>
        </w:rPr>
        <w:tab/>
      </w:r>
      <w:r w:rsidRPr="006A5726">
        <w:rPr>
          <w:u w:val="single"/>
        </w:rPr>
        <w:tab/>
      </w:r>
      <w:r w:rsidRPr="006A5726">
        <w:rPr>
          <w:u w:val="single"/>
        </w:rPr>
        <w:tab/>
      </w:r>
    </w:p>
    <w:p w14:paraId="6444930A" w14:textId="77777777" w:rsidR="00AB46E1" w:rsidRPr="006A5726" w:rsidRDefault="00AB46E1" w:rsidP="00AB46E1"/>
    <w:sectPr w:rsidR="00AB46E1" w:rsidRPr="006A5726" w:rsidSect="00C2754A">
      <w:headerReference w:type="even" r:id="rId11"/>
      <w:headerReference w:type="default" r:id="rId12"/>
      <w:footerReference w:type="even" r:id="rId13"/>
      <w:footerReference w:type="default" r:id="rId14"/>
      <w:headerReference w:type="first" r:id="rId15"/>
      <w:foot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E31775" w14:textId="77777777" w:rsidR="003B7263" w:rsidRDefault="003B7263"/>
  </w:endnote>
  <w:endnote w:type="continuationSeparator" w:id="0">
    <w:p w14:paraId="0379DE60" w14:textId="77777777" w:rsidR="003B7263" w:rsidRDefault="003B7263"/>
  </w:endnote>
  <w:endnote w:type="continuationNotice" w:id="1">
    <w:p w14:paraId="4E8B5D36" w14:textId="77777777" w:rsidR="003B7263" w:rsidRDefault="003B72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FBD2" w14:textId="7439AF50" w:rsidR="00C2754A" w:rsidRPr="00C2754A" w:rsidRDefault="00C2754A" w:rsidP="00C2754A">
    <w:pPr>
      <w:pStyle w:val="aa"/>
      <w:tabs>
        <w:tab w:val="right" w:pos="9638"/>
      </w:tabs>
      <w:rPr>
        <w:sz w:val="18"/>
      </w:rPr>
    </w:pP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2</w:t>
    </w:r>
    <w:r w:rsidRPr="00C2754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6BF" w14:textId="03767715" w:rsidR="00C2754A" w:rsidRPr="00C2754A" w:rsidRDefault="00C2754A" w:rsidP="00C2754A">
    <w:pPr>
      <w:pStyle w:val="aa"/>
      <w:tabs>
        <w:tab w:val="right" w:pos="9638"/>
      </w:tabs>
      <w:rPr>
        <w:b/>
        <w:sz w:val="18"/>
      </w:rPr>
    </w:pPr>
    <w:r>
      <w:tab/>
    </w: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3</w:t>
    </w:r>
    <w:r w:rsidRPr="00C2754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79EC2" w14:textId="10C1B2ED" w:rsidR="0075428B" w:rsidRDefault="0075428B" w:rsidP="0075428B">
    <w:pPr>
      <w:pStyle w:val="aa"/>
    </w:pPr>
    <w:r w:rsidRPr="0027112F">
      <w:rPr>
        <w:noProof/>
        <w:lang w:val="en-US"/>
      </w:rPr>
      <w:drawing>
        <wp:anchor distT="0" distB="0" distL="114300" distR="114300" simplePos="0" relativeHeight="251659264" behindDoc="0" locked="1" layoutInCell="1" allowOverlap="1" wp14:anchorId="71F9DD13" wp14:editId="19A31DD6">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52956F0C" w14:textId="104303BA" w:rsidR="0075428B" w:rsidRPr="0075428B" w:rsidRDefault="0075428B" w:rsidP="0075428B">
    <w:pPr>
      <w:pStyle w:val="aa"/>
      <w:ind w:right="1134"/>
      <w:rPr>
        <w:sz w:val="20"/>
      </w:rPr>
    </w:pPr>
    <w:r>
      <w:rPr>
        <w:sz w:val="20"/>
      </w:rPr>
      <w:t>GE.24-16767  (E)</w:t>
    </w:r>
    <w:r>
      <w:rPr>
        <w:noProof/>
        <w:sz w:val="20"/>
      </w:rPr>
      <w:drawing>
        <wp:anchor distT="0" distB="0" distL="114300" distR="114300" simplePos="0" relativeHeight="251660288" behindDoc="0" locked="0" layoutInCell="1" allowOverlap="1" wp14:anchorId="7C3D2EC5" wp14:editId="005FCE19">
          <wp:simplePos x="0" y="0"/>
          <wp:positionH relativeFrom="margin">
            <wp:posOffset>5615940</wp:posOffset>
          </wp:positionH>
          <wp:positionV relativeFrom="margin">
            <wp:posOffset>8905875</wp:posOffset>
          </wp:positionV>
          <wp:extent cx="571500" cy="571500"/>
          <wp:effectExtent l="0" t="0" r="0" b="0"/>
          <wp:wrapNone/>
          <wp:docPr id="15383610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10770A" w14:textId="77777777" w:rsidR="003B7263" w:rsidRPr="000B175B" w:rsidRDefault="003B7263" w:rsidP="000B175B">
      <w:pPr>
        <w:tabs>
          <w:tab w:val="right" w:pos="2155"/>
        </w:tabs>
        <w:spacing w:after="80"/>
        <w:ind w:left="680"/>
        <w:rPr>
          <w:u w:val="single"/>
        </w:rPr>
      </w:pPr>
      <w:r>
        <w:rPr>
          <w:u w:val="single"/>
        </w:rPr>
        <w:tab/>
      </w:r>
    </w:p>
  </w:footnote>
  <w:footnote w:type="continuationSeparator" w:id="0">
    <w:p w14:paraId="6131E738" w14:textId="77777777" w:rsidR="003B7263" w:rsidRPr="00FC68B7" w:rsidRDefault="003B7263" w:rsidP="00FC68B7">
      <w:pPr>
        <w:tabs>
          <w:tab w:val="left" w:pos="2155"/>
        </w:tabs>
        <w:spacing w:after="80"/>
        <w:ind w:left="680"/>
        <w:rPr>
          <w:u w:val="single"/>
        </w:rPr>
      </w:pPr>
      <w:r>
        <w:rPr>
          <w:u w:val="single"/>
        </w:rPr>
        <w:tab/>
      </w:r>
    </w:p>
  </w:footnote>
  <w:footnote w:type="continuationNotice" w:id="1">
    <w:p w14:paraId="1CB55F59" w14:textId="77777777" w:rsidR="003B7263" w:rsidRDefault="003B7263"/>
  </w:footnote>
  <w:footnote w:id="2">
    <w:p w14:paraId="71ADA955" w14:textId="77777777" w:rsidR="00B6744D" w:rsidRPr="00D32C69" w:rsidRDefault="00B6744D" w:rsidP="00B6744D">
      <w:pPr>
        <w:pStyle w:val="a6"/>
        <w:rPr>
          <w:szCs w:val="18"/>
        </w:rPr>
      </w:pPr>
      <w:r>
        <w:tab/>
      </w:r>
      <w:r w:rsidRPr="00C2754A">
        <w:rPr>
          <w:rStyle w:val="a5"/>
        </w:rPr>
        <w:sym w:font="Symbol" w:char="F02A"/>
      </w:r>
      <w:r>
        <w:t xml:space="preserve"> </w:t>
      </w:r>
      <w:r>
        <w:tab/>
      </w:r>
      <w:r w:rsidRPr="00D32C69">
        <w:rPr>
          <w:szCs w:val="18"/>
        </w:rPr>
        <w:t xml:space="preserve">In accordance with the programme of work of the Inland Transport Committee for 2024 as outlined in proposed programme budget for 2024 (A/78/6 (Sect. 20), table 20.5), the World Forum will develop, </w:t>
      </w:r>
      <w:proofErr w:type="gramStart"/>
      <w:r w:rsidRPr="00D32C69">
        <w:rPr>
          <w:szCs w:val="18"/>
        </w:rPr>
        <w:t>harmonize</w:t>
      </w:r>
      <w:proofErr w:type="gramEnd"/>
      <w:r w:rsidRPr="00D32C69">
        <w:rPr>
          <w:szCs w:val="18"/>
        </w:rPr>
        <w:t xml:space="preserve"> and update UN Regulations in order to enhance the performance of vehicles. The present document is submitted in conformity with that mandate.</w:t>
      </w:r>
    </w:p>
    <w:p w14:paraId="2E4618CB" w14:textId="77777777" w:rsidR="00B6744D" w:rsidRPr="00E7435C" w:rsidRDefault="00B6744D" w:rsidP="00B6744D">
      <w:pPr>
        <w:pStyle w:val="a6"/>
        <w:rPr>
          <w:lang w:val="en-IE"/>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E333C" w14:textId="73A14B18" w:rsidR="00C2754A" w:rsidRPr="00FB3C34" w:rsidRDefault="00FB3C34" w:rsidP="00FB3C34">
    <w:pPr>
      <w:pStyle w:val="ab"/>
      <w:rPr>
        <w:lang w:val="fr-CH"/>
      </w:rPr>
    </w:pPr>
    <w:r>
      <w:rPr>
        <w:lang w:val="fr-CH"/>
      </w:rPr>
      <w:t>ECE/TRANS/WP.29/GRSP/2024/22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DAD88" w14:textId="7D5578E0" w:rsidR="00C2754A" w:rsidRPr="00AC4D3B" w:rsidRDefault="00AC4D3B" w:rsidP="00C2754A">
    <w:pPr>
      <w:pStyle w:val="ab"/>
      <w:jc w:val="right"/>
      <w:rPr>
        <w:lang w:val="fr-CH"/>
      </w:rPr>
    </w:pPr>
    <w:r>
      <w:rPr>
        <w:lang w:val="fr-CH"/>
      </w:rPr>
      <w:t>ECE/TRANS/WP.29/GRSP/2024/22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373160" w:rsidRPr="00E27568" w14:paraId="20D70EAE" w14:textId="77777777" w:rsidTr="00AB18F2">
      <w:tc>
        <w:tcPr>
          <w:tcW w:w="4962" w:type="dxa"/>
        </w:tcPr>
        <w:p w14:paraId="0A7A0249" w14:textId="77777777" w:rsidR="00373160" w:rsidRPr="00FD5357" w:rsidRDefault="00373160" w:rsidP="00373160">
          <w:pPr>
            <w:pStyle w:val="ab"/>
            <w:pBdr>
              <w:bottom w:val="none" w:sz="0" w:space="0" w:color="auto"/>
            </w:pBdr>
            <w:rPr>
              <w:b w:val="0"/>
              <w:sz w:val="20"/>
            </w:rPr>
          </w:pPr>
          <w:r w:rsidRPr="00FD5357">
            <w:rPr>
              <w:b w:val="0"/>
              <w:sz w:val="20"/>
            </w:rPr>
            <w:t xml:space="preserve">Submitted by the </w:t>
          </w:r>
          <w:r>
            <w:rPr>
              <w:b w:val="0"/>
              <w:sz w:val="20"/>
            </w:rPr>
            <w:t>expert from Contracting Parties participated into SIG Thermal Propagation</w:t>
          </w:r>
        </w:p>
        <w:p w14:paraId="05B66EEF" w14:textId="77777777" w:rsidR="00373160" w:rsidRPr="00FD5357" w:rsidRDefault="00373160" w:rsidP="00373160">
          <w:pPr>
            <w:pStyle w:val="ab"/>
            <w:pBdr>
              <w:bottom w:val="none" w:sz="0" w:space="0" w:color="auto"/>
            </w:pBdr>
            <w:rPr>
              <w:b w:val="0"/>
              <w:sz w:val="20"/>
            </w:rPr>
          </w:pPr>
        </w:p>
        <w:p w14:paraId="42CA7415" w14:textId="77777777" w:rsidR="00373160" w:rsidRPr="00FD5357" w:rsidRDefault="00373160" w:rsidP="00373160">
          <w:pPr>
            <w:pStyle w:val="ab"/>
            <w:pBdr>
              <w:bottom w:val="none" w:sz="0" w:space="0" w:color="auto"/>
            </w:pBdr>
            <w:rPr>
              <w:b w:val="0"/>
              <w:sz w:val="16"/>
              <w:szCs w:val="16"/>
            </w:rPr>
          </w:pPr>
        </w:p>
      </w:tc>
      <w:tc>
        <w:tcPr>
          <w:tcW w:w="4961" w:type="dxa"/>
        </w:tcPr>
        <w:p w14:paraId="6BD41860" w14:textId="77777777" w:rsidR="00373160" w:rsidRPr="005F4FB2" w:rsidRDefault="00373160" w:rsidP="00373160">
          <w:pPr>
            <w:pStyle w:val="ab"/>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fldChar w:fldCharType="begin"/>
          </w:r>
          <w:r w:rsidRPr="005F4FB2">
            <w:rPr>
              <w:lang w:val="en-US"/>
            </w:rPr>
            <w:instrText xml:space="preserve"> TITLE  \* MERGEFORMAT </w:instrText>
          </w:r>
          <w:r>
            <w:fldChar w:fldCharType="separate"/>
          </w:r>
          <w:r>
            <w:rPr>
              <w:lang w:val="en-US"/>
            </w:rPr>
            <w:t>GRSP-76-##</w:t>
          </w:r>
          <w:r>
            <w:fldChar w:fldCharType="end"/>
          </w:r>
        </w:p>
        <w:p w14:paraId="42B81768" w14:textId="77777777" w:rsidR="00373160" w:rsidRPr="005F4FB2" w:rsidRDefault="00373160" w:rsidP="00373160">
          <w:pPr>
            <w:pStyle w:val="ab"/>
            <w:pBdr>
              <w:bottom w:val="none" w:sz="0" w:space="0" w:color="auto"/>
            </w:pBdr>
            <w:ind w:left="742" w:right="716"/>
            <w:jc w:val="right"/>
            <w:rPr>
              <w:b w:val="0"/>
              <w:sz w:val="20"/>
              <w:lang w:val="en-US" w:eastAsia="ja-JP"/>
            </w:rPr>
          </w:pPr>
          <w:r w:rsidRPr="005F4FB2">
            <w:rPr>
              <w:b w:val="0"/>
              <w:sz w:val="20"/>
              <w:lang w:val="en-US"/>
            </w:rPr>
            <w:t>(7</w:t>
          </w:r>
          <w:r>
            <w:rPr>
              <w:b w:val="0"/>
              <w:sz w:val="20"/>
              <w:lang w:val="en-US"/>
            </w:rPr>
            <w:t>6</w:t>
          </w:r>
          <w:r w:rsidRPr="005F4FB2">
            <w:rPr>
              <w:b w:val="0"/>
              <w:sz w:val="20"/>
              <w:vertAlign w:val="superscript"/>
              <w:lang w:val="en-US"/>
            </w:rPr>
            <w:t>th</w:t>
          </w:r>
          <w:r w:rsidRPr="005F4FB2">
            <w:rPr>
              <w:b w:val="0"/>
              <w:sz w:val="20"/>
              <w:lang w:val="en-US"/>
            </w:rPr>
            <w:t xml:space="preserve"> GRSP, </w:t>
          </w:r>
          <w:r>
            <w:rPr>
              <w:b w:val="0"/>
              <w:sz w:val="20"/>
              <w:lang w:val="en-US"/>
            </w:rPr>
            <w:t>2</w:t>
          </w:r>
          <w:r w:rsidRPr="005F4FB2">
            <w:rPr>
              <w:b w:val="0"/>
              <w:sz w:val="20"/>
              <w:lang w:val="en-US" w:eastAsia="ja-JP"/>
            </w:rPr>
            <w:t xml:space="preserve"> – </w:t>
          </w:r>
          <w:r>
            <w:rPr>
              <w:b w:val="0"/>
              <w:sz w:val="20"/>
              <w:lang w:val="en-US" w:eastAsia="ja-JP"/>
            </w:rPr>
            <w:t>6 December 2024</w:t>
          </w:r>
        </w:p>
        <w:p w14:paraId="2B66C66D" w14:textId="77777777" w:rsidR="00373160" w:rsidRPr="00E27568" w:rsidRDefault="00373160" w:rsidP="00373160">
          <w:pPr>
            <w:pStyle w:val="ab"/>
            <w:pBdr>
              <w:bottom w:val="none" w:sz="0" w:space="0" w:color="auto"/>
            </w:pBdr>
            <w:ind w:left="742" w:right="716"/>
            <w:jc w:val="right"/>
            <w:rPr>
              <w:sz w:val="20"/>
            </w:rPr>
          </w:pPr>
          <w:r w:rsidRPr="00985586">
            <w:rPr>
              <w:b w:val="0"/>
              <w:sz w:val="20"/>
            </w:rPr>
            <w:t xml:space="preserve">agenda item </w:t>
          </w:r>
          <w:r>
            <w:rPr>
              <w:b w:val="0"/>
              <w:sz w:val="20"/>
            </w:rPr>
            <w:t>12</w:t>
          </w:r>
          <w:r w:rsidRPr="00985586">
            <w:rPr>
              <w:b w:val="0"/>
              <w:sz w:val="20"/>
            </w:rPr>
            <w:t>)</w:t>
          </w:r>
        </w:p>
      </w:tc>
    </w:tr>
  </w:tbl>
  <w:p w14:paraId="71F6B4F7" w14:textId="77777777" w:rsidR="00373160" w:rsidRDefault="00373160" w:rsidP="00373160">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9125512">
    <w:abstractNumId w:val="1"/>
  </w:num>
  <w:num w:numId="2" w16cid:durableId="1922060357">
    <w:abstractNumId w:val="0"/>
  </w:num>
  <w:num w:numId="3" w16cid:durableId="197283390">
    <w:abstractNumId w:val="2"/>
  </w:num>
  <w:num w:numId="4" w16cid:durableId="986320333">
    <w:abstractNumId w:val="3"/>
  </w:num>
  <w:num w:numId="5" w16cid:durableId="1388600800">
    <w:abstractNumId w:val="8"/>
  </w:num>
  <w:num w:numId="6" w16cid:durableId="1855806514">
    <w:abstractNumId w:val="9"/>
  </w:num>
  <w:num w:numId="7" w16cid:durableId="876232729">
    <w:abstractNumId w:val="7"/>
  </w:num>
  <w:num w:numId="8" w16cid:durableId="1633712838">
    <w:abstractNumId w:val="6"/>
  </w:num>
  <w:num w:numId="9" w16cid:durableId="1186943031">
    <w:abstractNumId w:val="5"/>
  </w:num>
  <w:num w:numId="10" w16cid:durableId="1881940958">
    <w:abstractNumId w:val="4"/>
  </w:num>
  <w:num w:numId="11" w16cid:durableId="1178348386">
    <w:abstractNumId w:val="15"/>
  </w:num>
  <w:num w:numId="12" w16cid:durableId="1893536189">
    <w:abstractNumId w:val="14"/>
  </w:num>
  <w:num w:numId="13" w16cid:durableId="329911511">
    <w:abstractNumId w:val="10"/>
  </w:num>
  <w:num w:numId="14" w16cid:durableId="193231962">
    <w:abstractNumId w:val="12"/>
  </w:num>
  <w:num w:numId="15" w16cid:durableId="763842077">
    <w:abstractNumId w:val="16"/>
  </w:num>
  <w:num w:numId="16" w16cid:durableId="1052192330">
    <w:abstractNumId w:val="13"/>
  </w:num>
  <w:num w:numId="17" w16cid:durableId="1214536757">
    <w:abstractNumId w:val="18"/>
  </w:num>
  <w:num w:numId="18" w16cid:durableId="1612667471">
    <w:abstractNumId w:val="19"/>
  </w:num>
  <w:num w:numId="19" w16cid:durableId="1355687533">
    <w:abstractNumId w:val="11"/>
  </w:num>
  <w:num w:numId="20" w16cid:durableId="84765126">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fr-CH"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754A"/>
    <w:rsid w:val="00002A7D"/>
    <w:rsid w:val="000038A8"/>
    <w:rsid w:val="00005DF3"/>
    <w:rsid w:val="00006472"/>
    <w:rsid w:val="00006790"/>
    <w:rsid w:val="00027624"/>
    <w:rsid w:val="00045CC5"/>
    <w:rsid w:val="00050F6B"/>
    <w:rsid w:val="000553E9"/>
    <w:rsid w:val="00066BA9"/>
    <w:rsid w:val="000678CD"/>
    <w:rsid w:val="00072C8C"/>
    <w:rsid w:val="00081CE0"/>
    <w:rsid w:val="00084D30"/>
    <w:rsid w:val="00090320"/>
    <w:rsid w:val="000931C0"/>
    <w:rsid w:val="00097003"/>
    <w:rsid w:val="000A2E09"/>
    <w:rsid w:val="000A30B8"/>
    <w:rsid w:val="000B13C9"/>
    <w:rsid w:val="000B175B"/>
    <w:rsid w:val="000B3A0F"/>
    <w:rsid w:val="000C2D9E"/>
    <w:rsid w:val="000C42CC"/>
    <w:rsid w:val="000D2590"/>
    <w:rsid w:val="000D6B81"/>
    <w:rsid w:val="000E0415"/>
    <w:rsid w:val="000E3F16"/>
    <w:rsid w:val="000E4EBE"/>
    <w:rsid w:val="000F7715"/>
    <w:rsid w:val="00141F58"/>
    <w:rsid w:val="00156B99"/>
    <w:rsid w:val="00166124"/>
    <w:rsid w:val="00171DE4"/>
    <w:rsid w:val="00177968"/>
    <w:rsid w:val="00184DDA"/>
    <w:rsid w:val="001900CD"/>
    <w:rsid w:val="001A0452"/>
    <w:rsid w:val="001A08C2"/>
    <w:rsid w:val="001A5B62"/>
    <w:rsid w:val="001B4B04"/>
    <w:rsid w:val="001B5875"/>
    <w:rsid w:val="001C4B9C"/>
    <w:rsid w:val="001C6663"/>
    <w:rsid w:val="001C7895"/>
    <w:rsid w:val="001D02AF"/>
    <w:rsid w:val="001D26DF"/>
    <w:rsid w:val="001E3C7B"/>
    <w:rsid w:val="001F1599"/>
    <w:rsid w:val="001F19C4"/>
    <w:rsid w:val="002043F0"/>
    <w:rsid w:val="00211E0B"/>
    <w:rsid w:val="002246C2"/>
    <w:rsid w:val="00232575"/>
    <w:rsid w:val="00241F7E"/>
    <w:rsid w:val="00247258"/>
    <w:rsid w:val="00257CAC"/>
    <w:rsid w:val="0027237A"/>
    <w:rsid w:val="002974E9"/>
    <w:rsid w:val="002A306B"/>
    <w:rsid w:val="002A7F94"/>
    <w:rsid w:val="002B109A"/>
    <w:rsid w:val="002B41A0"/>
    <w:rsid w:val="002C6D45"/>
    <w:rsid w:val="002D6E53"/>
    <w:rsid w:val="002F046D"/>
    <w:rsid w:val="002F3023"/>
    <w:rsid w:val="00301764"/>
    <w:rsid w:val="003229D8"/>
    <w:rsid w:val="00335376"/>
    <w:rsid w:val="00336C97"/>
    <w:rsid w:val="00337F88"/>
    <w:rsid w:val="00342432"/>
    <w:rsid w:val="0035223F"/>
    <w:rsid w:val="00352D4B"/>
    <w:rsid w:val="0035638C"/>
    <w:rsid w:val="00373160"/>
    <w:rsid w:val="003A3636"/>
    <w:rsid w:val="003A46BB"/>
    <w:rsid w:val="003A4EC7"/>
    <w:rsid w:val="003A7295"/>
    <w:rsid w:val="003B1F60"/>
    <w:rsid w:val="003B7214"/>
    <w:rsid w:val="003B7263"/>
    <w:rsid w:val="003C2CC4"/>
    <w:rsid w:val="003D4B23"/>
    <w:rsid w:val="003E278A"/>
    <w:rsid w:val="003F4ECD"/>
    <w:rsid w:val="00413520"/>
    <w:rsid w:val="0042365A"/>
    <w:rsid w:val="004325CB"/>
    <w:rsid w:val="00440A07"/>
    <w:rsid w:val="00444E33"/>
    <w:rsid w:val="00462880"/>
    <w:rsid w:val="0046541D"/>
    <w:rsid w:val="00475D7E"/>
    <w:rsid w:val="00476F24"/>
    <w:rsid w:val="004A5D33"/>
    <w:rsid w:val="004C55B0"/>
    <w:rsid w:val="004C6282"/>
    <w:rsid w:val="004E1BC6"/>
    <w:rsid w:val="004F6BA0"/>
    <w:rsid w:val="00502B92"/>
    <w:rsid w:val="00503BEA"/>
    <w:rsid w:val="005074F4"/>
    <w:rsid w:val="00533616"/>
    <w:rsid w:val="00535ABA"/>
    <w:rsid w:val="005366EA"/>
    <w:rsid w:val="0053768B"/>
    <w:rsid w:val="005420F2"/>
    <w:rsid w:val="0054285C"/>
    <w:rsid w:val="00546AA8"/>
    <w:rsid w:val="00583676"/>
    <w:rsid w:val="005838A1"/>
    <w:rsid w:val="00584173"/>
    <w:rsid w:val="00587D29"/>
    <w:rsid w:val="0059339E"/>
    <w:rsid w:val="00595520"/>
    <w:rsid w:val="005A44B9"/>
    <w:rsid w:val="005B1BA0"/>
    <w:rsid w:val="005B3DB3"/>
    <w:rsid w:val="005C0268"/>
    <w:rsid w:val="005D15CA"/>
    <w:rsid w:val="005F08DF"/>
    <w:rsid w:val="005F3066"/>
    <w:rsid w:val="005F3E61"/>
    <w:rsid w:val="00604DDD"/>
    <w:rsid w:val="006107D6"/>
    <w:rsid w:val="006115CC"/>
    <w:rsid w:val="00611FC4"/>
    <w:rsid w:val="006176FB"/>
    <w:rsid w:val="00630FCB"/>
    <w:rsid w:val="00640B26"/>
    <w:rsid w:val="0065766B"/>
    <w:rsid w:val="00663720"/>
    <w:rsid w:val="006770B2"/>
    <w:rsid w:val="00686A48"/>
    <w:rsid w:val="0068763C"/>
    <w:rsid w:val="0069328D"/>
    <w:rsid w:val="006940E1"/>
    <w:rsid w:val="006A3C72"/>
    <w:rsid w:val="006A5726"/>
    <w:rsid w:val="006A7392"/>
    <w:rsid w:val="006B03A1"/>
    <w:rsid w:val="006B67D9"/>
    <w:rsid w:val="006C3198"/>
    <w:rsid w:val="006C5535"/>
    <w:rsid w:val="006D0589"/>
    <w:rsid w:val="006E564B"/>
    <w:rsid w:val="006E7154"/>
    <w:rsid w:val="006E7B31"/>
    <w:rsid w:val="006F3767"/>
    <w:rsid w:val="007003CD"/>
    <w:rsid w:val="0070701E"/>
    <w:rsid w:val="00720DE4"/>
    <w:rsid w:val="0072632A"/>
    <w:rsid w:val="007358E8"/>
    <w:rsid w:val="00736383"/>
    <w:rsid w:val="00736ECE"/>
    <w:rsid w:val="0074533B"/>
    <w:rsid w:val="0074626C"/>
    <w:rsid w:val="00750266"/>
    <w:rsid w:val="0075428B"/>
    <w:rsid w:val="0076268D"/>
    <w:rsid w:val="007643BC"/>
    <w:rsid w:val="00780C68"/>
    <w:rsid w:val="007959FE"/>
    <w:rsid w:val="007A0CF1"/>
    <w:rsid w:val="007A4615"/>
    <w:rsid w:val="007B614B"/>
    <w:rsid w:val="007B6BA5"/>
    <w:rsid w:val="007C3390"/>
    <w:rsid w:val="007C42D8"/>
    <w:rsid w:val="007C4F4B"/>
    <w:rsid w:val="007C5C85"/>
    <w:rsid w:val="007D6F65"/>
    <w:rsid w:val="007D7362"/>
    <w:rsid w:val="007D7B03"/>
    <w:rsid w:val="007F1D0A"/>
    <w:rsid w:val="007F5CE2"/>
    <w:rsid w:val="007F6611"/>
    <w:rsid w:val="0080504B"/>
    <w:rsid w:val="00810BAC"/>
    <w:rsid w:val="00814C29"/>
    <w:rsid w:val="008175E9"/>
    <w:rsid w:val="008242D7"/>
    <w:rsid w:val="0082577B"/>
    <w:rsid w:val="00825CB5"/>
    <w:rsid w:val="00835331"/>
    <w:rsid w:val="00860070"/>
    <w:rsid w:val="00866893"/>
    <w:rsid w:val="00866F02"/>
    <w:rsid w:val="00867D18"/>
    <w:rsid w:val="00871F9A"/>
    <w:rsid w:val="00871FD5"/>
    <w:rsid w:val="0088172E"/>
    <w:rsid w:val="00881EFA"/>
    <w:rsid w:val="00885E31"/>
    <w:rsid w:val="008879CB"/>
    <w:rsid w:val="008979B1"/>
    <w:rsid w:val="008A1C45"/>
    <w:rsid w:val="008A6B25"/>
    <w:rsid w:val="008A6C4F"/>
    <w:rsid w:val="008B389E"/>
    <w:rsid w:val="008B795C"/>
    <w:rsid w:val="008D045E"/>
    <w:rsid w:val="008D2C4C"/>
    <w:rsid w:val="008D3F25"/>
    <w:rsid w:val="008D4D82"/>
    <w:rsid w:val="008E0E46"/>
    <w:rsid w:val="008E589B"/>
    <w:rsid w:val="008E706B"/>
    <w:rsid w:val="008E7116"/>
    <w:rsid w:val="008F143B"/>
    <w:rsid w:val="008F3882"/>
    <w:rsid w:val="008F4B7C"/>
    <w:rsid w:val="00904E10"/>
    <w:rsid w:val="00910AC4"/>
    <w:rsid w:val="00913532"/>
    <w:rsid w:val="009159B3"/>
    <w:rsid w:val="0092556A"/>
    <w:rsid w:val="00926E47"/>
    <w:rsid w:val="009362CE"/>
    <w:rsid w:val="009379C1"/>
    <w:rsid w:val="00947162"/>
    <w:rsid w:val="009610D0"/>
    <w:rsid w:val="0096375C"/>
    <w:rsid w:val="009662E6"/>
    <w:rsid w:val="0097095E"/>
    <w:rsid w:val="0098592B"/>
    <w:rsid w:val="00985FC4"/>
    <w:rsid w:val="00990766"/>
    <w:rsid w:val="00991261"/>
    <w:rsid w:val="009964C4"/>
    <w:rsid w:val="009A7B81"/>
    <w:rsid w:val="009B011B"/>
    <w:rsid w:val="009B7EB7"/>
    <w:rsid w:val="009D01C0"/>
    <w:rsid w:val="009D6A08"/>
    <w:rsid w:val="009E0A16"/>
    <w:rsid w:val="009E6CB7"/>
    <w:rsid w:val="009E7970"/>
    <w:rsid w:val="009F2EAC"/>
    <w:rsid w:val="009F4383"/>
    <w:rsid w:val="009F57E3"/>
    <w:rsid w:val="00A077A2"/>
    <w:rsid w:val="00A10F4F"/>
    <w:rsid w:val="00A11067"/>
    <w:rsid w:val="00A1704A"/>
    <w:rsid w:val="00A36AC2"/>
    <w:rsid w:val="00A425EB"/>
    <w:rsid w:val="00A66E9A"/>
    <w:rsid w:val="00A72F22"/>
    <w:rsid w:val="00A733BC"/>
    <w:rsid w:val="00A748A6"/>
    <w:rsid w:val="00A76A69"/>
    <w:rsid w:val="00A879A4"/>
    <w:rsid w:val="00AA0FF8"/>
    <w:rsid w:val="00AA1102"/>
    <w:rsid w:val="00AB46E1"/>
    <w:rsid w:val="00AC0F2C"/>
    <w:rsid w:val="00AC4D3B"/>
    <w:rsid w:val="00AC502A"/>
    <w:rsid w:val="00AE1E26"/>
    <w:rsid w:val="00AE1F2E"/>
    <w:rsid w:val="00AF1430"/>
    <w:rsid w:val="00AF58C1"/>
    <w:rsid w:val="00B04A3F"/>
    <w:rsid w:val="00B06643"/>
    <w:rsid w:val="00B10947"/>
    <w:rsid w:val="00B15055"/>
    <w:rsid w:val="00B20551"/>
    <w:rsid w:val="00B30179"/>
    <w:rsid w:val="00B31E0B"/>
    <w:rsid w:val="00B33FC7"/>
    <w:rsid w:val="00B37B15"/>
    <w:rsid w:val="00B4162A"/>
    <w:rsid w:val="00B45C02"/>
    <w:rsid w:val="00B6744D"/>
    <w:rsid w:val="00B70B63"/>
    <w:rsid w:val="00B72A1E"/>
    <w:rsid w:val="00B769B7"/>
    <w:rsid w:val="00B81E12"/>
    <w:rsid w:val="00BA339B"/>
    <w:rsid w:val="00BB23CC"/>
    <w:rsid w:val="00BB46DA"/>
    <w:rsid w:val="00BB6402"/>
    <w:rsid w:val="00BC1E7E"/>
    <w:rsid w:val="00BC74E9"/>
    <w:rsid w:val="00BD122A"/>
    <w:rsid w:val="00BE36A9"/>
    <w:rsid w:val="00BE3FB2"/>
    <w:rsid w:val="00BE618E"/>
    <w:rsid w:val="00BE7BEC"/>
    <w:rsid w:val="00BF0A5A"/>
    <w:rsid w:val="00BF0E63"/>
    <w:rsid w:val="00BF12A3"/>
    <w:rsid w:val="00BF16D7"/>
    <w:rsid w:val="00BF2373"/>
    <w:rsid w:val="00BF279B"/>
    <w:rsid w:val="00C044E2"/>
    <w:rsid w:val="00C048CB"/>
    <w:rsid w:val="00C066F3"/>
    <w:rsid w:val="00C2754A"/>
    <w:rsid w:val="00C443E6"/>
    <w:rsid w:val="00C463DD"/>
    <w:rsid w:val="00C64CD1"/>
    <w:rsid w:val="00C745C3"/>
    <w:rsid w:val="00C82369"/>
    <w:rsid w:val="00C978F5"/>
    <w:rsid w:val="00CA24A4"/>
    <w:rsid w:val="00CB348D"/>
    <w:rsid w:val="00CC22B0"/>
    <w:rsid w:val="00CD46F5"/>
    <w:rsid w:val="00CE4A8F"/>
    <w:rsid w:val="00CF071D"/>
    <w:rsid w:val="00D0123D"/>
    <w:rsid w:val="00D11D6B"/>
    <w:rsid w:val="00D152AA"/>
    <w:rsid w:val="00D15B04"/>
    <w:rsid w:val="00D2031B"/>
    <w:rsid w:val="00D21712"/>
    <w:rsid w:val="00D25FE2"/>
    <w:rsid w:val="00D37DA9"/>
    <w:rsid w:val="00D406A7"/>
    <w:rsid w:val="00D41AE9"/>
    <w:rsid w:val="00D43252"/>
    <w:rsid w:val="00D44D86"/>
    <w:rsid w:val="00D50B7D"/>
    <w:rsid w:val="00D52012"/>
    <w:rsid w:val="00D704E5"/>
    <w:rsid w:val="00D72727"/>
    <w:rsid w:val="00D978C6"/>
    <w:rsid w:val="00DA0956"/>
    <w:rsid w:val="00DA357F"/>
    <w:rsid w:val="00DA3E12"/>
    <w:rsid w:val="00DC18AD"/>
    <w:rsid w:val="00DE06BC"/>
    <w:rsid w:val="00DF7CAE"/>
    <w:rsid w:val="00E02B53"/>
    <w:rsid w:val="00E14EBF"/>
    <w:rsid w:val="00E27EE1"/>
    <w:rsid w:val="00E423C0"/>
    <w:rsid w:val="00E6414C"/>
    <w:rsid w:val="00E6531F"/>
    <w:rsid w:val="00E7260F"/>
    <w:rsid w:val="00E8702D"/>
    <w:rsid w:val="00E905F4"/>
    <w:rsid w:val="00E916A9"/>
    <w:rsid w:val="00E916DE"/>
    <w:rsid w:val="00E925AD"/>
    <w:rsid w:val="00E96630"/>
    <w:rsid w:val="00ED18DC"/>
    <w:rsid w:val="00ED2126"/>
    <w:rsid w:val="00ED6201"/>
    <w:rsid w:val="00ED7A2A"/>
    <w:rsid w:val="00EF0089"/>
    <w:rsid w:val="00EF1D7F"/>
    <w:rsid w:val="00F00564"/>
    <w:rsid w:val="00F0137E"/>
    <w:rsid w:val="00F04E44"/>
    <w:rsid w:val="00F21786"/>
    <w:rsid w:val="00F25D06"/>
    <w:rsid w:val="00F31CFF"/>
    <w:rsid w:val="00F3742B"/>
    <w:rsid w:val="00F41FDB"/>
    <w:rsid w:val="00F50597"/>
    <w:rsid w:val="00F56D63"/>
    <w:rsid w:val="00F609A9"/>
    <w:rsid w:val="00F80C99"/>
    <w:rsid w:val="00F867EC"/>
    <w:rsid w:val="00F91B2B"/>
    <w:rsid w:val="00F94AC4"/>
    <w:rsid w:val="00FB3C34"/>
    <w:rsid w:val="00FC03CD"/>
    <w:rsid w:val="00FC0646"/>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12F822"/>
  <w15:docId w15:val="{885D2B6B-A1E9-4067-94A9-F754B345E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107D6"/>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4_GR,Fußnotenzeichen"/>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7"/>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9">
    <w:name w:val="Hyperlink"/>
    <w:basedOn w:val="a0"/>
    <w:rsid w:val="00F04E44"/>
    <w:rPr>
      <w:color w:val="0000FF"/>
      <w:u w:val="none"/>
    </w:rPr>
  </w:style>
  <w:style w:type="paragraph" w:styleId="aa">
    <w:name w:val="footer"/>
    <w:aliases w:val="3_G"/>
    <w:basedOn w:val="a"/>
    <w:qFormat/>
    <w:rsid w:val="00E925AD"/>
    <w:pPr>
      <w:spacing w:line="240" w:lineRule="auto"/>
    </w:pPr>
    <w:rPr>
      <w:sz w:val="16"/>
    </w:rPr>
  </w:style>
  <w:style w:type="paragraph" w:styleId="ab">
    <w:name w:val="header"/>
    <w:aliases w:val="6_G"/>
    <w:basedOn w:val="a"/>
    <w:link w:val="ac"/>
    <w:uiPriority w:val="99"/>
    <w:qFormat/>
    <w:rsid w:val="00E925AD"/>
    <w:pPr>
      <w:pBdr>
        <w:bottom w:val="single" w:sz="4" w:space="4" w:color="auto"/>
      </w:pBdr>
      <w:spacing w:line="240" w:lineRule="auto"/>
    </w:pPr>
    <w:rPr>
      <w:b/>
      <w:sz w:val="18"/>
    </w:rPr>
  </w:style>
  <w:style w:type="table" w:styleId="ad">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e">
    <w:name w:val="FollowedHyperlink"/>
    <w:basedOn w:val="a0"/>
    <w:rsid w:val="00F04E44"/>
    <w:rPr>
      <w:color w:val="0000FF"/>
      <w:u w:val="none"/>
    </w:rPr>
  </w:style>
  <w:style w:type="paragraph" w:styleId="af">
    <w:name w:val="Balloon Text"/>
    <w:basedOn w:val="a"/>
    <w:link w:val="af0"/>
    <w:semiHidden/>
    <w:rsid w:val="0065766B"/>
    <w:pPr>
      <w:spacing w:line="240" w:lineRule="auto"/>
    </w:pPr>
    <w:rPr>
      <w:rFonts w:ascii="Tahoma" w:hAnsi="Tahoma" w:cs="Tahoma"/>
      <w:sz w:val="16"/>
      <w:szCs w:val="16"/>
    </w:rPr>
  </w:style>
  <w:style w:type="character" w:customStyle="1" w:styleId="af0">
    <w:name w:val="吹き出し (文字)"/>
    <w:basedOn w:val="a0"/>
    <w:link w:val="af"/>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a7">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6"/>
    <w:qFormat/>
    <w:rsid w:val="006107D6"/>
    <w:rPr>
      <w:rFonts w:eastAsiaTheme="minorHAnsi"/>
      <w:sz w:val="18"/>
      <w:lang w:val="en-GB" w:eastAsia="en-US"/>
    </w:rPr>
  </w:style>
  <w:style w:type="character" w:customStyle="1" w:styleId="HChGChar">
    <w:name w:val="_ H _Ch_G Char"/>
    <w:link w:val="HChG"/>
    <w:locked/>
    <w:rsid w:val="00C2754A"/>
    <w:rPr>
      <w:b/>
      <w:sz w:val="28"/>
      <w:lang w:val="en-GB"/>
    </w:rPr>
  </w:style>
  <w:style w:type="character" w:customStyle="1" w:styleId="H1GChar">
    <w:name w:val="_ H_1_G Char"/>
    <w:link w:val="H1G"/>
    <w:locked/>
    <w:rsid w:val="00C2754A"/>
    <w:rPr>
      <w:b/>
      <w:sz w:val="24"/>
      <w:lang w:val="en-GB"/>
    </w:rPr>
  </w:style>
  <w:style w:type="character" w:customStyle="1" w:styleId="SingleTxtGChar">
    <w:name w:val="_ Single Txt_G Char"/>
    <w:link w:val="SingleTxtG"/>
    <w:qFormat/>
    <w:rsid w:val="00C2754A"/>
    <w:rPr>
      <w:lang w:val="en-GB"/>
    </w:rPr>
  </w:style>
  <w:style w:type="paragraph" w:styleId="af1">
    <w:name w:val="List Paragraph"/>
    <w:basedOn w:val="a"/>
    <w:uiPriority w:val="34"/>
    <w:qFormat/>
    <w:rsid w:val="002B41A0"/>
    <w:pPr>
      <w:suppressAutoHyphens/>
      <w:ind w:left="720"/>
      <w:contextualSpacing/>
    </w:pPr>
    <w:rPr>
      <w:lang w:eastAsia="en-US"/>
    </w:rPr>
  </w:style>
  <w:style w:type="paragraph" w:customStyle="1" w:styleId="para">
    <w:name w:val="para"/>
    <w:basedOn w:val="a"/>
    <w:link w:val="paraChar"/>
    <w:qFormat/>
    <w:rsid w:val="002B41A0"/>
    <w:pPr>
      <w:spacing w:after="120"/>
      <w:ind w:left="2268" w:right="1134" w:hanging="1134"/>
      <w:jc w:val="both"/>
    </w:pPr>
    <w:rPr>
      <w:rFonts w:eastAsia="游明朝"/>
      <w:snapToGrid w:val="0"/>
      <w:lang w:val="fr-FR" w:eastAsia="en-US"/>
    </w:rPr>
  </w:style>
  <w:style w:type="character" w:customStyle="1" w:styleId="paraChar">
    <w:name w:val="para Char"/>
    <w:link w:val="para"/>
    <w:rsid w:val="002B41A0"/>
    <w:rPr>
      <w:rFonts w:eastAsia="游明朝"/>
      <w:snapToGrid w:val="0"/>
      <w:lang w:eastAsia="en-US"/>
    </w:rPr>
  </w:style>
  <w:style w:type="character" w:customStyle="1" w:styleId="10">
    <w:name w:val="見出し 1 (文字)"/>
    <w:aliases w:val="Table_G (文字)"/>
    <w:basedOn w:val="a0"/>
    <w:link w:val="1"/>
    <w:locked/>
    <w:rsid w:val="002B41A0"/>
    <w:rPr>
      <w:lang w:val="en-GB"/>
    </w:rPr>
  </w:style>
  <w:style w:type="paragraph" w:styleId="af2">
    <w:name w:val="Revision"/>
    <w:hidden/>
    <w:uiPriority w:val="99"/>
    <w:semiHidden/>
    <w:rsid w:val="002B41A0"/>
    <w:pPr>
      <w:spacing w:line="240" w:lineRule="auto"/>
    </w:pPr>
    <w:rPr>
      <w:lang w:val="en-GB"/>
    </w:rPr>
  </w:style>
  <w:style w:type="character" w:customStyle="1" w:styleId="ac">
    <w:name w:val="ヘッダー (文字)"/>
    <w:aliases w:val="6_G (文字)"/>
    <w:basedOn w:val="a0"/>
    <w:link w:val="ab"/>
    <w:uiPriority w:val="99"/>
    <w:rsid w:val="002B41A0"/>
    <w:rPr>
      <w:b/>
      <w:sz w:val="18"/>
      <w:lang w:val="en-GB"/>
    </w:rPr>
  </w:style>
  <w:style w:type="character" w:styleId="af3">
    <w:name w:val="annotation reference"/>
    <w:basedOn w:val="a0"/>
    <w:semiHidden/>
    <w:unhideWhenUsed/>
    <w:rsid w:val="002B41A0"/>
    <w:rPr>
      <w:sz w:val="16"/>
      <w:szCs w:val="16"/>
    </w:rPr>
  </w:style>
  <w:style w:type="paragraph" w:styleId="af4">
    <w:name w:val="annotation text"/>
    <w:basedOn w:val="a"/>
    <w:link w:val="af5"/>
    <w:unhideWhenUsed/>
    <w:rsid w:val="002B41A0"/>
    <w:pPr>
      <w:suppressAutoHyphens/>
      <w:spacing w:line="240" w:lineRule="auto"/>
    </w:pPr>
  </w:style>
  <w:style w:type="character" w:customStyle="1" w:styleId="af5">
    <w:name w:val="コメント文字列 (文字)"/>
    <w:basedOn w:val="a0"/>
    <w:link w:val="af4"/>
    <w:rsid w:val="002B41A0"/>
    <w:rPr>
      <w:rFonts w:eastAsia="ＭＳ 明朝"/>
      <w:lang w:val="en-GB"/>
    </w:rPr>
  </w:style>
  <w:style w:type="paragraph" w:styleId="af6">
    <w:name w:val="annotation subject"/>
    <w:basedOn w:val="af4"/>
    <w:next w:val="af4"/>
    <w:link w:val="af7"/>
    <w:semiHidden/>
    <w:unhideWhenUsed/>
    <w:rsid w:val="002B41A0"/>
    <w:rPr>
      <w:b/>
      <w:bCs/>
    </w:rPr>
  </w:style>
  <w:style w:type="character" w:customStyle="1" w:styleId="af7">
    <w:name w:val="コメント内容 (文字)"/>
    <w:basedOn w:val="af5"/>
    <w:link w:val="af6"/>
    <w:semiHidden/>
    <w:rsid w:val="002B41A0"/>
    <w:rPr>
      <w:rFonts w:eastAsia="ＭＳ 明朝"/>
      <w:b/>
      <w:bCs/>
      <w:lang w:val="en-GB"/>
    </w:rPr>
  </w:style>
  <w:style w:type="paragraph" w:customStyle="1" w:styleId="af8">
    <w:name w:val="(a)"/>
    <w:basedOn w:val="para"/>
    <w:rsid w:val="002B41A0"/>
    <w:pPr>
      <w:suppressAutoHyphens/>
      <w:ind w:left="2835" w:hanging="567"/>
    </w:pPr>
    <w:rPr>
      <w:rFonts w:eastAsia="ＭＳ 明朝"/>
      <w:snapToGrid/>
      <w:lang w:val="fr-CH"/>
    </w:rPr>
  </w:style>
  <w:style w:type="character" w:customStyle="1" w:styleId="H23GChar">
    <w:name w:val="_ H_2/3_G Char"/>
    <w:link w:val="H23G"/>
    <w:rsid w:val="002B41A0"/>
    <w:rPr>
      <w:b/>
      <w:lang w:val="en-GB"/>
    </w:rPr>
  </w:style>
  <w:style w:type="character" w:customStyle="1" w:styleId="SingleTxtGCar">
    <w:name w:val="_ Single Txt_G Car"/>
    <w:rsid w:val="002B41A0"/>
    <w:rPr>
      <w:lang w:eastAsia="en-US"/>
    </w:rPr>
  </w:style>
  <w:style w:type="character" w:customStyle="1" w:styleId="cf01">
    <w:name w:val="cf01"/>
    <w:basedOn w:val="a0"/>
    <w:rsid w:val="002B41A0"/>
    <w:rPr>
      <w:rFonts w:ascii="Segoe UI" w:hAnsi="Segoe UI" w:cs="Segoe UI" w:hint="default"/>
      <w:sz w:val="18"/>
      <w:szCs w:val="18"/>
    </w:rPr>
  </w:style>
  <w:style w:type="character" w:styleId="af9">
    <w:name w:val="Unresolved Mention"/>
    <w:basedOn w:val="a0"/>
    <w:uiPriority w:val="99"/>
    <w:semiHidden/>
    <w:unhideWhenUsed/>
    <w:rsid w:val="009362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29679E69-80F4-42DB-A792-2F4A87784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TRANS_WP29_E</Template>
  <TotalTime>8</TotalTime>
  <Pages>4</Pages>
  <Words>1116</Words>
  <Characters>6366</Characters>
  <Application>Microsoft Office Word</Application>
  <DocSecurity>0</DocSecurity>
  <Lines>53</Lines>
  <Paragraphs>14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ECE/TRANS/WP.29/GRSP/2024/18</vt:lpstr>
      <vt:lpstr/>
    </vt:vector>
  </TitlesOfParts>
  <Company>CSD</Company>
  <LinksUpToDate>false</LinksUpToDate>
  <CharactersWithSpaces>7468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ECE/TRANS/WP.29/GRSP/2024/22</dc:title>
  <dc:subject>2416767</dc:subject>
  <dc:creator>Edoardo Gianotti</dc:creator>
  <cp:keywords/>
  <dc:description/>
  <cp:lastModifiedBy>Iwasaki, Masaaki/岩崎 昌昭</cp:lastModifiedBy>
  <cp:revision>13</cp:revision>
  <cp:lastPrinted>2009-02-18T09:36:00Z</cp:lastPrinted>
  <dcterms:created xsi:type="dcterms:W3CDTF">2024-11-20T04:32:00Z</dcterms:created>
  <dcterms:modified xsi:type="dcterms:W3CDTF">2024-11-20T04:41:00Z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