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C504B4" w14:textId="427EE4FC" w:rsidR="00703D8B" w:rsidRPr="0018525F" w:rsidRDefault="00703D8B">
      <w:pPr>
        <w:rPr>
          <w:b/>
          <w:bCs/>
        </w:rPr>
      </w:pPr>
      <w:r w:rsidRPr="0018525F">
        <w:rPr>
          <w:b/>
          <w:bCs/>
        </w:rPr>
        <w:t>Review of how effective the interventions of UNECE 151, 158, and 159 have been/will be in terms reducing accidents</w:t>
      </w:r>
    </w:p>
    <w:p w14:paraId="32DF60B6" w14:textId="77777777" w:rsidR="00703D8B" w:rsidRDefault="00703D8B"/>
    <w:p w14:paraId="66FD7E8E" w14:textId="3DC9631E" w:rsidR="00703D8B" w:rsidRDefault="00703D8B">
      <w:r>
        <w:t>Points to consider</w:t>
      </w:r>
    </w:p>
    <w:p w14:paraId="0FD8ED10" w14:textId="77777777" w:rsidR="00703D8B" w:rsidRDefault="00703D8B"/>
    <w:p w14:paraId="18C8D03B" w14:textId="33CED428" w:rsidR="00703D8B" w:rsidRDefault="00703D8B" w:rsidP="00703D8B">
      <w:pPr>
        <w:pStyle w:val="Lijstalinea"/>
        <w:numPr>
          <w:ilvl w:val="0"/>
          <w:numId w:val="1"/>
        </w:numPr>
      </w:pPr>
      <w:r>
        <w:t xml:space="preserve">Unlikely to have any impact on accident statistics for a few years to determine a downward trend in accidents (if such a trend exists) </w:t>
      </w:r>
    </w:p>
    <w:p w14:paraId="49A11209" w14:textId="56099227" w:rsidR="00703D8B" w:rsidRDefault="00703D8B" w:rsidP="00703D8B">
      <w:pPr>
        <w:pStyle w:val="Lijstalinea"/>
        <w:numPr>
          <w:ilvl w:val="0"/>
          <w:numId w:val="1"/>
        </w:numPr>
      </w:pPr>
      <w:r>
        <w:t xml:space="preserve">Therefore we may take a more qualitative approach </w:t>
      </w:r>
    </w:p>
    <w:p w14:paraId="6D355F3E" w14:textId="77777777" w:rsidR="00703D8B" w:rsidRDefault="00703D8B" w:rsidP="00703D8B">
      <w:pPr>
        <w:pStyle w:val="Lijstalinea"/>
        <w:numPr>
          <w:ilvl w:val="1"/>
          <w:numId w:val="1"/>
        </w:numPr>
      </w:pPr>
      <w:r>
        <w:t>Survey/interview vehicle operators and drivers of vehicles which meet UNECE 151, 158 and 159</w:t>
      </w:r>
    </w:p>
    <w:p w14:paraId="068B2532" w14:textId="77777777" w:rsidR="00FE2D68" w:rsidRDefault="00703D8B" w:rsidP="00703D8B">
      <w:pPr>
        <w:pStyle w:val="Lijstalinea"/>
        <w:numPr>
          <w:ilvl w:val="1"/>
          <w:numId w:val="1"/>
        </w:numPr>
      </w:pPr>
      <w:r>
        <w:t xml:space="preserve">Survey/interview vehicle operators and drivers of vehicles which meet TfL Progressive safer system </w:t>
      </w:r>
    </w:p>
    <w:p w14:paraId="1053E5C9" w14:textId="0F8BF001" w:rsidR="00703D8B" w:rsidRDefault="00FE2D68" w:rsidP="00FE2D68">
      <w:pPr>
        <w:pStyle w:val="Lijstalinea"/>
        <w:numPr>
          <w:ilvl w:val="2"/>
          <w:numId w:val="1"/>
        </w:numPr>
      </w:pPr>
      <w:r>
        <w:t>W</w:t>
      </w:r>
      <w:r w:rsidR="00703D8B">
        <w:t xml:space="preserve">e have been working with 10 providers of PSS systems which means that </w:t>
      </w:r>
      <w:r>
        <w:t xml:space="preserve">we could access hundreds of customers </w:t>
      </w:r>
    </w:p>
    <w:p w14:paraId="71FDAE7A" w14:textId="77777777" w:rsidR="00703D8B" w:rsidRDefault="00703D8B"/>
    <w:p w14:paraId="3E85FCF5" w14:textId="77777777" w:rsidR="00703D8B" w:rsidRDefault="00703D8B"/>
    <w:p w14:paraId="604F808B" w14:textId="68E8F041" w:rsidR="00703D8B" w:rsidRPr="0018525F" w:rsidRDefault="00703D8B">
      <w:pPr>
        <w:rPr>
          <w:b/>
          <w:bCs/>
        </w:rPr>
      </w:pPr>
      <w:r w:rsidRPr="0018525F">
        <w:rPr>
          <w:b/>
          <w:bCs/>
        </w:rPr>
        <w:t>Potential review of detection ranges for 151 and 159</w:t>
      </w:r>
    </w:p>
    <w:p w14:paraId="6DF1D9B2" w14:textId="77777777" w:rsidR="00FE2D68" w:rsidRDefault="00FE2D68"/>
    <w:p w14:paraId="203875DA" w14:textId="3DFDDD1C" w:rsidR="00FE2D68" w:rsidRDefault="00FE2D68">
      <w:r>
        <w:t xml:space="preserve">Points to consider </w:t>
      </w:r>
    </w:p>
    <w:p w14:paraId="7370E689" w14:textId="4C9E7F5E" w:rsidR="00FE2D68" w:rsidRDefault="00FE2D68" w:rsidP="00FE2D68">
      <w:pPr>
        <w:pStyle w:val="Lijstalinea"/>
        <w:numPr>
          <w:ilvl w:val="0"/>
          <w:numId w:val="3"/>
        </w:numPr>
      </w:pPr>
      <w:r>
        <w:t>There is some concern about the none detection areas for UNECE 151 and UNECE 159 to the front and side of the vehicle</w:t>
      </w:r>
    </w:p>
    <w:p w14:paraId="4B3D9D64" w14:textId="666C9C75" w:rsidR="00FE2D68" w:rsidRDefault="00FE2D68" w:rsidP="00FE2D68">
      <w:pPr>
        <w:pStyle w:val="Lijstalinea"/>
        <w:numPr>
          <w:ilvl w:val="0"/>
          <w:numId w:val="3"/>
        </w:numPr>
      </w:pPr>
      <w:r>
        <w:t xml:space="preserve">The main concern for VRU safety arises with UNECE 159, MOIS </w:t>
      </w:r>
    </w:p>
    <w:p w14:paraId="79948FEF" w14:textId="6E211035" w:rsidR="00FE2D68" w:rsidRDefault="00FE2D68" w:rsidP="00FE2D68">
      <w:pPr>
        <w:pStyle w:val="Lijstalinea"/>
        <w:numPr>
          <w:ilvl w:val="1"/>
          <w:numId w:val="3"/>
        </w:numPr>
      </w:pPr>
      <w:r>
        <w:t xml:space="preserve">Here the none detection area in the regulation is 800mm directly in front of the vehicle. </w:t>
      </w:r>
    </w:p>
    <w:p w14:paraId="2BFEAD88" w14:textId="2CCBE984" w:rsidR="00FE2D68" w:rsidRDefault="00FE2D68" w:rsidP="00FE2D68">
      <w:pPr>
        <w:pStyle w:val="Lijstalinea"/>
        <w:numPr>
          <w:ilvl w:val="1"/>
          <w:numId w:val="3"/>
        </w:numPr>
      </w:pPr>
      <w:r>
        <w:t xml:space="preserve">One or two pedestrians </w:t>
      </w:r>
      <w:r w:rsidR="0018525F">
        <w:t xml:space="preserve">(line abreast) </w:t>
      </w:r>
      <w:r>
        <w:t xml:space="preserve">could be hidden in this area of none detection </w:t>
      </w:r>
    </w:p>
    <w:p w14:paraId="6B6A7540" w14:textId="5C77ADDE" w:rsidR="00FE2D68" w:rsidRDefault="00FE2D68" w:rsidP="00FE2D68">
      <w:pPr>
        <w:pStyle w:val="Lijstalinea"/>
        <w:numPr>
          <w:ilvl w:val="1"/>
          <w:numId w:val="3"/>
        </w:numPr>
      </w:pPr>
      <w:r>
        <w:t xml:space="preserve">It is understood that this none detection area has been specified in line with the requirements for RADAR systems which must be mounted within the radiator grille structure </w:t>
      </w:r>
    </w:p>
    <w:p w14:paraId="375D46C7" w14:textId="7777E2EE" w:rsidR="00FE2D68" w:rsidRDefault="00FE2D68" w:rsidP="00FE2D68">
      <w:pPr>
        <w:pStyle w:val="Lijstalinea"/>
        <w:numPr>
          <w:ilvl w:val="1"/>
          <w:numId w:val="3"/>
        </w:numPr>
      </w:pPr>
      <w:r>
        <w:t xml:space="preserve">The real world impact of this technology is unclear </w:t>
      </w:r>
    </w:p>
    <w:p w14:paraId="1FFF570B" w14:textId="0AFF929C" w:rsidR="00FE2D68" w:rsidRDefault="00FE2D68" w:rsidP="00FE2D68">
      <w:pPr>
        <w:pStyle w:val="Lijstalinea"/>
        <w:numPr>
          <w:ilvl w:val="2"/>
          <w:numId w:val="3"/>
        </w:numPr>
      </w:pPr>
      <w:r>
        <w:t>For example, it may be that the none detection zone is actually partially covered by the RADAR system bu</w:t>
      </w:r>
      <w:r w:rsidR="0018525F">
        <w:t>t</w:t>
      </w:r>
      <w:r>
        <w:t xml:space="preserve"> the </w:t>
      </w:r>
      <w:r w:rsidR="0018525F">
        <w:t xml:space="preserve">front corners of the cab are not visible to the RADAR system to due to specification or shrouding by the radiator grille structure. </w:t>
      </w:r>
    </w:p>
    <w:p w14:paraId="2CD26270" w14:textId="14766880" w:rsidR="0018525F" w:rsidRDefault="0018525F" w:rsidP="00FE2D68">
      <w:pPr>
        <w:pStyle w:val="Lijstalinea"/>
        <w:numPr>
          <w:ilvl w:val="2"/>
          <w:numId w:val="3"/>
        </w:numPr>
      </w:pPr>
      <w:r>
        <w:t>It may be that no detection is possible in the none detection zone</w:t>
      </w:r>
    </w:p>
    <w:p w14:paraId="639C9E28" w14:textId="09092F94" w:rsidR="0018525F" w:rsidRDefault="0018525F" w:rsidP="0018525F">
      <w:pPr>
        <w:pStyle w:val="Lijstalinea"/>
        <w:numPr>
          <w:ilvl w:val="0"/>
          <w:numId w:val="3"/>
        </w:numPr>
      </w:pPr>
      <w:r>
        <w:t xml:space="preserve">Potential approach </w:t>
      </w:r>
    </w:p>
    <w:p w14:paraId="15419E00" w14:textId="1D93C0D5" w:rsidR="0018525F" w:rsidRDefault="0018525F" w:rsidP="0018525F">
      <w:pPr>
        <w:pStyle w:val="Lijstalinea"/>
        <w:numPr>
          <w:ilvl w:val="1"/>
          <w:numId w:val="3"/>
        </w:numPr>
      </w:pPr>
      <w:r>
        <w:t xml:space="preserve">Confidential survey of manufactures regarding the actual none detection zone in front of the vehicle in order to be better informed about the current situation </w:t>
      </w:r>
    </w:p>
    <w:p w14:paraId="78F75F97" w14:textId="3E94E7EB" w:rsidR="0018525F" w:rsidRDefault="0018525F" w:rsidP="0018525F">
      <w:pPr>
        <w:pStyle w:val="Lijstalinea"/>
        <w:numPr>
          <w:ilvl w:val="1"/>
          <w:numId w:val="3"/>
        </w:numPr>
      </w:pPr>
      <w:r>
        <w:t xml:space="preserve">Potential to look at the application of other technologies that has been evident in the TfL PSS, including AI camera systems </w:t>
      </w:r>
    </w:p>
    <w:p w14:paraId="0D40BCB0" w14:textId="016DB5ED" w:rsidR="00065107" w:rsidRDefault="0018525F" w:rsidP="0018525F">
      <w:pPr>
        <w:pStyle w:val="Lijstalinea"/>
        <w:numPr>
          <w:ilvl w:val="1"/>
          <w:numId w:val="3"/>
        </w:numPr>
      </w:pPr>
      <w:r>
        <w:t>This could tie into the proposed survey of TfL PSS users, mentioned above where questions can be asked about the effectiveness of AI camera systems, e.g. detection at night, when the user is holding objects which break up the shape being detected (e.g. an umbrella).</w:t>
      </w:r>
    </w:p>
    <w:sectPr w:rsidR="00065107">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7FE9C" w14:textId="77777777" w:rsidR="00DA577E" w:rsidRDefault="00DA577E" w:rsidP="002A0709">
      <w:r>
        <w:separator/>
      </w:r>
    </w:p>
  </w:endnote>
  <w:endnote w:type="continuationSeparator" w:id="0">
    <w:p w14:paraId="351B55B8" w14:textId="77777777" w:rsidR="00DA577E" w:rsidRDefault="00DA577E" w:rsidP="002A07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BC77EC" w14:textId="77777777" w:rsidR="00DA577E" w:rsidRDefault="00DA577E" w:rsidP="002A0709">
      <w:r>
        <w:separator/>
      </w:r>
    </w:p>
  </w:footnote>
  <w:footnote w:type="continuationSeparator" w:id="0">
    <w:p w14:paraId="51C538AC" w14:textId="77777777" w:rsidR="00DA577E" w:rsidRDefault="00DA577E" w:rsidP="002A07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F5367" w14:textId="7E3C93C9" w:rsidR="002A0709" w:rsidRDefault="002A0709">
    <w:pPr>
      <w:pStyle w:val="Koptekst"/>
    </w:pPr>
    <w:r>
      <w:rPr>
        <w:noProof/>
      </w:rPr>
      <mc:AlternateContent>
        <mc:Choice Requires="wps">
          <w:drawing>
            <wp:anchor distT="0" distB="0" distL="114300" distR="114300" simplePos="0" relativeHeight="251659264" behindDoc="0" locked="0" layoutInCell="1" allowOverlap="1" wp14:anchorId="74FE77AF" wp14:editId="3A33E378">
              <wp:simplePos x="0" y="0"/>
              <wp:positionH relativeFrom="column">
                <wp:posOffset>4527</wp:posOffset>
              </wp:positionH>
              <wp:positionV relativeFrom="paragraph">
                <wp:posOffset>-114602</wp:posOffset>
              </wp:positionV>
              <wp:extent cx="914400" cy="325925"/>
              <wp:effectExtent l="0" t="0" r="0" b="0"/>
              <wp:wrapNone/>
              <wp:docPr id="810472703" name="Tekstvak 1"/>
              <wp:cNvGraphicFramePr/>
              <a:graphic xmlns:a="http://schemas.openxmlformats.org/drawingml/2006/main">
                <a:graphicData uri="http://schemas.microsoft.com/office/word/2010/wordprocessingShape">
                  <wps:wsp>
                    <wps:cNvSpPr txBox="1"/>
                    <wps:spPr>
                      <a:xfrm>
                        <a:off x="0" y="0"/>
                        <a:ext cx="914400" cy="325925"/>
                      </a:xfrm>
                      <a:prstGeom prst="rect">
                        <a:avLst/>
                      </a:prstGeom>
                      <a:solidFill>
                        <a:schemeClr val="lt1"/>
                      </a:solidFill>
                      <a:ln w="6350">
                        <a:noFill/>
                      </a:ln>
                    </wps:spPr>
                    <wps:txbx>
                      <w:txbxContent>
                        <w:p w14:paraId="337056BE" w14:textId="6A8B4822" w:rsidR="002A0709" w:rsidRDefault="002A0709">
                          <w:r>
                            <w:t>VRU-Proxi-35-0</w:t>
                          </w:r>
                          <w:r w:rsidR="0021216B">
                            <w:t>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4FE77AF" id="_x0000_t202" coordsize="21600,21600" o:spt="202" path="m,l,21600r21600,l21600,xe">
              <v:stroke joinstyle="miter"/>
              <v:path gradientshapeok="t" o:connecttype="rect"/>
            </v:shapetype>
            <v:shape id="Tekstvak 1" o:spid="_x0000_s1026" type="#_x0000_t202" style="position:absolute;margin-left:.35pt;margin-top:-9pt;width:1in;height:25.65pt;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" fillcolor="white [3201]" stroked="f" strokeweight=".5pt">
              <v:textbox>
                <w:txbxContent>
                  <w:p w14:paraId="337056BE" w14:textId="6A8B4822" w:rsidR="002A0709" w:rsidRDefault="002A0709">
                    <w:r>
                      <w:t>VRU-Proxi-35-0</w:t>
                    </w:r>
                    <w:r w:rsidR="0021216B">
                      <w:t>2</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AE6579"/>
    <w:multiLevelType w:val="hybridMultilevel"/>
    <w:tmpl w:val="4B183DF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4A861CC"/>
    <w:multiLevelType w:val="hybridMultilevel"/>
    <w:tmpl w:val="4F0CF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03E5476"/>
    <w:multiLevelType w:val="hybridMultilevel"/>
    <w:tmpl w:val="3D707BDC"/>
    <w:lvl w:ilvl="0" w:tplc="EA7EA78C">
      <w:start w:val="1"/>
      <w:numFmt w:val="decimal"/>
      <w:lvlText w:val="%1."/>
      <w:lvlJc w:val="left"/>
      <w:pPr>
        <w:ind w:left="1080" w:hanging="360"/>
      </w:pPr>
      <w:rPr>
        <w:rFonts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784425394">
    <w:abstractNumId w:val="0"/>
  </w:num>
  <w:num w:numId="2" w16cid:durableId="300037554">
    <w:abstractNumId w:val="1"/>
  </w:num>
  <w:num w:numId="3" w16cid:durableId="156999387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D8B"/>
    <w:rsid w:val="00065107"/>
    <w:rsid w:val="0018525F"/>
    <w:rsid w:val="0021216B"/>
    <w:rsid w:val="002A0709"/>
    <w:rsid w:val="00491711"/>
    <w:rsid w:val="00562612"/>
    <w:rsid w:val="00703D8B"/>
    <w:rsid w:val="009215E3"/>
    <w:rsid w:val="0098675E"/>
    <w:rsid w:val="00BA5763"/>
    <w:rsid w:val="00DA577E"/>
    <w:rsid w:val="00FE2D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DC3A32"/>
  <w15:chartTrackingRefBased/>
  <w15:docId w15:val="{6F03DB52-52EE-2A4A-A9EE-337F263E8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link w:val="Kop1Char"/>
    <w:uiPriority w:val="9"/>
    <w:qFormat/>
    <w:rsid w:val="00703D8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Kop2">
    <w:name w:val="heading 2"/>
    <w:basedOn w:val="Standaard"/>
    <w:next w:val="Standaard"/>
    <w:link w:val="Kop2Char"/>
    <w:uiPriority w:val="9"/>
    <w:semiHidden/>
    <w:unhideWhenUsed/>
    <w:qFormat/>
    <w:rsid w:val="00703D8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Kop3">
    <w:name w:val="heading 3"/>
    <w:basedOn w:val="Standaard"/>
    <w:next w:val="Standaard"/>
    <w:link w:val="Kop3Char"/>
    <w:uiPriority w:val="9"/>
    <w:semiHidden/>
    <w:unhideWhenUsed/>
    <w:qFormat/>
    <w:rsid w:val="00703D8B"/>
    <w:pPr>
      <w:keepNext/>
      <w:keepLines/>
      <w:spacing w:before="160" w:after="80"/>
      <w:outlineLvl w:val="2"/>
    </w:pPr>
    <w:rPr>
      <w:rFonts w:eastAsiaTheme="majorEastAsia" w:cstheme="majorBidi"/>
      <w:color w:val="0F4761" w:themeColor="accent1" w:themeShade="BF"/>
      <w:sz w:val="28"/>
      <w:szCs w:val="28"/>
    </w:rPr>
  </w:style>
  <w:style w:type="paragraph" w:styleId="Kop4">
    <w:name w:val="heading 4"/>
    <w:basedOn w:val="Standaard"/>
    <w:next w:val="Standaard"/>
    <w:link w:val="Kop4Char"/>
    <w:uiPriority w:val="9"/>
    <w:semiHidden/>
    <w:unhideWhenUsed/>
    <w:qFormat/>
    <w:rsid w:val="00703D8B"/>
    <w:pPr>
      <w:keepNext/>
      <w:keepLines/>
      <w:spacing w:before="80" w:after="40"/>
      <w:outlineLvl w:val="3"/>
    </w:pPr>
    <w:rPr>
      <w:rFonts w:eastAsiaTheme="majorEastAsia" w:cstheme="majorBidi"/>
      <w:i/>
      <w:iCs/>
      <w:color w:val="0F4761" w:themeColor="accent1" w:themeShade="BF"/>
    </w:rPr>
  </w:style>
  <w:style w:type="paragraph" w:styleId="Kop5">
    <w:name w:val="heading 5"/>
    <w:basedOn w:val="Standaard"/>
    <w:next w:val="Standaard"/>
    <w:link w:val="Kop5Char"/>
    <w:uiPriority w:val="9"/>
    <w:semiHidden/>
    <w:unhideWhenUsed/>
    <w:qFormat/>
    <w:rsid w:val="00703D8B"/>
    <w:pPr>
      <w:keepNext/>
      <w:keepLines/>
      <w:spacing w:before="80" w:after="40"/>
      <w:outlineLvl w:val="4"/>
    </w:pPr>
    <w:rPr>
      <w:rFonts w:eastAsiaTheme="majorEastAsia" w:cstheme="majorBidi"/>
      <w:color w:val="0F4761" w:themeColor="accent1" w:themeShade="BF"/>
    </w:rPr>
  </w:style>
  <w:style w:type="paragraph" w:styleId="Kop6">
    <w:name w:val="heading 6"/>
    <w:basedOn w:val="Standaard"/>
    <w:next w:val="Standaard"/>
    <w:link w:val="Kop6Char"/>
    <w:uiPriority w:val="9"/>
    <w:semiHidden/>
    <w:unhideWhenUsed/>
    <w:qFormat/>
    <w:rsid w:val="00703D8B"/>
    <w:pPr>
      <w:keepNext/>
      <w:keepLines/>
      <w:spacing w:before="40"/>
      <w:outlineLvl w:val="5"/>
    </w:pPr>
    <w:rPr>
      <w:rFonts w:eastAsiaTheme="majorEastAsia" w:cstheme="majorBidi"/>
      <w:i/>
      <w:iCs/>
      <w:color w:val="595959" w:themeColor="text1" w:themeTint="A6"/>
    </w:rPr>
  </w:style>
  <w:style w:type="paragraph" w:styleId="Kop7">
    <w:name w:val="heading 7"/>
    <w:basedOn w:val="Standaard"/>
    <w:next w:val="Standaard"/>
    <w:link w:val="Kop7Char"/>
    <w:uiPriority w:val="9"/>
    <w:semiHidden/>
    <w:unhideWhenUsed/>
    <w:qFormat/>
    <w:rsid w:val="00703D8B"/>
    <w:pPr>
      <w:keepNext/>
      <w:keepLines/>
      <w:spacing w:before="40"/>
      <w:outlineLvl w:val="6"/>
    </w:pPr>
    <w:rPr>
      <w:rFonts w:eastAsiaTheme="majorEastAsia" w:cstheme="majorBidi"/>
      <w:color w:val="595959" w:themeColor="text1" w:themeTint="A6"/>
    </w:rPr>
  </w:style>
  <w:style w:type="paragraph" w:styleId="Kop8">
    <w:name w:val="heading 8"/>
    <w:basedOn w:val="Standaard"/>
    <w:next w:val="Standaard"/>
    <w:link w:val="Kop8Char"/>
    <w:uiPriority w:val="9"/>
    <w:semiHidden/>
    <w:unhideWhenUsed/>
    <w:qFormat/>
    <w:rsid w:val="00703D8B"/>
    <w:pPr>
      <w:keepNext/>
      <w:keepLines/>
      <w:outlineLvl w:val="7"/>
    </w:pPr>
    <w:rPr>
      <w:rFonts w:eastAsiaTheme="majorEastAsia" w:cstheme="majorBidi"/>
      <w:i/>
      <w:iCs/>
      <w:color w:val="272727" w:themeColor="text1" w:themeTint="D8"/>
    </w:rPr>
  </w:style>
  <w:style w:type="paragraph" w:styleId="Kop9">
    <w:name w:val="heading 9"/>
    <w:basedOn w:val="Standaard"/>
    <w:next w:val="Standaard"/>
    <w:link w:val="Kop9Char"/>
    <w:uiPriority w:val="9"/>
    <w:semiHidden/>
    <w:unhideWhenUsed/>
    <w:qFormat/>
    <w:rsid w:val="00703D8B"/>
    <w:pPr>
      <w:keepNext/>
      <w:keepLines/>
      <w:outlineLvl w:val="8"/>
    </w:pPr>
    <w:rPr>
      <w:rFonts w:eastAsiaTheme="majorEastAsia" w:cstheme="majorBidi"/>
      <w:color w:val="272727" w:themeColor="text1" w:themeTint="D8"/>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703D8B"/>
    <w:rPr>
      <w:rFonts w:asciiTheme="majorHAnsi" w:eastAsiaTheme="majorEastAsia" w:hAnsiTheme="majorHAnsi" w:cstheme="majorBidi"/>
      <w:color w:val="0F4761" w:themeColor="accent1" w:themeShade="BF"/>
      <w:sz w:val="40"/>
      <w:szCs w:val="40"/>
    </w:rPr>
  </w:style>
  <w:style w:type="character" w:customStyle="1" w:styleId="Kop2Char">
    <w:name w:val="Kop 2 Char"/>
    <w:basedOn w:val="Standaardalinea-lettertype"/>
    <w:link w:val="Kop2"/>
    <w:uiPriority w:val="9"/>
    <w:semiHidden/>
    <w:rsid w:val="00703D8B"/>
    <w:rPr>
      <w:rFonts w:asciiTheme="majorHAnsi" w:eastAsiaTheme="majorEastAsia" w:hAnsiTheme="majorHAnsi" w:cstheme="majorBidi"/>
      <w:color w:val="0F4761" w:themeColor="accent1" w:themeShade="BF"/>
      <w:sz w:val="32"/>
      <w:szCs w:val="32"/>
    </w:rPr>
  </w:style>
  <w:style w:type="character" w:customStyle="1" w:styleId="Kop3Char">
    <w:name w:val="Kop 3 Char"/>
    <w:basedOn w:val="Standaardalinea-lettertype"/>
    <w:link w:val="Kop3"/>
    <w:uiPriority w:val="9"/>
    <w:semiHidden/>
    <w:rsid w:val="00703D8B"/>
    <w:rPr>
      <w:rFonts w:eastAsiaTheme="majorEastAsia" w:cstheme="majorBidi"/>
      <w:color w:val="0F4761" w:themeColor="accent1" w:themeShade="BF"/>
      <w:sz w:val="28"/>
      <w:szCs w:val="28"/>
    </w:rPr>
  </w:style>
  <w:style w:type="character" w:customStyle="1" w:styleId="Kop4Char">
    <w:name w:val="Kop 4 Char"/>
    <w:basedOn w:val="Standaardalinea-lettertype"/>
    <w:link w:val="Kop4"/>
    <w:uiPriority w:val="9"/>
    <w:semiHidden/>
    <w:rsid w:val="00703D8B"/>
    <w:rPr>
      <w:rFonts w:eastAsiaTheme="majorEastAsia" w:cstheme="majorBidi"/>
      <w:i/>
      <w:iCs/>
      <w:color w:val="0F4761" w:themeColor="accent1" w:themeShade="BF"/>
    </w:rPr>
  </w:style>
  <w:style w:type="character" w:customStyle="1" w:styleId="Kop5Char">
    <w:name w:val="Kop 5 Char"/>
    <w:basedOn w:val="Standaardalinea-lettertype"/>
    <w:link w:val="Kop5"/>
    <w:uiPriority w:val="9"/>
    <w:semiHidden/>
    <w:rsid w:val="00703D8B"/>
    <w:rPr>
      <w:rFonts w:eastAsiaTheme="majorEastAsia" w:cstheme="majorBidi"/>
      <w:color w:val="0F4761" w:themeColor="accent1" w:themeShade="BF"/>
    </w:rPr>
  </w:style>
  <w:style w:type="character" w:customStyle="1" w:styleId="Kop6Char">
    <w:name w:val="Kop 6 Char"/>
    <w:basedOn w:val="Standaardalinea-lettertype"/>
    <w:link w:val="Kop6"/>
    <w:uiPriority w:val="9"/>
    <w:semiHidden/>
    <w:rsid w:val="00703D8B"/>
    <w:rPr>
      <w:rFonts w:eastAsiaTheme="majorEastAsia" w:cstheme="majorBidi"/>
      <w:i/>
      <w:iCs/>
      <w:color w:val="595959" w:themeColor="text1" w:themeTint="A6"/>
    </w:rPr>
  </w:style>
  <w:style w:type="character" w:customStyle="1" w:styleId="Kop7Char">
    <w:name w:val="Kop 7 Char"/>
    <w:basedOn w:val="Standaardalinea-lettertype"/>
    <w:link w:val="Kop7"/>
    <w:uiPriority w:val="9"/>
    <w:semiHidden/>
    <w:rsid w:val="00703D8B"/>
    <w:rPr>
      <w:rFonts w:eastAsiaTheme="majorEastAsia" w:cstheme="majorBidi"/>
      <w:color w:val="595959" w:themeColor="text1" w:themeTint="A6"/>
    </w:rPr>
  </w:style>
  <w:style w:type="character" w:customStyle="1" w:styleId="Kop8Char">
    <w:name w:val="Kop 8 Char"/>
    <w:basedOn w:val="Standaardalinea-lettertype"/>
    <w:link w:val="Kop8"/>
    <w:uiPriority w:val="9"/>
    <w:semiHidden/>
    <w:rsid w:val="00703D8B"/>
    <w:rPr>
      <w:rFonts w:eastAsiaTheme="majorEastAsia" w:cstheme="majorBidi"/>
      <w:i/>
      <w:iCs/>
      <w:color w:val="272727" w:themeColor="text1" w:themeTint="D8"/>
    </w:rPr>
  </w:style>
  <w:style w:type="character" w:customStyle="1" w:styleId="Kop9Char">
    <w:name w:val="Kop 9 Char"/>
    <w:basedOn w:val="Standaardalinea-lettertype"/>
    <w:link w:val="Kop9"/>
    <w:uiPriority w:val="9"/>
    <w:semiHidden/>
    <w:rsid w:val="00703D8B"/>
    <w:rPr>
      <w:rFonts w:eastAsiaTheme="majorEastAsia" w:cstheme="majorBidi"/>
      <w:color w:val="272727" w:themeColor="text1" w:themeTint="D8"/>
    </w:rPr>
  </w:style>
  <w:style w:type="paragraph" w:styleId="Titel">
    <w:name w:val="Title"/>
    <w:basedOn w:val="Standaard"/>
    <w:next w:val="Standaard"/>
    <w:link w:val="TitelChar"/>
    <w:uiPriority w:val="10"/>
    <w:qFormat/>
    <w:rsid w:val="00703D8B"/>
    <w:pPr>
      <w:spacing w:after="80"/>
      <w:contextualSpacing/>
    </w:pPr>
    <w:rPr>
      <w:rFonts w:asciiTheme="majorHAnsi" w:eastAsiaTheme="majorEastAsia" w:hAnsiTheme="majorHAnsi" w:cstheme="majorBidi"/>
      <w:spacing w:val="-10"/>
      <w:kern w:val="28"/>
      <w:sz w:val="56"/>
      <w:szCs w:val="56"/>
    </w:rPr>
  </w:style>
  <w:style w:type="character" w:customStyle="1" w:styleId="TitelChar">
    <w:name w:val="Titel Char"/>
    <w:basedOn w:val="Standaardalinea-lettertype"/>
    <w:link w:val="Titel"/>
    <w:uiPriority w:val="10"/>
    <w:rsid w:val="00703D8B"/>
    <w:rPr>
      <w:rFonts w:asciiTheme="majorHAnsi" w:eastAsiaTheme="majorEastAsia" w:hAnsiTheme="majorHAnsi" w:cstheme="majorBidi"/>
      <w:spacing w:val="-10"/>
      <w:kern w:val="28"/>
      <w:sz w:val="56"/>
      <w:szCs w:val="56"/>
    </w:rPr>
  </w:style>
  <w:style w:type="paragraph" w:styleId="Ondertitel">
    <w:name w:val="Subtitle"/>
    <w:basedOn w:val="Standaard"/>
    <w:next w:val="Standaard"/>
    <w:link w:val="OndertitelChar"/>
    <w:uiPriority w:val="11"/>
    <w:qFormat/>
    <w:rsid w:val="00703D8B"/>
    <w:pPr>
      <w:numPr>
        <w:ilvl w:val="1"/>
      </w:numPr>
      <w:spacing w:after="160"/>
    </w:pPr>
    <w:rPr>
      <w:rFonts w:eastAsiaTheme="majorEastAsia" w:cstheme="majorBidi"/>
      <w:color w:val="595959" w:themeColor="text1" w:themeTint="A6"/>
      <w:spacing w:val="15"/>
      <w:sz w:val="28"/>
      <w:szCs w:val="28"/>
    </w:rPr>
  </w:style>
  <w:style w:type="character" w:customStyle="1" w:styleId="OndertitelChar">
    <w:name w:val="Ondertitel Char"/>
    <w:basedOn w:val="Standaardalinea-lettertype"/>
    <w:link w:val="Ondertitel"/>
    <w:uiPriority w:val="11"/>
    <w:rsid w:val="00703D8B"/>
    <w:rPr>
      <w:rFonts w:eastAsiaTheme="majorEastAsia" w:cstheme="majorBidi"/>
      <w:color w:val="595959" w:themeColor="text1" w:themeTint="A6"/>
      <w:spacing w:val="15"/>
      <w:sz w:val="28"/>
      <w:szCs w:val="28"/>
    </w:rPr>
  </w:style>
  <w:style w:type="paragraph" w:styleId="Citaat">
    <w:name w:val="Quote"/>
    <w:basedOn w:val="Standaard"/>
    <w:next w:val="Standaard"/>
    <w:link w:val="CitaatChar"/>
    <w:uiPriority w:val="29"/>
    <w:qFormat/>
    <w:rsid w:val="00703D8B"/>
    <w:pPr>
      <w:spacing w:before="160" w:after="160"/>
      <w:jc w:val="center"/>
    </w:pPr>
    <w:rPr>
      <w:i/>
      <w:iCs/>
      <w:color w:val="404040" w:themeColor="text1" w:themeTint="BF"/>
    </w:rPr>
  </w:style>
  <w:style w:type="character" w:customStyle="1" w:styleId="CitaatChar">
    <w:name w:val="Citaat Char"/>
    <w:basedOn w:val="Standaardalinea-lettertype"/>
    <w:link w:val="Citaat"/>
    <w:uiPriority w:val="29"/>
    <w:rsid w:val="00703D8B"/>
    <w:rPr>
      <w:i/>
      <w:iCs/>
      <w:color w:val="404040" w:themeColor="text1" w:themeTint="BF"/>
    </w:rPr>
  </w:style>
  <w:style w:type="paragraph" w:styleId="Lijstalinea">
    <w:name w:val="List Paragraph"/>
    <w:basedOn w:val="Standaard"/>
    <w:uiPriority w:val="34"/>
    <w:qFormat/>
    <w:rsid w:val="00703D8B"/>
    <w:pPr>
      <w:ind w:left="720"/>
      <w:contextualSpacing/>
    </w:pPr>
  </w:style>
  <w:style w:type="character" w:styleId="Intensievebenadrukking">
    <w:name w:val="Intense Emphasis"/>
    <w:basedOn w:val="Standaardalinea-lettertype"/>
    <w:uiPriority w:val="21"/>
    <w:qFormat/>
    <w:rsid w:val="00703D8B"/>
    <w:rPr>
      <w:i/>
      <w:iCs/>
      <w:color w:val="0F4761" w:themeColor="accent1" w:themeShade="BF"/>
    </w:rPr>
  </w:style>
  <w:style w:type="paragraph" w:styleId="Duidelijkcitaat">
    <w:name w:val="Intense Quote"/>
    <w:basedOn w:val="Standaard"/>
    <w:next w:val="Standaard"/>
    <w:link w:val="DuidelijkcitaatChar"/>
    <w:uiPriority w:val="30"/>
    <w:qFormat/>
    <w:rsid w:val="00703D8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DuidelijkcitaatChar">
    <w:name w:val="Duidelijk citaat Char"/>
    <w:basedOn w:val="Standaardalinea-lettertype"/>
    <w:link w:val="Duidelijkcitaat"/>
    <w:uiPriority w:val="30"/>
    <w:rsid w:val="00703D8B"/>
    <w:rPr>
      <w:i/>
      <w:iCs/>
      <w:color w:val="0F4761" w:themeColor="accent1" w:themeShade="BF"/>
    </w:rPr>
  </w:style>
  <w:style w:type="character" w:styleId="Intensieveverwijzing">
    <w:name w:val="Intense Reference"/>
    <w:basedOn w:val="Standaardalinea-lettertype"/>
    <w:uiPriority w:val="32"/>
    <w:qFormat/>
    <w:rsid w:val="00703D8B"/>
    <w:rPr>
      <w:b/>
      <w:bCs/>
      <w:smallCaps/>
      <w:color w:val="0F4761" w:themeColor="accent1" w:themeShade="BF"/>
      <w:spacing w:val="5"/>
    </w:rPr>
  </w:style>
  <w:style w:type="paragraph" w:styleId="Koptekst">
    <w:name w:val="header"/>
    <w:basedOn w:val="Standaard"/>
    <w:link w:val="KoptekstChar"/>
    <w:uiPriority w:val="99"/>
    <w:unhideWhenUsed/>
    <w:rsid w:val="002A0709"/>
    <w:pPr>
      <w:tabs>
        <w:tab w:val="center" w:pos="4536"/>
        <w:tab w:val="right" w:pos="9072"/>
      </w:tabs>
    </w:pPr>
  </w:style>
  <w:style w:type="character" w:customStyle="1" w:styleId="KoptekstChar">
    <w:name w:val="Koptekst Char"/>
    <w:basedOn w:val="Standaardalinea-lettertype"/>
    <w:link w:val="Koptekst"/>
    <w:uiPriority w:val="99"/>
    <w:rsid w:val="002A0709"/>
  </w:style>
  <w:style w:type="paragraph" w:styleId="Voettekst">
    <w:name w:val="footer"/>
    <w:basedOn w:val="Standaard"/>
    <w:link w:val="VoettekstChar"/>
    <w:uiPriority w:val="99"/>
    <w:unhideWhenUsed/>
    <w:rsid w:val="002A0709"/>
    <w:pPr>
      <w:tabs>
        <w:tab w:val="center" w:pos="4536"/>
        <w:tab w:val="right" w:pos="9072"/>
      </w:tabs>
    </w:pPr>
  </w:style>
  <w:style w:type="character" w:customStyle="1" w:styleId="VoettekstChar">
    <w:name w:val="Voettekst Char"/>
    <w:basedOn w:val="Standaardalinea-lettertype"/>
    <w:link w:val="Voettekst"/>
    <w:uiPriority w:val="99"/>
    <w:rsid w:val="002A07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333</Words>
  <Characters>1836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 Summerskill</dc:creator>
  <cp:keywords/>
  <dc:description/>
  <cp:lastModifiedBy>Johan Broeders</cp:lastModifiedBy>
  <cp:revision>5</cp:revision>
  <dcterms:created xsi:type="dcterms:W3CDTF">2024-12-03T15:31:00Z</dcterms:created>
  <dcterms:modified xsi:type="dcterms:W3CDTF">2024-12-11T18:10:00Z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d2ad905-a8c6-4fac-a274-fc3a9e0c7e11_Enabled">
    <vt:lpwstr>true</vt:lpwstr>
  </property>
  <property fmtid="{D5CDD505-2E9C-101B-9397-08002B2CF9AE}" pid="3" name="MSIP_Label_ed2ad905-a8c6-4fac-a274-fc3a9e0c7e11_SetDate">
    <vt:lpwstr>2024-12-11T18:07:20Z</vt:lpwstr>
  </property>
  <property fmtid="{D5CDD505-2E9C-101B-9397-08002B2CF9AE}" pid="4" name="MSIP_Label_ed2ad905-a8c6-4fac-a274-fc3a9e0c7e11_Method">
    <vt:lpwstr>Privileged</vt:lpwstr>
  </property>
  <property fmtid="{D5CDD505-2E9C-101B-9397-08002B2CF9AE}" pid="5" name="MSIP_Label_ed2ad905-a8c6-4fac-a274-fc3a9e0c7e11_Name">
    <vt:lpwstr>ed2ad905-a8c6-4fac-a274-fc3a9e0c7e11</vt:lpwstr>
  </property>
  <property fmtid="{D5CDD505-2E9C-101B-9397-08002B2CF9AE}" pid="6" name="MSIP_Label_ed2ad905-a8c6-4fac-a274-fc3a9e0c7e11_SiteId">
    <vt:lpwstr>e201abf9-c5a3-43f8-8e29-135d4fe67e6b</vt:lpwstr>
  </property>
  <property fmtid="{D5CDD505-2E9C-101B-9397-08002B2CF9AE}" pid="7" name="MSIP_Label_ed2ad905-a8c6-4fac-a274-fc3a9e0c7e11_ActionId">
    <vt:lpwstr>9a9e7f0e-70e3-4dcf-9b55-6bb6e09d0402</vt:lpwstr>
  </property>
  <property fmtid="{D5CDD505-2E9C-101B-9397-08002B2CF9AE}" pid="8" name="MSIP_Label_ed2ad905-a8c6-4fac-a274-fc3a9e0c7e11_ContentBits">
    <vt:lpwstr>0</vt:lpwstr>
  </property>
</Properties>
</file>