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1A" w:rsidRDefault="00C6761A" w:rsidP="00DF0077">
      <w:pPr>
        <w:jc w:val="center"/>
        <w:rPr>
          <w:rFonts w:ascii="ＭＳ Ｐゴシック" w:eastAsia="ＭＳ Ｐゴシック" w:hAnsi="ＭＳ Ｐゴシック"/>
          <w:b/>
          <w:sz w:val="36"/>
          <w:szCs w:val="36"/>
        </w:rPr>
      </w:pPr>
    </w:p>
    <w:p w:rsidR="005C3D94" w:rsidRPr="00DF0077" w:rsidRDefault="00DF0077" w:rsidP="00DF0077">
      <w:pPr>
        <w:jc w:val="center"/>
        <w:rPr>
          <w:rFonts w:ascii="ＭＳ Ｐゴシック" w:eastAsia="ＭＳ Ｐゴシック" w:hAnsi="ＭＳ Ｐゴシック"/>
          <w:b/>
          <w:sz w:val="36"/>
          <w:szCs w:val="36"/>
        </w:rPr>
      </w:pPr>
      <w:r w:rsidRPr="00DF0077">
        <w:rPr>
          <w:rFonts w:ascii="ＭＳ Ｐゴシック" w:eastAsia="ＭＳ Ｐゴシック" w:hAnsi="ＭＳ Ｐゴシック" w:hint="eastAsia"/>
          <w:b/>
          <w:sz w:val="36"/>
          <w:szCs w:val="36"/>
        </w:rPr>
        <w:t xml:space="preserve">Draft update for versions of </w:t>
      </w:r>
      <w:r w:rsidR="005C3D94" w:rsidRPr="00DF0077">
        <w:rPr>
          <w:rFonts w:ascii="ＭＳ Ｐゴシック" w:eastAsia="ＭＳ Ｐゴシック" w:hAnsi="ＭＳ Ｐゴシック" w:hint="eastAsia"/>
          <w:b/>
          <w:sz w:val="36"/>
          <w:szCs w:val="36"/>
        </w:rPr>
        <w:t>UN R</w:t>
      </w:r>
      <w:r w:rsidRPr="00DF0077">
        <w:rPr>
          <w:rFonts w:ascii="ＭＳ Ｐゴシック" w:eastAsia="ＭＳ Ｐゴシック" w:hAnsi="ＭＳ Ｐゴシック" w:hint="eastAsia"/>
          <w:b/>
          <w:sz w:val="36"/>
          <w:szCs w:val="36"/>
        </w:rPr>
        <w:t xml:space="preserve">egulations in </w:t>
      </w:r>
      <w:r w:rsidR="005C3D94" w:rsidRPr="00DF0077">
        <w:rPr>
          <w:rFonts w:ascii="ＭＳ Ｐゴシック" w:eastAsia="ＭＳ Ｐゴシック" w:hAnsi="ＭＳ Ｐゴシック" w:hint="eastAsia"/>
          <w:b/>
          <w:sz w:val="36"/>
          <w:szCs w:val="36"/>
        </w:rPr>
        <w:t>Annex 4</w:t>
      </w:r>
      <w:r w:rsidRPr="00DF0077">
        <w:rPr>
          <w:rFonts w:ascii="ＭＳ Ｐゴシック" w:eastAsia="ＭＳ Ｐゴシック" w:hAnsi="ＭＳ Ｐゴシック" w:hint="eastAsia"/>
          <w:b/>
          <w:sz w:val="36"/>
          <w:szCs w:val="36"/>
        </w:rPr>
        <w:t>, Section I</w:t>
      </w:r>
    </w:p>
    <w:p w:rsidR="00DF0077" w:rsidRDefault="00DF0077" w:rsidP="008A65D8">
      <w:pPr>
        <w:ind w:left="708" w:hangingChars="322" w:hanging="708"/>
        <w:rPr>
          <w:sz w:val="22"/>
        </w:rPr>
      </w:pPr>
    </w:p>
    <w:p w:rsidR="002D1099" w:rsidRPr="00681624" w:rsidRDefault="00DF0077" w:rsidP="00EC6CFB">
      <w:pPr>
        <w:ind w:left="1417" w:hangingChars="644" w:hanging="1417"/>
        <w:rPr>
          <w:sz w:val="22"/>
        </w:rPr>
      </w:pPr>
      <w:r>
        <w:rPr>
          <w:rFonts w:hint="eastAsia"/>
          <w:sz w:val="22"/>
        </w:rPr>
        <w:t xml:space="preserve">Assumption: </w:t>
      </w:r>
      <w:r w:rsidR="00EC6CFB">
        <w:rPr>
          <w:rFonts w:hint="eastAsia"/>
          <w:sz w:val="22"/>
        </w:rPr>
        <w:t>Ori</w:t>
      </w:r>
      <w:r w:rsidR="00F24D27">
        <w:rPr>
          <w:rFonts w:hint="eastAsia"/>
          <w:sz w:val="22"/>
        </w:rPr>
        <w:t xml:space="preserve">ginal </w:t>
      </w:r>
      <w:r w:rsidR="005B5556" w:rsidRPr="00681624">
        <w:rPr>
          <w:rFonts w:hint="eastAsia"/>
          <w:sz w:val="22"/>
        </w:rPr>
        <w:t>UN R0</w:t>
      </w:r>
      <w:r>
        <w:rPr>
          <w:rFonts w:hint="eastAsia"/>
          <w:sz w:val="22"/>
        </w:rPr>
        <w:t xml:space="preserve"> will be approved by WP.29 in March, 2017 and </w:t>
      </w:r>
      <w:r w:rsidR="009F72BB">
        <w:rPr>
          <w:rFonts w:hint="eastAsia"/>
          <w:sz w:val="22"/>
        </w:rPr>
        <w:t xml:space="preserve">its expected date of entry into force </w:t>
      </w:r>
      <w:r>
        <w:rPr>
          <w:rFonts w:hint="eastAsia"/>
          <w:sz w:val="22"/>
        </w:rPr>
        <w:t xml:space="preserve">will </w:t>
      </w:r>
      <w:r w:rsidR="009F72BB">
        <w:rPr>
          <w:rFonts w:hint="eastAsia"/>
          <w:sz w:val="22"/>
        </w:rPr>
        <w:t>be October, 2017</w:t>
      </w:r>
      <w:r>
        <w:rPr>
          <w:rFonts w:hint="eastAsia"/>
          <w:sz w:val="22"/>
        </w:rPr>
        <w:t>.</w:t>
      </w:r>
      <w:r w:rsidR="009F72BB">
        <w:rPr>
          <w:rFonts w:hint="eastAsia"/>
          <w:sz w:val="22"/>
        </w:rPr>
        <w:t xml:space="preserve"> This UN R0</w:t>
      </w:r>
      <w:r w:rsidR="00EC6CFB">
        <w:rPr>
          <w:rFonts w:hint="eastAsia"/>
          <w:sz w:val="22"/>
        </w:rPr>
        <w:t xml:space="preserve"> include versions of UN Regulations whose </w:t>
      </w:r>
      <w:r w:rsidR="005B5556" w:rsidRPr="00681624">
        <w:rPr>
          <w:rFonts w:hint="eastAsia"/>
          <w:sz w:val="22"/>
        </w:rPr>
        <w:t>date (b)</w:t>
      </w:r>
      <w:r w:rsidR="00EC6CFB">
        <w:rPr>
          <w:rFonts w:hint="eastAsia"/>
          <w:sz w:val="22"/>
        </w:rPr>
        <w:t xml:space="preserve"> is set before September </w:t>
      </w:r>
      <w:r w:rsidR="00A21DF7">
        <w:rPr>
          <w:rFonts w:hint="eastAsia"/>
          <w:sz w:val="22"/>
        </w:rPr>
        <w:t>2</w:t>
      </w:r>
      <w:r w:rsidR="00EC6CFB">
        <w:rPr>
          <w:rFonts w:hint="eastAsia"/>
          <w:sz w:val="22"/>
        </w:rPr>
        <w:t>, 2017</w:t>
      </w:r>
    </w:p>
    <w:p w:rsidR="00085FC6" w:rsidRDefault="00A21DF7" w:rsidP="00A21DF7">
      <w:pPr>
        <w:ind w:leftChars="652" w:left="1417" w:hangingChars="22" w:hanging="48"/>
        <w:rPr>
          <w:sz w:val="22"/>
        </w:rPr>
      </w:pPr>
      <w:r>
        <w:rPr>
          <w:rFonts w:hint="eastAsia"/>
          <w:sz w:val="22"/>
        </w:rPr>
        <w:t>UN R0 will be updated to be UN R0/01 in November, 2017. UN Regulation whose date (b) is set between September 2, 2017 and September 1, 2018 will be upgraded.</w:t>
      </w:r>
    </w:p>
    <w:p w:rsidR="00A26388" w:rsidRPr="00C6761A" w:rsidRDefault="00A26388" w:rsidP="00C6761A">
      <w:pPr>
        <w:ind w:firstLineChars="322" w:firstLine="708"/>
        <w:rPr>
          <w:sz w:val="22"/>
        </w:rPr>
      </w:pPr>
    </w:p>
    <w:tbl>
      <w:tblPr>
        <w:tblStyle w:val="a3"/>
        <w:tblW w:w="10031" w:type="dxa"/>
        <w:tblLayout w:type="fixed"/>
        <w:tblLook w:val="04A0" w:firstRow="1" w:lastRow="0" w:firstColumn="1" w:lastColumn="0" w:noHBand="0" w:noVBand="1"/>
      </w:tblPr>
      <w:tblGrid>
        <w:gridCol w:w="817"/>
        <w:gridCol w:w="992"/>
        <w:gridCol w:w="1276"/>
        <w:gridCol w:w="4820"/>
        <w:gridCol w:w="2126"/>
      </w:tblGrid>
      <w:tr w:rsidR="00C6761A" w:rsidRPr="00C6761A" w:rsidTr="00C6761A">
        <w:trPr>
          <w:trHeight w:val="785"/>
        </w:trPr>
        <w:tc>
          <w:tcPr>
            <w:tcW w:w="817" w:type="dxa"/>
            <w:tcBorders>
              <w:bottom w:val="double" w:sz="4" w:space="0" w:color="auto"/>
            </w:tcBorders>
          </w:tcPr>
          <w:p w:rsidR="008A65D8" w:rsidRPr="00C6761A" w:rsidRDefault="00614FBC" w:rsidP="00614FBC">
            <w:pPr>
              <w:ind w:left="100" w:hangingChars="50" w:hanging="100"/>
              <w:jc w:val="left"/>
              <w:rPr>
                <w:sz w:val="20"/>
                <w:szCs w:val="20"/>
              </w:rPr>
            </w:pPr>
            <w:r w:rsidRPr="00C6761A">
              <w:rPr>
                <w:rFonts w:hint="eastAsia"/>
                <w:sz w:val="20"/>
                <w:szCs w:val="20"/>
              </w:rPr>
              <w:t>UN Reg.</w:t>
            </w:r>
          </w:p>
        </w:tc>
        <w:tc>
          <w:tcPr>
            <w:tcW w:w="992" w:type="dxa"/>
            <w:tcBorders>
              <w:bottom w:val="double" w:sz="4" w:space="0" w:color="auto"/>
            </w:tcBorders>
          </w:tcPr>
          <w:p w:rsidR="008A65D8" w:rsidRPr="00C6761A" w:rsidRDefault="00A21DF7" w:rsidP="00A21DF7">
            <w:pPr>
              <w:rPr>
                <w:sz w:val="20"/>
                <w:szCs w:val="20"/>
              </w:rPr>
            </w:pPr>
            <w:r w:rsidRPr="00C6761A">
              <w:rPr>
                <w:rFonts w:hint="eastAsia"/>
                <w:sz w:val="20"/>
                <w:szCs w:val="20"/>
              </w:rPr>
              <w:t>version</w:t>
            </w:r>
          </w:p>
        </w:tc>
        <w:tc>
          <w:tcPr>
            <w:tcW w:w="1276" w:type="dxa"/>
            <w:tcBorders>
              <w:bottom w:val="double" w:sz="4" w:space="0" w:color="auto"/>
            </w:tcBorders>
          </w:tcPr>
          <w:p w:rsidR="008A65D8" w:rsidRPr="00C6761A" w:rsidRDefault="00614FBC" w:rsidP="00614FBC">
            <w:pPr>
              <w:rPr>
                <w:sz w:val="20"/>
                <w:szCs w:val="20"/>
              </w:rPr>
            </w:pPr>
            <w:r w:rsidRPr="00C6761A">
              <w:rPr>
                <w:rFonts w:hint="eastAsia"/>
                <w:sz w:val="20"/>
                <w:szCs w:val="20"/>
              </w:rPr>
              <w:t>Date of entry into force</w:t>
            </w:r>
          </w:p>
        </w:tc>
        <w:tc>
          <w:tcPr>
            <w:tcW w:w="4820" w:type="dxa"/>
            <w:tcBorders>
              <w:bottom w:val="double" w:sz="4" w:space="0" w:color="auto"/>
            </w:tcBorders>
          </w:tcPr>
          <w:p w:rsidR="008A65D8" w:rsidRPr="00C6761A" w:rsidRDefault="00614FBC" w:rsidP="00614FBC">
            <w:pPr>
              <w:rPr>
                <w:sz w:val="24"/>
                <w:szCs w:val="24"/>
              </w:rPr>
            </w:pPr>
            <w:r w:rsidRPr="00C6761A">
              <w:rPr>
                <w:rFonts w:hint="eastAsia"/>
                <w:sz w:val="24"/>
                <w:szCs w:val="24"/>
              </w:rPr>
              <w:t xml:space="preserve">Transitional Provisions Date </w:t>
            </w:r>
            <w:r w:rsidR="008A65D8" w:rsidRPr="00C6761A">
              <w:rPr>
                <w:rFonts w:hint="eastAsia"/>
                <w:sz w:val="24"/>
                <w:szCs w:val="24"/>
              </w:rPr>
              <w:t>(b)</w:t>
            </w:r>
          </w:p>
        </w:tc>
        <w:tc>
          <w:tcPr>
            <w:tcW w:w="2126" w:type="dxa"/>
            <w:tcBorders>
              <w:bottom w:val="double" w:sz="4" w:space="0" w:color="auto"/>
            </w:tcBorders>
          </w:tcPr>
          <w:p w:rsidR="008A65D8" w:rsidRPr="00C6761A" w:rsidRDefault="00614FBC" w:rsidP="00614FBC">
            <w:pPr>
              <w:rPr>
                <w:sz w:val="22"/>
              </w:rPr>
            </w:pPr>
            <w:r w:rsidRPr="00C6761A">
              <w:rPr>
                <w:rFonts w:hint="eastAsia"/>
                <w:sz w:val="22"/>
              </w:rPr>
              <w:t>Maintain or Upgrade Versions</w:t>
            </w:r>
          </w:p>
        </w:tc>
      </w:tr>
      <w:tr w:rsidR="00C6761A" w:rsidRPr="00C6761A" w:rsidTr="00C6761A">
        <w:trPr>
          <w:trHeight w:val="2485"/>
        </w:trPr>
        <w:tc>
          <w:tcPr>
            <w:tcW w:w="817" w:type="dxa"/>
            <w:tcBorders>
              <w:top w:val="double" w:sz="4" w:space="0" w:color="auto"/>
            </w:tcBorders>
          </w:tcPr>
          <w:p w:rsidR="008A65D8" w:rsidRPr="00C6761A" w:rsidRDefault="008A65D8">
            <w:pPr>
              <w:rPr>
                <w:sz w:val="22"/>
              </w:rPr>
            </w:pPr>
            <w:r w:rsidRPr="00C6761A">
              <w:rPr>
                <w:rFonts w:hint="eastAsia"/>
                <w:sz w:val="22"/>
              </w:rPr>
              <w:t>10</w:t>
            </w:r>
          </w:p>
        </w:tc>
        <w:tc>
          <w:tcPr>
            <w:tcW w:w="992" w:type="dxa"/>
            <w:tcBorders>
              <w:top w:val="double" w:sz="4" w:space="0" w:color="auto"/>
            </w:tcBorders>
          </w:tcPr>
          <w:p w:rsidR="008A65D8" w:rsidRPr="00C6761A" w:rsidRDefault="008A65D8">
            <w:pPr>
              <w:rPr>
                <w:sz w:val="22"/>
              </w:rPr>
            </w:pPr>
            <w:r w:rsidRPr="00C6761A">
              <w:rPr>
                <w:rFonts w:hint="eastAsia"/>
                <w:sz w:val="22"/>
              </w:rPr>
              <w:t>05</w:t>
            </w:r>
          </w:p>
        </w:tc>
        <w:tc>
          <w:tcPr>
            <w:tcW w:w="1276" w:type="dxa"/>
            <w:tcBorders>
              <w:top w:val="double" w:sz="4" w:space="0" w:color="auto"/>
            </w:tcBorders>
          </w:tcPr>
          <w:p w:rsidR="008A65D8" w:rsidRPr="00C6761A" w:rsidRDefault="008A65D8">
            <w:pPr>
              <w:rPr>
                <w:sz w:val="22"/>
              </w:rPr>
            </w:pPr>
            <w:r w:rsidRPr="00C6761A">
              <w:rPr>
                <w:rFonts w:hint="eastAsia"/>
                <w:sz w:val="22"/>
              </w:rPr>
              <w:t>2014/10/9</w:t>
            </w:r>
          </w:p>
        </w:tc>
        <w:tc>
          <w:tcPr>
            <w:tcW w:w="4820" w:type="dxa"/>
            <w:tcBorders>
              <w:top w:val="double" w:sz="4" w:space="0" w:color="auto"/>
            </w:tcBorders>
          </w:tcPr>
          <w:p w:rsidR="008A65D8" w:rsidRPr="00C6761A" w:rsidRDefault="008A65D8" w:rsidP="006B3AD9">
            <w:pPr>
              <w:rPr>
                <w:sz w:val="22"/>
              </w:rPr>
            </w:pPr>
            <w:r w:rsidRPr="00C6761A">
              <w:rPr>
                <w:rFonts w:hint="eastAsia"/>
                <w:sz w:val="22"/>
              </w:rPr>
              <w:t xml:space="preserve">13.11: </w:t>
            </w:r>
            <w:r w:rsidR="006B3AD9" w:rsidRPr="00C6761A">
              <w:rPr>
                <w:sz w:val="22"/>
              </w:rPr>
              <w:t>As from 36 months after the date of entry into force of the 05 series of amendments, Contracting Parties applying this Regulation shall grant type approvals only if the vehicle type, component or separate technical unit, to be approved meets the requirements of this Regulation as amended by the 05 series of amendments.</w:t>
            </w:r>
            <w:r w:rsidR="006B3AD9" w:rsidRPr="00C6761A">
              <w:rPr>
                <w:rFonts w:hint="eastAsia"/>
                <w:sz w:val="22"/>
              </w:rPr>
              <w:t xml:space="preserve"> </w:t>
            </w:r>
            <w:r w:rsidRPr="00C6761A">
              <w:rPr>
                <w:rFonts w:hint="eastAsia"/>
                <w:sz w:val="22"/>
              </w:rPr>
              <w:t>(ECE/TRANS/505/Add.9/Rev.5)</w:t>
            </w:r>
          </w:p>
        </w:tc>
        <w:tc>
          <w:tcPr>
            <w:tcW w:w="2126" w:type="dxa"/>
            <w:tcBorders>
              <w:top w:val="double" w:sz="4" w:space="0" w:color="auto"/>
            </w:tcBorders>
          </w:tcPr>
          <w:p w:rsidR="008A65D8" w:rsidRPr="00C6761A" w:rsidRDefault="009437AA" w:rsidP="005B5556">
            <w:pPr>
              <w:rPr>
                <w:sz w:val="22"/>
              </w:rPr>
            </w:pPr>
            <w:r w:rsidRPr="00C6761A">
              <w:rPr>
                <w:rFonts w:hint="eastAsia"/>
                <w:sz w:val="22"/>
              </w:rPr>
              <w:t xml:space="preserve">Maintain </w:t>
            </w:r>
            <w:r w:rsidR="008A65D8" w:rsidRPr="00C6761A">
              <w:rPr>
                <w:rFonts w:hint="eastAsia"/>
                <w:sz w:val="22"/>
              </w:rPr>
              <w:t>R10-04</w:t>
            </w:r>
            <w:r w:rsidR="00F975B7" w:rsidRPr="00C6761A">
              <w:rPr>
                <w:rFonts w:hint="eastAsia"/>
                <w:sz w:val="22"/>
              </w:rPr>
              <w:t>.</w:t>
            </w:r>
          </w:p>
          <w:p w:rsidR="008A65D8" w:rsidRPr="00C6761A" w:rsidRDefault="00F975B7" w:rsidP="00BB10C5">
            <w:pPr>
              <w:rPr>
                <w:sz w:val="22"/>
              </w:rPr>
            </w:pPr>
            <w:r w:rsidRPr="00C6761A">
              <w:rPr>
                <w:rFonts w:hint="eastAsia"/>
                <w:sz w:val="22"/>
              </w:rPr>
              <w:t xml:space="preserve">Upgrade </w:t>
            </w:r>
            <w:r w:rsidR="00BB10C5" w:rsidRPr="00C6761A">
              <w:rPr>
                <w:rFonts w:hint="eastAsia"/>
                <w:sz w:val="22"/>
              </w:rPr>
              <w:t xml:space="preserve">it </w:t>
            </w:r>
            <w:r w:rsidRPr="00C6761A">
              <w:rPr>
                <w:rFonts w:hint="eastAsia"/>
                <w:sz w:val="22"/>
              </w:rPr>
              <w:t xml:space="preserve">to </w:t>
            </w:r>
            <w:r w:rsidR="00BB10C5" w:rsidRPr="00C6761A">
              <w:rPr>
                <w:rFonts w:hint="eastAsia"/>
                <w:sz w:val="22"/>
              </w:rPr>
              <w:t>R10-05 in November, 2017</w:t>
            </w:r>
          </w:p>
        </w:tc>
      </w:tr>
      <w:tr w:rsidR="00C6761A" w:rsidRPr="00C6761A" w:rsidTr="00C6761A">
        <w:trPr>
          <w:trHeight w:val="1973"/>
        </w:trPr>
        <w:tc>
          <w:tcPr>
            <w:tcW w:w="817" w:type="dxa"/>
          </w:tcPr>
          <w:p w:rsidR="008A65D8" w:rsidRPr="00C6761A" w:rsidRDefault="008A65D8">
            <w:pPr>
              <w:rPr>
                <w:sz w:val="22"/>
              </w:rPr>
            </w:pPr>
            <w:r w:rsidRPr="00C6761A">
              <w:rPr>
                <w:rFonts w:hint="eastAsia"/>
                <w:sz w:val="22"/>
              </w:rPr>
              <w:t>11</w:t>
            </w:r>
          </w:p>
        </w:tc>
        <w:tc>
          <w:tcPr>
            <w:tcW w:w="992" w:type="dxa"/>
          </w:tcPr>
          <w:p w:rsidR="008A65D8" w:rsidRPr="00C6761A" w:rsidRDefault="008A65D8">
            <w:pPr>
              <w:rPr>
                <w:sz w:val="22"/>
              </w:rPr>
            </w:pPr>
            <w:r w:rsidRPr="00C6761A">
              <w:rPr>
                <w:rFonts w:hint="eastAsia"/>
                <w:sz w:val="22"/>
              </w:rPr>
              <w:t>04</w:t>
            </w:r>
          </w:p>
        </w:tc>
        <w:tc>
          <w:tcPr>
            <w:tcW w:w="1276" w:type="dxa"/>
          </w:tcPr>
          <w:p w:rsidR="008A65D8" w:rsidRPr="00C6761A" w:rsidRDefault="008A65D8">
            <w:pPr>
              <w:rPr>
                <w:sz w:val="22"/>
              </w:rPr>
            </w:pPr>
            <w:r w:rsidRPr="00C6761A">
              <w:rPr>
                <w:rFonts w:hint="eastAsia"/>
                <w:sz w:val="22"/>
              </w:rPr>
              <w:t>2015/6/15</w:t>
            </w:r>
          </w:p>
        </w:tc>
        <w:tc>
          <w:tcPr>
            <w:tcW w:w="4820" w:type="dxa"/>
          </w:tcPr>
          <w:p w:rsidR="008A65D8" w:rsidRPr="00C6761A" w:rsidRDefault="008A65D8" w:rsidP="006B3AD9">
            <w:pPr>
              <w:rPr>
                <w:sz w:val="22"/>
              </w:rPr>
            </w:pPr>
            <w:r w:rsidRPr="00C6761A">
              <w:rPr>
                <w:rFonts w:hint="eastAsia"/>
                <w:sz w:val="22"/>
              </w:rPr>
              <w:t xml:space="preserve">13.8: </w:t>
            </w:r>
            <w:r w:rsidR="006B3AD9" w:rsidRPr="00C6761A">
              <w:rPr>
                <w:sz w:val="22"/>
              </w:rPr>
              <w:t>As from 1 September 2016, Contracting Parties applying this Regulation shall grant type approvals only if the vehicle type to be approved meets the requirements of this Regulation as amended by the 04 series of amendments.</w:t>
            </w:r>
            <w:r w:rsidR="006B3AD9" w:rsidRPr="00C6761A">
              <w:rPr>
                <w:rFonts w:hint="eastAsia"/>
                <w:sz w:val="22"/>
              </w:rPr>
              <w:t xml:space="preserve"> </w:t>
            </w:r>
            <w:r w:rsidRPr="00C6761A">
              <w:rPr>
                <w:rFonts w:hint="eastAsia"/>
                <w:sz w:val="22"/>
              </w:rPr>
              <w:t>(ECE/TRANS/505/Add.10/Rev.3)</w:t>
            </w:r>
          </w:p>
        </w:tc>
        <w:tc>
          <w:tcPr>
            <w:tcW w:w="2126" w:type="dxa"/>
          </w:tcPr>
          <w:p w:rsidR="008A65D8" w:rsidRPr="00C6761A" w:rsidRDefault="006B3AD9" w:rsidP="006B3AD9">
            <w:pPr>
              <w:rPr>
                <w:rFonts w:ascii="ＭＳ Ｐゴシック" w:eastAsia="ＭＳ Ｐゴシック" w:hAnsi="ＭＳ Ｐゴシック"/>
                <w:b/>
                <w:sz w:val="22"/>
              </w:rPr>
            </w:pPr>
            <w:r w:rsidRPr="00C6761A">
              <w:rPr>
                <w:rFonts w:ascii="Century" w:eastAsia="ＭＳ Ｐゴシック" w:hAnsi="Century" w:hint="eastAsia"/>
                <w:b/>
                <w:sz w:val="22"/>
              </w:rPr>
              <w:t>Upgrade it to R11-04</w:t>
            </w:r>
          </w:p>
        </w:tc>
      </w:tr>
      <w:tr w:rsidR="00C6761A" w:rsidRPr="00C6761A" w:rsidTr="00C6761A">
        <w:trPr>
          <w:trHeight w:val="1690"/>
        </w:trPr>
        <w:tc>
          <w:tcPr>
            <w:tcW w:w="817" w:type="dxa"/>
          </w:tcPr>
          <w:p w:rsidR="008A65D8" w:rsidRPr="00C6761A" w:rsidRDefault="008A65D8">
            <w:pPr>
              <w:rPr>
                <w:sz w:val="22"/>
              </w:rPr>
            </w:pPr>
            <w:r w:rsidRPr="00C6761A">
              <w:rPr>
                <w:rFonts w:hint="eastAsia"/>
                <w:sz w:val="22"/>
              </w:rPr>
              <w:t>39</w:t>
            </w:r>
          </w:p>
        </w:tc>
        <w:tc>
          <w:tcPr>
            <w:tcW w:w="992" w:type="dxa"/>
          </w:tcPr>
          <w:p w:rsidR="008A65D8" w:rsidRPr="00C6761A" w:rsidRDefault="008A65D8">
            <w:pPr>
              <w:rPr>
                <w:sz w:val="22"/>
              </w:rPr>
            </w:pPr>
            <w:r w:rsidRPr="00C6761A">
              <w:rPr>
                <w:rFonts w:hint="eastAsia"/>
                <w:sz w:val="22"/>
              </w:rPr>
              <w:t>01</w:t>
            </w:r>
          </w:p>
        </w:tc>
        <w:tc>
          <w:tcPr>
            <w:tcW w:w="1276" w:type="dxa"/>
          </w:tcPr>
          <w:p w:rsidR="008A65D8" w:rsidRPr="00C6761A" w:rsidRDefault="008A65D8" w:rsidP="00EB1A89">
            <w:pPr>
              <w:rPr>
                <w:sz w:val="22"/>
              </w:rPr>
            </w:pPr>
            <w:r w:rsidRPr="00C6761A">
              <w:rPr>
                <w:rFonts w:hint="eastAsia"/>
                <w:sz w:val="22"/>
              </w:rPr>
              <w:t>2016/6</w:t>
            </w:r>
            <w:r w:rsidR="00EB1A89" w:rsidRPr="00C6761A">
              <w:rPr>
                <w:rFonts w:hint="eastAsia"/>
                <w:sz w:val="22"/>
              </w:rPr>
              <w:t>/18</w:t>
            </w:r>
          </w:p>
        </w:tc>
        <w:tc>
          <w:tcPr>
            <w:tcW w:w="4820" w:type="dxa"/>
          </w:tcPr>
          <w:p w:rsidR="008A65D8" w:rsidRPr="00C6761A" w:rsidRDefault="008A65D8" w:rsidP="006B3AD9">
            <w:pPr>
              <w:rPr>
                <w:sz w:val="22"/>
              </w:rPr>
            </w:pPr>
            <w:r w:rsidRPr="00C6761A">
              <w:rPr>
                <w:rFonts w:hint="eastAsia"/>
                <w:sz w:val="22"/>
              </w:rPr>
              <w:t xml:space="preserve">10.2: </w:t>
            </w:r>
            <w:r w:rsidR="006B3AD9" w:rsidRPr="00C6761A">
              <w:rPr>
                <w:sz w:val="22"/>
              </w:rPr>
              <w:t>As from 1 September 2017, Contracting Parties applying this Regulation shall grant new type approvals only if the vehicle type to be approved meets the requirements of this Regulation as amended by the 01 series of amendments.</w:t>
            </w:r>
            <w:r w:rsidR="006B3AD9" w:rsidRPr="00C6761A">
              <w:rPr>
                <w:rFonts w:hint="eastAsia"/>
                <w:sz w:val="22"/>
              </w:rPr>
              <w:t xml:space="preserve"> </w:t>
            </w:r>
            <w:r w:rsidRPr="00C6761A">
              <w:rPr>
                <w:rFonts w:hint="eastAsia"/>
                <w:sz w:val="22"/>
              </w:rPr>
              <w:t>(WP.29/2015/83)</w:t>
            </w:r>
          </w:p>
        </w:tc>
        <w:tc>
          <w:tcPr>
            <w:tcW w:w="2126" w:type="dxa"/>
          </w:tcPr>
          <w:p w:rsidR="008A65D8" w:rsidRPr="00C6761A" w:rsidRDefault="003735E4" w:rsidP="003735E4">
            <w:pPr>
              <w:rPr>
                <w:rFonts w:ascii="ＭＳ Ｐゴシック" w:eastAsia="ＭＳ Ｐゴシック" w:hAnsi="ＭＳ Ｐゴシック"/>
                <w:b/>
                <w:sz w:val="22"/>
              </w:rPr>
            </w:pPr>
            <w:r w:rsidRPr="00C6761A">
              <w:rPr>
                <w:rFonts w:ascii="Century" w:eastAsia="ＭＳ Ｐゴシック" w:hAnsi="Century" w:hint="eastAsia"/>
                <w:b/>
                <w:sz w:val="22"/>
              </w:rPr>
              <w:t>Upgrade it to R39-01</w:t>
            </w:r>
          </w:p>
        </w:tc>
      </w:tr>
      <w:tr w:rsidR="00C6761A" w:rsidRPr="00C6761A" w:rsidTr="00C6761A">
        <w:trPr>
          <w:trHeight w:val="2253"/>
        </w:trPr>
        <w:tc>
          <w:tcPr>
            <w:tcW w:w="817" w:type="dxa"/>
          </w:tcPr>
          <w:p w:rsidR="008A65D8" w:rsidRPr="00C6761A" w:rsidRDefault="008A65D8">
            <w:pPr>
              <w:rPr>
                <w:sz w:val="22"/>
              </w:rPr>
            </w:pPr>
            <w:r w:rsidRPr="00C6761A">
              <w:rPr>
                <w:rFonts w:hint="eastAsia"/>
                <w:sz w:val="22"/>
              </w:rPr>
              <w:t>46</w:t>
            </w:r>
          </w:p>
        </w:tc>
        <w:tc>
          <w:tcPr>
            <w:tcW w:w="992" w:type="dxa"/>
          </w:tcPr>
          <w:p w:rsidR="008A65D8" w:rsidRPr="00C6761A" w:rsidRDefault="008A65D8">
            <w:pPr>
              <w:rPr>
                <w:sz w:val="22"/>
              </w:rPr>
            </w:pPr>
            <w:r w:rsidRPr="00C6761A">
              <w:rPr>
                <w:rFonts w:hint="eastAsia"/>
                <w:sz w:val="22"/>
              </w:rPr>
              <w:t>04</w:t>
            </w:r>
          </w:p>
        </w:tc>
        <w:tc>
          <w:tcPr>
            <w:tcW w:w="1276" w:type="dxa"/>
          </w:tcPr>
          <w:p w:rsidR="008A65D8" w:rsidRPr="00C6761A" w:rsidRDefault="008A65D8">
            <w:pPr>
              <w:rPr>
                <w:sz w:val="22"/>
              </w:rPr>
            </w:pPr>
            <w:r w:rsidRPr="00C6761A">
              <w:rPr>
                <w:rFonts w:hint="eastAsia"/>
                <w:sz w:val="22"/>
              </w:rPr>
              <w:t>2016/6/18</w:t>
            </w:r>
          </w:p>
        </w:tc>
        <w:tc>
          <w:tcPr>
            <w:tcW w:w="4820" w:type="dxa"/>
          </w:tcPr>
          <w:p w:rsidR="003735E4" w:rsidRPr="00C6761A" w:rsidRDefault="008A65D8" w:rsidP="003735E4">
            <w:pPr>
              <w:rPr>
                <w:sz w:val="22"/>
              </w:rPr>
            </w:pPr>
            <w:r w:rsidRPr="00C6761A">
              <w:rPr>
                <w:rFonts w:hint="eastAsia"/>
                <w:sz w:val="22"/>
              </w:rPr>
              <w:t xml:space="preserve">22.13: </w:t>
            </w:r>
            <w:r w:rsidR="003735E4" w:rsidRPr="00C6761A">
              <w:rPr>
                <w:sz w:val="22"/>
              </w:rPr>
              <w:t>As from 30 June 2014, Contracting Parties applying this Regulation shall grant approvals to a type of vehicle with regard to the installation of devices for indirect vision only if the type of vehicle meets the requirements of this Regulation as amended by the 04 series of amendments.</w:t>
            </w:r>
          </w:p>
          <w:p w:rsidR="008A65D8" w:rsidRPr="00C6761A" w:rsidRDefault="008A65D8" w:rsidP="003735E4">
            <w:pPr>
              <w:rPr>
                <w:sz w:val="22"/>
              </w:rPr>
            </w:pPr>
            <w:r w:rsidRPr="00C6761A">
              <w:rPr>
                <w:rFonts w:hint="eastAsia"/>
                <w:sz w:val="22"/>
              </w:rPr>
              <w:t>(WP.29/2015/84)</w:t>
            </w:r>
          </w:p>
        </w:tc>
        <w:tc>
          <w:tcPr>
            <w:tcW w:w="2126" w:type="dxa"/>
          </w:tcPr>
          <w:p w:rsidR="008A65D8" w:rsidRPr="00C6761A" w:rsidRDefault="003735E4" w:rsidP="003735E4">
            <w:pPr>
              <w:rPr>
                <w:rFonts w:eastAsia="ＭＳ Ｐゴシック"/>
                <w:b/>
                <w:sz w:val="22"/>
              </w:rPr>
            </w:pPr>
            <w:r w:rsidRPr="00C6761A">
              <w:rPr>
                <w:b/>
                <w:sz w:val="22"/>
              </w:rPr>
              <w:t xml:space="preserve">Add </w:t>
            </w:r>
            <w:r w:rsidR="00A26388" w:rsidRPr="00C6761A">
              <w:rPr>
                <w:rFonts w:eastAsia="ＭＳ Ｐゴシック"/>
                <w:b/>
                <w:sz w:val="22"/>
              </w:rPr>
              <w:t>R46-04</w:t>
            </w:r>
          </w:p>
        </w:tc>
      </w:tr>
      <w:tr w:rsidR="00C6761A" w:rsidRPr="00C6761A" w:rsidTr="00C6761A">
        <w:trPr>
          <w:trHeight w:val="2116"/>
        </w:trPr>
        <w:tc>
          <w:tcPr>
            <w:tcW w:w="817" w:type="dxa"/>
          </w:tcPr>
          <w:p w:rsidR="008A65D8" w:rsidRPr="00C6761A" w:rsidRDefault="008A65D8">
            <w:pPr>
              <w:rPr>
                <w:sz w:val="22"/>
              </w:rPr>
            </w:pPr>
            <w:r w:rsidRPr="00C6761A">
              <w:rPr>
                <w:rFonts w:hint="eastAsia"/>
                <w:sz w:val="22"/>
              </w:rPr>
              <w:t>58</w:t>
            </w:r>
          </w:p>
        </w:tc>
        <w:tc>
          <w:tcPr>
            <w:tcW w:w="992" w:type="dxa"/>
          </w:tcPr>
          <w:p w:rsidR="008A65D8" w:rsidRPr="00C6761A" w:rsidRDefault="008A65D8">
            <w:pPr>
              <w:rPr>
                <w:sz w:val="22"/>
              </w:rPr>
            </w:pPr>
            <w:r w:rsidRPr="00C6761A">
              <w:rPr>
                <w:rFonts w:hint="eastAsia"/>
                <w:sz w:val="22"/>
              </w:rPr>
              <w:t>03</w:t>
            </w:r>
          </w:p>
        </w:tc>
        <w:tc>
          <w:tcPr>
            <w:tcW w:w="1276" w:type="dxa"/>
          </w:tcPr>
          <w:p w:rsidR="008A65D8" w:rsidRPr="00C6761A" w:rsidRDefault="008A65D8" w:rsidP="00986E96">
            <w:pPr>
              <w:rPr>
                <w:sz w:val="22"/>
              </w:rPr>
            </w:pPr>
            <w:r w:rsidRPr="00C6761A">
              <w:rPr>
                <w:rFonts w:hint="eastAsia"/>
                <w:sz w:val="22"/>
              </w:rPr>
              <w:t>2016/6</w:t>
            </w:r>
            <w:r w:rsidR="00986E96" w:rsidRPr="00C6761A">
              <w:rPr>
                <w:rFonts w:hint="eastAsia"/>
                <w:sz w:val="22"/>
              </w:rPr>
              <w:t>/18</w:t>
            </w:r>
          </w:p>
        </w:tc>
        <w:tc>
          <w:tcPr>
            <w:tcW w:w="4820" w:type="dxa"/>
          </w:tcPr>
          <w:p w:rsidR="008A65D8" w:rsidRPr="00C6761A" w:rsidRDefault="008A65D8" w:rsidP="007C766B">
            <w:pPr>
              <w:rPr>
                <w:sz w:val="22"/>
              </w:rPr>
            </w:pPr>
            <w:r w:rsidRPr="00C6761A">
              <w:rPr>
                <w:rFonts w:hint="eastAsia"/>
                <w:sz w:val="22"/>
              </w:rPr>
              <w:t xml:space="preserve">31.3: </w:t>
            </w:r>
            <w:r w:rsidR="007C766B" w:rsidRPr="00C6761A">
              <w:rPr>
                <w:sz w:val="22"/>
              </w:rPr>
              <w:t>As from 1 September 2019, Contracting Parties applying this Regulation shall grant approvals only if the type of vehicle, component or separate technical unit to be approved meets the requirements of Part I, II or III of this Regulation as amended by the 03 series of amendments.</w:t>
            </w:r>
            <w:r w:rsidR="007C766B" w:rsidRPr="00C6761A">
              <w:rPr>
                <w:rFonts w:hint="eastAsia"/>
                <w:sz w:val="22"/>
              </w:rPr>
              <w:t xml:space="preserve"> (WP.29/2015/85</w:t>
            </w:r>
            <w:r w:rsidRPr="00C6761A">
              <w:rPr>
                <w:rFonts w:hint="eastAsia"/>
                <w:sz w:val="22"/>
              </w:rPr>
              <w:t>)</w:t>
            </w:r>
          </w:p>
        </w:tc>
        <w:tc>
          <w:tcPr>
            <w:tcW w:w="2126" w:type="dxa"/>
          </w:tcPr>
          <w:p w:rsidR="007C766B" w:rsidRPr="00C6761A" w:rsidRDefault="007C766B" w:rsidP="007C766B">
            <w:pPr>
              <w:rPr>
                <w:sz w:val="22"/>
              </w:rPr>
            </w:pPr>
            <w:r w:rsidRPr="00C6761A">
              <w:rPr>
                <w:rFonts w:hint="eastAsia"/>
                <w:sz w:val="22"/>
              </w:rPr>
              <w:t>Maintain R58-02.</w:t>
            </w:r>
          </w:p>
          <w:p w:rsidR="007C766B" w:rsidRPr="00C6761A" w:rsidRDefault="007C766B" w:rsidP="007C766B">
            <w:pPr>
              <w:rPr>
                <w:sz w:val="22"/>
              </w:rPr>
            </w:pPr>
            <w:r w:rsidRPr="00C6761A">
              <w:rPr>
                <w:rFonts w:hint="eastAsia"/>
                <w:sz w:val="22"/>
              </w:rPr>
              <w:t>Upgrade it to R58-03 in November, 2018</w:t>
            </w:r>
          </w:p>
        </w:tc>
      </w:tr>
      <w:tr w:rsidR="00C6761A" w:rsidRPr="00C6761A" w:rsidTr="00C6761A">
        <w:trPr>
          <w:trHeight w:val="1830"/>
        </w:trPr>
        <w:tc>
          <w:tcPr>
            <w:tcW w:w="817" w:type="dxa"/>
          </w:tcPr>
          <w:p w:rsidR="008A65D8" w:rsidRPr="00C6761A" w:rsidRDefault="008A65D8">
            <w:pPr>
              <w:rPr>
                <w:sz w:val="22"/>
              </w:rPr>
            </w:pPr>
            <w:r w:rsidRPr="00C6761A">
              <w:rPr>
                <w:rFonts w:hint="eastAsia"/>
                <w:sz w:val="22"/>
              </w:rPr>
              <w:lastRenderedPageBreak/>
              <w:t>94</w:t>
            </w:r>
          </w:p>
        </w:tc>
        <w:tc>
          <w:tcPr>
            <w:tcW w:w="992" w:type="dxa"/>
          </w:tcPr>
          <w:p w:rsidR="008A65D8" w:rsidRPr="00C6761A" w:rsidRDefault="008A65D8">
            <w:pPr>
              <w:rPr>
                <w:sz w:val="22"/>
              </w:rPr>
            </w:pPr>
            <w:r w:rsidRPr="00C6761A">
              <w:rPr>
                <w:rFonts w:hint="eastAsia"/>
                <w:sz w:val="22"/>
              </w:rPr>
              <w:t>03</w:t>
            </w:r>
          </w:p>
        </w:tc>
        <w:tc>
          <w:tcPr>
            <w:tcW w:w="1276" w:type="dxa"/>
          </w:tcPr>
          <w:p w:rsidR="008A65D8" w:rsidRPr="00C6761A" w:rsidRDefault="00986E96" w:rsidP="00681624">
            <w:pPr>
              <w:rPr>
                <w:sz w:val="22"/>
              </w:rPr>
            </w:pPr>
            <w:r w:rsidRPr="00C6761A">
              <w:rPr>
                <w:rFonts w:hint="eastAsia"/>
                <w:sz w:val="22"/>
              </w:rPr>
              <w:t>2016/6/18</w:t>
            </w:r>
          </w:p>
        </w:tc>
        <w:tc>
          <w:tcPr>
            <w:tcW w:w="4820" w:type="dxa"/>
          </w:tcPr>
          <w:p w:rsidR="008A65D8" w:rsidRPr="00C6761A" w:rsidRDefault="008A65D8" w:rsidP="007C766B">
            <w:pPr>
              <w:rPr>
                <w:sz w:val="22"/>
              </w:rPr>
            </w:pPr>
            <w:r w:rsidRPr="00C6761A">
              <w:rPr>
                <w:rFonts w:hint="eastAsia"/>
                <w:sz w:val="22"/>
              </w:rPr>
              <w:t xml:space="preserve">11.12: </w:t>
            </w:r>
            <w:r w:rsidR="007C766B" w:rsidRPr="00C6761A">
              <w:rPr>
                <w:sz w:val="22"/>
              </w:rPr>
              <w:t>As from 1 September 2018, Contracting Parties applying this Regulation shall grant approvals only to those types of vehicle which comply with the requirements of this Regulation as amended by the 03 series of amendments.</w:t>
            </w:r>
            <w:r w:rsidR="007C766B" w:rsidRPr="00C6761A">
              <w:rPr>
                <w:rFonts w:hint="eastAsia"/>
                <w:sz w:val="22"/>
              </w:rPr>
              <w:t xml:space="preserve"> </w:t>
            </w:r>
            <w:r w:rsidRPr="00C6761A">
              <w:rPr>
                <w:rFonts w:hint="eastAsia"/>
                <w:sz w:val="22"/>
              </w:rPr>
              <w:t>(WP.29/2015/96)</w:t>
            </w:r>
          </w:p>
        </w:tc>
        <w:tc>
          <w:tcPr>
            <w:tcW w:w="2126" w:type="dxa"/>
          </w:tcPr>
          <w:p w:rsidR="007C766B" w:rsidRPr="00C6761A" w:rsidRDefault="007C766B" w:rsidP="007C766B">
            <w:pPr>
              <w:rPr>
                <w:sz w:val="22"/>
              </w:rPr>
            </w:pPr>
            <w:r w:rsidRPr="00C6761A">
              <w:rPr>
                <w:rFonts w:hint="eastAsia"/>
                <w:sz w:val="22"/>
              </w:rPr>
              <w:t>Maintain R94-02.</w:t>
            </w:r>
          </w:p>
          <w:p w:rsidR="008A65D8" w:rsidRPr="00C6761A" w:rsidRDefault="007C766B" w:rsidP="007C766B">
            <w:pPr>
              <w:rPr>
                <w:sz w:val="22"/>
              </w:rPr>
            </w:pPr>
            <w:r w:rsidRPr="00C6761A">
              <w:rPr>
                <w:rFonts w:hint="eastAsia"/>
                <w:sz w:val="22"/>
              </w:rPr>
              <w:t>Upgrade it to R94-03 in November, 2017</w:t>
            </w:r>
          </w:p>
        </w:tc>
      </w:tr>
      <w:tr w:rsidR="00C6761A" w:rsidRPr="00C6761A" w:rsidTr="00C6761A">
        <w:trPr>
          <w:trHeight w:val="2267"/>
        </w:trPr>
        <w:tc>
          <w:tcPr>
            <w:tcW w:w="817" w:type="dxa"/>
          </w:tcPr>
          <w:p w:rsidR="008A65D8" w:rsidRPr="00C6761A" w:rsidRDefault="008A65D8">
            <w:pPr>
              <w:rPr>
                <w:sz w:val="22"/>
              </w:rPr>
            </w:pPr>
            <w:r w:rsidRPr="00C6761A">
              <w:rPr>
                <w:rFonts w:hint="eastAsia"/>
                <w:sz w:val="22"/>
              </w:rPr>
              <w:t>121</w:t>
            </w:r>
          </w:p>
        </w:tc>
        <w:tc>
          <w:tcPr>
            <w:tcW w:w="992" w:type="dxa"/>
          </w:tcPr>
          <w:p w:rsidR="008A65D8" w:rsidRPr="00C6761A" w:rsidRDefault="008A65D8">
            <w:pPr>
              <w:rPr>
                <w:sz w:val="22"/>
              </w:rPr>
            </w:pPr>
            <w:r w:rsidRPr="00C6761A">
              <w:rPr>
                <w:rFonts w:hint="eastAsia"/>
                <w:sz w:val="22"/>
              </w:rPr>
              <w:t>01</w:t>
            </w:r>
          </w:p>
        </w:tc>
        <w:tc>
          <w:tcPr>
            <w:tcW w:w="1276" w:type="dxa"/>
          </w:tcPr>
          <w:p w:rsidR="008A65D8" w:rsidRPr="00C6761A" w:rsidRDefault="008A65D8">
            <w:pPr>
              <w:rPr>
                <w:sz w:val="22"/>
              </w:rPr>
            </w:pPr>
            <w:r w:rsidRPr="00C6761A">
              <w:rPr>
                <w:rFonts w:hint="eastAsia"/>
                <w:sz w:val="22"/>
              </w:rPr>
              <w:t>2015/6/15</w:t>
            </w:r>
          </w:p>
        </w:tc>
        <w:tc>
          <w:tcPr>
            <w:tcW w:w="4820" w:type="dxa"/>
          </w:tcPr>
          <w:p w:rsidR="00C65561" w:rsidRPr="00C6761A" w:rsidRDefault="008A65D8" w:rsidP="00C65561">
            <w:pPr>
              <w:rPr>
                <w:sz w:val="22"/>
              </w:rPr>
            </w:pPr>
            <w:r w:rsidRPr="00C6761A">
              <w:rPr>
                <w:rFonts w:hint="eastAsia"/>
                <w:sz w:val="22"/>
              </w:rPr>
              <w:t xml:space="preserve">12.3: </w:t>
            </w:r>
            <w:r w:rsidR="00333E41" w:rsidRPr="00C6761A">
              <w:rPr>
                <w:sz w:val="22"/>
              </w:rPr>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8A65D8" w:rsidRPr="00C6761A" w:rsidRDefault="00333E41" w:rsidP="00617D9E">
            <w:pPr>
              <w:rPr>
                <w:sz w:val="22"/>
              </w:rPr>
            </w:pPr>
            <w:r w:rsidRPr="00C6761A">
              <w:rPr>
                <w:rFonts w:hint="eastAsia"/>
                <w:sz w:val="22"/>
              </w:rPr>
              <w:t>(</w:t>
            </w:r>
            <w:r w:rsidRPr="00C6761A">
              <w:rPr>
                <w:sz w:val="22"/>
              </w:rPr>
              <w:t>ECE/TRANS/505/Rev.2/Add.120/Rev.2</w:t>
            </w:r>
            <w:r w:rsidRPr="00C6761A">
              <w:rPr>
                <w:rFonts w:hint="eastAsia"/>
                <w:sz w:val="22"/>
              </w:rPr>
              <w:t>)</w:t>
            </w:r>
          </w:p>
        </w:tc>
        <w:tc>
          <w:tcPr>
            <w:tcW w:w="2126" w:type="dxa"/>
          </w:tcPr>
          <w:p w:rsidR="008A65D8" w:rsidRPr="00C6761A" w:rsidRDefault="00C65561" w:rsidP="00C65561">
            <w:pPr>
              <w:rPr>
                <w:rFonts w:ascii="ＭＳ Ｐゴシック" w:eastAsia="ＭＳ Ｐゴシック" w:hAnsi="ＭＳ Ｐゴシック"/>
                <w:b/>
                <w:sz w:val="22"/>
              </w:rPr>
            </w:pPr>
            <w:r w:rsidRPr="00C6761A">
              <w:rPr>
                <w:rFonts w:ascii="Century" w:eastAsia="ＭＳ Ｐゴシック" w:hAnsi="Century" w:hint="eastAsia"/>
                <w:b/>
                <w:sz w:val="22"/>
              </w:rPr>
              <w:t>Upgrade it to R121-01</w:t>
            </w:r>
          </w:p>
        </w:tc>
      </w:tr>
      <w:tr w:rsidR="00C6761A" w:rsidRPr="00C6761A" w:rsidTr="00C6761A">
        <w:trPr>
          <w:trHeight w:val="1974"/>
        </w:trPr>
        <w:tc>
          <w:tcPr>
            <w:tcW w:w="817" w:type="dxa"/>
          </w:tcPr>
          <w:p w:rsidR="008A65D8" w:rsidRPr="00C6761A" w:rsidRDefault="008A65D8">
            <w:pPr>
              <w:rPr>
                <w:sz w:val="22"/>
              </w:rPr>
            </w:pPr>
            <w:r w:rsidRPr="00C6761A">
              <w:rPr>
                <w:rFonts w:hint="eastAsia"/>
                <w:sz w:val="22"/>
              </w:rPr>
              <w:t>127</w:t>
            </w:r>
          </w:p>
        </w:tc>
        <w:tc>
          <w:tcPr>
            <w:tcW w:w="992" w:type="dxa"/>
          </w:tcPr>
          <w:p w:rsidR="008A65D8" w:rsidRPr="00C6761A" w:rsidRDefault="008A65D8">
            <w:pPr>
              <w:rPr>
                <w:sz w:val="22"/>
              </w:rPr>
            </w:pPr>
            <w:r w:rsidRPr="00C6761A">
              <w:rPr>
                <w:rFonts w:hint="eastAsia"/>
                <w:sz w:val="22"/>
              </w:rPr>
              <w:t>01</w:t>
            </w:r>
          </w:p>
        </w:tc>
        <w:tc>
          <w:tcPr>
            <w:tcW w:w="1276" w:type="dxa"/>
          </w:tcPr>
          <w:p w:rsidR="008A65D8" w:rsidRPr="00C6761A" w:rsidRDefault="008A65D8" w:rsidP="00333E41">
            <w:pPr>
              <w:rPr>
                <w:sz w:val="22"/>
              </w:rPr>
            </w:pPr>
            <w:r w:rsidRPr="00C6761A">
              <w:rPr>
                <w:rFonts w:hint="eastAsia"/>
                <w:sz w:val="22"/>
              </w:rPr>
              <w:t>2015/</w:t>
            </w:r>
            <w:r w:rsidR="00333E41" w:rsidRPr="00C6761A">
              <w:rPr>
                <w:rFonts w:hint="eastAsia"/>
                <w:sz w:val="22"/>
              </w:rPr>
              <w:t>2</w:t>
            </w:r>
            <w:r w:rsidRPr="00C6761A">
              <w:rPr>
                <w:rFonts w:hint="eastAsia"/>
                <w:sz w:val="22"/>
              </w:rPr>
              <w:t>/</w:t>
            </w:r>
            <w:r w:rsidR="00333E41" w:rsidRPr="00C6761A">
              <w:rPr>
                <w:rFonts w:hint="eastAsia"/>
                <w:sz w:val="22"/>
              </w:rPr>
              <w:t>4</w:t>
            </w:r>
          </w:p>
        </w:tc>
        <w:tc>
          <w:tcPr>
            <w:tcW w:w="4820" w:type="dxa"/>
          </w:tcPr>
          <w:p w:rsidR="008A65D8" w:rsidRPr="00C6761A" w:rsidRDefault="008A65D8" w:rsidP="00D4696A">
            <w:pPr>
              <w:rPr>
                <w:sz w:val="22"/>
              </w:rPr>
            </w:pPr>
            <w:r w:rsidRPr="00C6761A">
              <w:rPr>
                <w:rFonts w:hint="eastAsia"/>
                <w:sz w:val="22"/>
              </w:rPr>
              <w:t xml:space="preserve">11.2: </w:t>
            </w:r>
            <w:r w:rsidR="00333E41" w:rsidRPr="00C6761A">
              <w:rPr>
                <w:sz w:val="22"/>
              </w:rPr>
              <w:t>As from 1 September 2017, Contracting Parties applying this Regulation</w:t>
            </w:r>
            <w:r w:rsidR="005F0FDB">
              <w:rPr>
                <w:rFonts w:hint="eastAsia"/>
                <w:sz w:val="22"/>
              </w:rPr>
              <w:t xml:space="preserve"> </w:t>
            </w:r>
            <w:bookmarkStart w:id="0" w:name="_GoBack"/>
            <w:bookmarkEnd w:id="0"/>
            <w:r w:rsidR="00333E41" w:rsidRPr="00C6761A">
              <w:rPr>
                <w:sz w:val="22"/>
              </w:rPr>
              <w:t>shall grant type approvals only if the vehicle type to be approved meets the</w:t>
            </w:r>
            <w:r w:rsidR="00333E41" w:rsidRPr="00C6761A">
              <w:rPr>
                <w:rFonts w:hint="eastAsia"/>
                <w:sz w:val="22"/>
              </w:rPr>
              <w:t xml:space="preserve"> </w:t>
            </w:r>
            <w:r w:rsidR="00333E41" w:rsidRPr="00C6761A">
              <w:rPr>
                <w:sz w:val="22"/>
              </w:rPr>
              <w:t>requirements of this Regulation as amended by the 01 series of amendments.</w:t>
            </w:r>
          </w:p>
          <w:p w:rsidR="008A65D8" w:rsidRPr="00C6761A" w:rsidRDefault="008A65D8" w:rsidP="00991B1D">
            <w:pPr>
              <w:rPr>
                <w:sz w:val="22"/>
              </w:rPr>
            </w:pPr>
            <w:r w:rsidRPr="00C6761A">
              <w:rPr>
                <w:rFonts w:hint="eastAsia"/>
                <w:sz w:val="22"/>
              </w:rPr>
              <w:t>(ECE/TRANS/505/Rev.2/Add.126/Rev.1)</w:t>
            </w:r>
          </w:p>
        </w:tc>
        <w:tc>
          <w:tcPr>
            <w:tcW w:w="2126" w:type="dxa"/>
          </w:tcPr>
          <w:p w:rsidR="00D60433" w:rsidRPr="005F0FDB" w:rsidRDefault="00333E41" w:rsidP="00C6761A">
            <w:pPr>
              <w:rPr>
                <w:rFonts w:ascii="ＭＳ Ｐゴシック" w:eastAsia="ＭＳ Ｐゴシック" w:hAnsi="ＭＳ Ｐゴシック"/>
                <w:b/>
                <w:sz w:val="22"/>
              </w:rPr>
            </w:pPr>
            <w:r w:rsidRPr="00C6761A">
              <w:rPr>
                <w:rFonts w:ascii="Century" w:eastAsia="ＭＳ Ｐゴシック" w:hAnsi="Century" w:hint="eastAsia"/>
                <w:b/>
                <w:sz w:val="22"/>
              </w:rPr>
              <w:t>Up</w:t>
            </w:r>
            <w:r w:rsidR="00C6761A" w:rsidRPr="00C6761A">
              <w:rPr>
                <w:rFonts w:ascii="Century" w:eastAsia="ＭＳ Ｐゴシック" w:hAnsi="Century" w:hint="eastAsia"/>
                <w:b/>
                <w:sz w:val="22"/>
              </w:rPr>
              <w:t>date</w:t>
            </w:r>
            <w:r w:rsidRPr="00C6761A">
              <w:rPr>
                <w:rFonts w:ascii="Century" w:eastAsia="ＭＳ Ｐゴシック" w:hAnsi="Century" w:hint="eastAsia"/>
                <w:b/>
                <w:sz w:val="22"/>
              </w:rPr>
              <w:t xml:space="preserve"> it to R127-01</w:t>
            </w:r>
          </w:p>
        </w:tc>
      </w:tr>
    </w:tbl>
    <w:p w:rsidR="0022687F" w:rsidRPr="0022687F" w:rsidRDefault="0022687F">
      <w:pPr>
        <w:rPr>
          <w:sz w:val="22"/>
        </w:rPr>
      </w:pPr>
    </w:p>
    <w:sectPr w:rsidR="0022687F" w:rsidRPr="0022687F" w:rsidSect="00C6761A">
      <w:headerReference w:type="default" r:id="rId7"/>
      <w:pgSz w:w="11907" w:h="16840" w:code="9"/>
      <w:pgMar w:top="1247" w:right="851" w:bottom="964" w:left="1247" w:header="851"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1A" w:rsidRDefault="00C6761A" w:rsidP="00C6761A">
      <w:r>
        <w:separator/>
      </w:r>
    </w:p>
  </w:endnote>
  <w:endnote w:type="continuationSeparator" w:id="0">
    <w:p w:rsidR="00C6761A" w:rsidRDefault="00C6761A" w:rsidP="00C6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1A" w:rsidRDefault="00C6761A" w:rsidP="00C6761A">
      <w:r>
        <w:separator/>
      </w:r>
    </w:p>
  </w:footnote>
  <w:footnote w:type="continuationSeparator" w:id="0">
    <w:p w:rsidR="00C6761A" w:rsidRDefault="00C6761A" w:rsidP="00C6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1A" w:rsidRDefault="00C6761A">
    <w:pPr>
      <w:pStyle w:val="a6"/>
    </w:pPr>
    <w:r>
      <w:rPr>
        <w:rFonts w:hint="eastAsia"/>
      </w:rPr>
      <w:t>Transmitted by Technical Secretary                                  document SGR0-19-07</w:t>
    </w:r>
    <w:r w:rsidR="005F0FDB">
      <w:rPr>
        <w:rFonts w:hint="eastAsia"/>
      </w:rPr>
      <w:t>-rev.1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4B"/>
    <w:rsid w:val="00002EE2"/>
    <w:rsid w:val="00004E6D"/>
    <w:rsid w:val="0003300C"/>
    <w:rsid w:val="00044D09"/>
    <w:rsid w:val="0006245A"/>
    <w:rsid w:val="000770E5"/>
    <w:rsid w:val="0007718C"/>
    <w:rsid w:val="00085FC6"/>
    <w:rsid w:val="000A0486"/>
    <w:rsid w:val="000A07C7"/>
    <w:rsid w:val="000A2B2E"/>
    <w:rsid w:val="000B01FB"/>
    <w:rsid w:val="000B30A9"/>
    <w:rsid w:val="000B6841"/>
    <w:rsid w:val="000C2E53"/>
    <w:rsid w:val="000C357A"/>
    <w:rsid w:val="000D709A"/>
    <w:rsid w:val="000F0FC4"/>
    <w:rsid w:val="000F2FDD"/>
    <w:rsid w:val="000F33C1"/>
    <w:rsid w:val="000F3AD0"/>
    <w:rsid w:val="00115111"/>
    <w:rsid w:val="00122F08"/>
    <w:rsid w:val="00143DAA"/>
    <w:rsid w:val="00152CED"/>
    <w:rsid w:val="00173ED8"/>
    <w:rsid w:val="001842A9"/>
    <w:rsid w:val="00195ECE"/>
    <w:rsid w:val="001978E0"/>
    <w:rsid w:val="001A0464"/>
    <w:rsid w:val="001A206F"/>
    <w:rsid w:val="001A293E"/>
    <w:rsid w:val="001B4E92"/>
    <w:rsid w:val="001C2373"/>
    <w:rsid w:val="001C64A0"/>
    <w:rsid w:val="001E2B18"/>
    <w:rsid w:val="001F0ED9"/>
    <w:rsid w:val="00200188"/>
    <w:rsid w:val="0022687F"/>
    <w:rsid w:val="00237DDE"/>
    <w:rsid w:val="00240F68"/>
    <w:rsid w:val="0025086E"/>
    <w:rsid w:val="002552D2"/>
    <w:rsid w:val="002703D0"/>
    <w:rsid w:val="002802B0"/>
    <w:rsid w:val="002A0A34"/>
    <w:rsid w:val="002A65C6"/>
    <w:rsid w:val="002C4A25"/>
    <w:rsid w:val="002D1099"/>
    <w:rsid w:val="002D6F27"/>
    <w:rsid w:val="002E12BD"/>
    <w:rsid w:val="002E4FAD"/>
    <w:rsid w:val="002F4023"/>
    <w:rsid w:val="002F5033"/>
    <w:rsid w:val="002F6058"/>
    <w:rsid w:val="00306E0B"/>
    <w:rsid w:val="00333E41"/>
    <w:rsid w:val="00340D25"/>
    <w:rsid w:val="0035676B"/>
    <w:rsid w:val="00365C88"/>
    <w:rsid w:val="00367C9F"/>
    <w:rsid w:val="003735E4"/>
    <w:rsid w:val="00373A6F"/>
    <w:rsid w:val="00393B17"/>
    <w:rsid w:val="003979D4"/>
    <w:rsid w:val="003D1EA5"/>
    <w:rsid w:val="003E3F63"/>
    <w:rsid w:val="003F3051"/>
    <w:rsid w:val="003F44F6"/>
    <w:rsid w:val="00411CDC"/>
    <w:rsid w:val="004255B3"/>
    <w:rsid w:val="0043753B"/>
    <w:rsid w:val="00444125"/>
    <w:rsid w:val="00447256"/>
    <w:rsid w:val="00455964"/>
    <w:rsid w:val="00473EAD"/>
    <w:rsid w:val="00473FBB"/>
    <w:rsid w:val="004768BC"/>
    <w:rsid w:val="00480490"/>
    <w:rsid w:val="004A4D6B"/>
    <w:rsid w:val="004B5317"/>
    <w:rsid w:val="004B649E"/>
    <w:rsid w:val="004B6861"/>
    <w:rsid w:val="004C71BD"/>
    <w:rsid w:val="004E22FE"/>
    <w:rsid w:val="004E3A50"/>
    <w:rsid w:val="00522F28"/>
    <w:rsid w:val="005238A4"/>
    <w:rsid w:val="00530F53"/>
    <w:rsid w:val="00532DC4"/>
    <w:rsid w:val="00534522"/>
    <w:rsid w:val="005469E7"/>
    <w:rsid w:val="00546DC5"/>
    <w:rsid w:val="00547F16"/>
    <w:rsid w:val="00552C65"/>
    <w:rsid w:val="005542D7"/>
    <w:rsid w:val="00557607"/>
    <w:rsid w:val="00581154"/>
    <w:rsid w:val="0058408E"/>
    <w:rsid w:val="005910CE"/>
    <w:rsid w:val="005A0FE4"/>
    <w:rsid w:val="005A2A51"/>
    <w:rsid w:val="005B1952"/>
    <w:rsid w:val="005B48A6"/>
    <w:rsid w:val="005B5556"/>
    <w:rsid w:val="005C3BA2"/>
    <w:rsid w:val="005C3D94"/>
    <w:rsid w:val="005C3F4E"/>
    <w:rsid w:val="005D209F"/>
    <w:rsid w:val="005D69EF"/>
    <w:rsid w:val="005E154C"/>
    <w:rsid w:val="005F0FDB"/>
    <w:rsid w:val="005F27FF"/>
    <w:rsid w:val="00602AD2"/>
    <w:rsid w:val="00605296"/>
    <w:rsid w:val="00612A89"/>
    <w:rsid w:val="00614FBC"/>
    <w:rsid w:val="00617D9E"/>
    <w:rsid w:val="0062015F"/>
    <w:rsid w:val="00621269"/>
    <w:rsid w:val="00630208"/>
    <w:rsid w:val="00636279"/>
    <w:rsid w:val="0064768D"/>
    <w:rsid w:val="00650ECA"/>
    <w:rsid w:val="0065124C"/>
    <w:rsid w:val="00652FAB"/>
    <w:rsid w:val="00665564"/>
    <w:rsid w:val="00671EC2"/>
    <w:rsid w:val="00677F32"/>
    <w:rsid w:val="00681624"/>
    <w:rsid w:val="00683BEE"/>
    <w:rsid w:val="006A5EF9"/>
    <w:rsid w:val="006B3AD9"/>
    <w:rsid w:val="006B7F59"/>
    <w:rsid w:val="006C0F7D"/>
    <w:rsid w:val="006D6026"/>
    <w:rsid w:val="006E0484"/>
    <w:rsid w:val="006E28E6"/>
    <w:rsid w:val="006F79B1"/>
    <w:rsid w:val="00702356"/>
    <w:rsid w:val="00711D6F"/>
    <w:rsid w:val="00717397"/>
    <w:rsid w:val="0072689B"/>
    <w:rsid w:val="00772752"/>
    <w:rsid w:val="00777EEE"/>
    <w:rsid w:val="007977C4"/>
    <w:rsid w:val="007A07E5"/>
    <w:rsid w:val="007B1E78"/>
    <w:rsid w:val="007C1C5B"/>
    <w:rsid w:val="007C766B"/>
    <w:rsid w:val="007D3DB9"/>
    <w:rsid w:val="007E3AEC"/>
    <w:rsid w:val="0081078B"/>
    <w:rsid w:val="008108B3"/>
    <w:rsid w:val="0082531D"/>
    <w:rsid w:val="00831AEB"/>
    <w:rsid w:val="0083380C"/>
    <w:rsid w:val="008351D9"/>
    <w:rsid w:val="00840C48"/>
    <w:rsid w:val="0084521C"/>
    <w:rsid w:val="00855118"/>
    <w:rsid w:val="00862C6A"/>
    <w:rsid w:val="00865C9E"/>
    <w:rsid w:val="00867FBD"/>
    <w:rsid w:val="00882D3E"/>
    <w:rsid w:val="00890731"/>
    <w:rsid w:val="00892EED"/>
    <w:rsid w:val="0089630E"/>
    <w:rsid w:val="008A65D8"/>
    <w:rsid w:val="008A7DEB"/>
    <w:rsid w:val="008C722F"/>
    <w:rsid w:val="008E3A27"/>
    <w:rsid w:val="008F4D5C"/>
    <w:rsid w:val="008F734B"/>
    <w:rsid w:val="008F7F6D"/>
    <w:rsid w:val="00902776"/>
    <w:rsid w:val="009248C1"/>
    <w:rsid w:val="009311A6"/>
    <w:rsid w:val="009437AA"/>
    <w:rsid w:val="00946D08"/>
    <w:rsid w:val="00986E96"/>
    <w:rsid w:val="00991B1D"/>
    <w:rsid w:val="009A0DA7"/>
    <w:rsid w:val="009A102D"/>
    <w:rsid w:val="009A49F0"/>
    <w:rsid w:val="009A62AE"/>
    <w:rsid w:val="009C2827"/>
    <w:rsid w:val="009E0D5B"/>
    <w:rsid w:val="009E23F5"/>
    <w:rsid w:val="009E4FDB"/>
    <w:rsid w:val="009E5832"/>
    <w:rsid w:val="009F47E1"/>
    <w:rsid w:val="009F72BB"/>
    <w:rsid w:val="00A009C7"/>
    <w:rsid w:val="00A12F62"/>
    <w:rsid w:val="00A153D9"/>
    <w:rsid w:val="00A21DF7"/>
    <w:rsid w:val="00A24FAE"/>
    <w:rsid w:val="00A26388"/>
    <w:rsid w:val="00A31623"/>
    <w:rsid w:val="00A346AA"/>
    <w:rsid w:val="00A36AD7"/>
    <w:rsid w:val="00A90ADE"/>
    <w:rsid w:val="00A93771"/>
    <w:rsid w:val="00A95382"/>
    <w:rsid w:val="00AA47A3"/>
    <w:rsid w:val="00AA4CBD"/>
    <w:rsid w:val="00AA54BB"/>
    <w:rsid w:val="00AC2188"/>
    <w:rsid w:val="00AC3ACC"/>
    <w:rsid w:val="00AD458D"/>
    <w:rsid w:val="00AF7C4E"/>
    <w:rsid w:val="00B073F1"/>
    <w:rsid w:val="00B518EB"/>
    <w:rsid w:val="00B54BF9"/>
    <w:rsid w:val="00B60C60"/>
    <w:rsid w:val="00B64653"/>
    <w:rsid w:val="00B84C8D"/>
    <w:rsid w:val="00B961B6"/>
    <w:rsid w:val="00BB10C5"/>
    <w:rsid w:val="00BB3A68"/>
    <w:rsid w:val="00BE264C"/>
    <w:rsid w:val="00BF55A9"/>
    <w:rsid w:val="00C0074E"/>
    <w:rsid w:val="00C04304"/>
    <w:rsid w:val="00C04FAC"/>
    <w:rsid w:val="00C0644D"/>
    <w:rsid w:val="00C06D9C"/>
    <w:rsid w:val="00C12C8D"/>
    <w:rsid w:val="00C14F49"/>
    <w:rsid w:val="00C24626"/>
    <w:rsid w:val="00C31CB8"/>
    <w:rsid w:val="00C3247B"/>
    <w:rsid w:val="00C35EAC"/>
    <w:rsid w:val="00C41C5D"/>
    <w:rsid w:val="00C44F06"/>
    <w:rsid w:val="00C50A4D"/>
    <w:rsid w:val="00C55C08"/>
    <w:rsid w:val="00C574E3"/>
    <w:rsid w:val="00C57FF6"/>
    <w:rsid w:val="00C65561"/>
    <w:rsid w:val="00C657B6"/>
    <w:rsid w:val="00C66AB9"/>
    <w:rsid w:val="00C6761A"/>
    <w:rsid w:val="00C85C7A"/>
    <w:rsid w:val="00C90070"/>
    <w:rsid w:val="00C912EA"/>
    <w:rsid w:val="00CA2381"/>
    <w:rsid w:val="00CA6CF4"/>
    <w:rsid w:val="00CC391F"/>
    <w:rsid w:val="00CC3C65"/>
    <w:rsid w:val="00CD3730"/>
    <w:rsid w:val="00CE1D53"/>
    <w:rsid w:val="00CE31F7"/>
    <w:rsid w:val="00CE748F"/>
    <w:rsid w:val="00CF6FB6"/>
    <w:rsid w:val="00D33F49"/>
    <w:rsid w:val="00D37AE9"/>
    <w:rsid w:val="00D44C02"/>
    <w:rsid w:val="00D4696A"/>
    <w:rsid w:val="00D60433"/>
    <w:rsid w:val="00D65DFF"/>
    <w:rsid w:val="00D730CC"/>
    <w:rsid w:val="00DA3846"/>
    <w:rsid w:val="00DA5DB2"/>
    <w:rsid w:val="00DA74B8"/>
    <w:rsid w:val="00DB75E7"/>
    <w:rsid w:val="00DC21B3"/>
    <w:rsid w:val="00DC3E36"/>
    <w:rsid w:val="00DC7D54"/>
    <w:rsid w:val="00DE04BA"/>
    <w:rsid w:val="00DE63A4"/>
    <w:rsid w:val="00DF0077"/>
    <w:rsid w:val="00DF0569"/>
    <w:rsid w:val="00E37C39"/>
    <w:rsid w:val="00E57F5A"/>
    <w:rsid w:val="00E67F58"/>
    <w:rsid w:val="00E71556"/>
    <w:rsid w:val="00EB0F93"/>
    <w:rsid w:val="00EB1A89"/>
    <w:rsid w:val="00EB4501"/>
    <w:rsid w:val="00EB4A35"/>
    <w:rsid w:val="00EB5376"/>
    <w:rsid w:val="00EC6CFB"/>
    <w:rsid w:val="00ED275A"/>
    <w:rsid w:val="00ED3A98"/>
    <w:rsid w:val="00ED6554"/>
    <w:rsid w:val="00EE66B3"/>
    <w:rsid w:val="00F07149"/>
    <w:rsid w:val="00F1244C"/>
    <w:rsid w:val="00F14CE0"/>
    <w:rsid w:val="00F24D27"/>
    <w:rsid w:val="00F35E14"/>
    <w:rsid w:val="00F40F17"/>
    <w:rsid w:val="00F42270"/>
    <w:rsid w:val="00F75EC1"/>
    <w:rsid w:val="00F975B7"/>
    <w:rsid w:val="00FA1065"/>
    <w:rsid w:val="00FB2817"/>
    <w:rsid w:val="00FC2903"/>
    <w:rsid w:val="00FD2FEF"/>
    <w:rsid w:val="00FD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6D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6D08"/>
    <w:rPr>
      <w:rFonts w:asciiTheme="majorHAnsi" w:eastAsiaTheme="majorEastAsia" w:hAnsiTheme="majorHAnsi" w:cstheme="majorBidi"/>
      <w:sz w:val="18"/>
      <w:szCs w:val="18"/>
    </w:rPr>
  </w:style>
  <w:style w:type="paragraph" w:styleId="a6">
    <w:name w:val="header"/>
    <w:basedOn w:val="a"/>
    <w:link w:val="a7"/>
    <w:uiPriority w:val="99"/>
    <w:unhideWhenUsed/>
    <w:rsid w:val="00C6761A"/>
    <w:pPr>
      <w:tabs>
        <w:tab w:val="center" w:pos="4252"/>
        <w:tab w:val="right" w:pos="8504"/>
      </w:tabs>
      <w:snapToGrid w:val="0"/>
    </w:pPr>
  </w:style>
  <w:style w:type="character" w:customStyle="1" w:styleId="a7">
    <w:name w:val="ヘッダー (文字)"/>
    <w:basedOn w:val="a0"/>
    <w:link w:val="a6"/>
    <w:uiPriority w:val="99"/>
    <w:rsid w:val="00C6761A"/>
  </w:style>
  <w:style w:type="paragraph" w:styleId="a8">
    <w:name w:val="footer"/>
    <w:basedOn w:val="a"/>
    <w:link w:val="a9"/>
    <w:uiPriority w:val="99"/>
    <w:unhideWhenUsed/>
    <w:rsid w:val="00C6761A"/>
    <w:pPr>
      <w:tabs>
        <w:tab w:val="center" w:pos="4252"/>
        <w:tab w:val="right" w:pos="8504"/>
      </w:tabs>
      <w:snapToGrid w:val="0"/>
    </w:pPr>
  </w:style>
  <w:style w:type="character" w:customStyle="1" w:styleId="a9">
    <w:name w:val="フッター (文字)"/>
    <w:basedOn w:val="a0"/>
    <w:link w:val="a8"/>
    <w:uiPriority w:val="99"/>
    <w:rsid w:val="00C67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6D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6D08"/>
    <w:rPr>
      <w:rFonts w:asciiTheme="majorHAnsi" w:eastAsiaTheme="majorEastAsia" w:hAnsiTheme="majorHAnsi" w:cstheme="majorBidi"/>
      <w:sz w:val="18"/>
      <w:szCs w:val="18"/>
    </w:rPr>
  </w:style>
  <w:style w:type="paragraph" w:styleId="a6">
    <w:name w:val="header"/>
    <w:basedOn w:val="a"/>
    <w:link w:val="a7"/>
    <w:uiPriority w:val="99"/>
    <w:unhideWhenUsed/>
    <w:rsid w:val="00C6761A"/>
    <w:pPr>
      <w:tabs>
        <w:tab w:val="center" w:pos="4252"/>
        <w:tab w:val="right" w:pos="8504"/>
      </w:tabs>
      <w:snapToGrid w:val="0"/>
    </w:pPr>
  </w:style>
  <w:style w:type="character" w:customStyle="1" w:styleId="a7">
    <w:name w:val="ヘッダー (文字)"/>
    <w:basedOn w:val="a0"/>
    <w:link w:val="a6"/>
    <w:uiPriority w:val="99"/>
    <w:rsid w:val="00C6761A"/>
  </w:style>
  <w:style w:type="paragraph" w:styleId="a8">
    <w:name w:val="footer"/>
    <w:basedOn w:val="a"/>
    <w:link w:val="a9"/>
    <w:uiPriority w:val="99"/>
    <w:unhideWhenUsed/>
    <w:rsid w:val="00C6761A"/>
    <w:pPr>
      <w:tabs>
        <w:tab w:val="center" w:pos="4252"/>
        <w:tab w:val="right" w:pos="8504"/>
      </w:tabs>
      <w:snapToGrid w:val="0"/>
    </w:pPr>
  </w:style>
  <w:style w:type="character" w:customStyle="1" w:styleId="a9">
    <w:name w:val="フッター (文字)"/>
    <w:basedOn w:val="a0"/>
    <w:link w:val="a8"/>
    <w:uiPriority w:val="99"/>
    <w:rsid w:val="00C6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トヨタ自動車</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トヨタ自動車</cp:lastModifiedBy>
  <cp:revision>2</cp:revision>
  <cp:lastPrinted>2016-02-18T00:40:00Z</cp:lastPrinted>
  <dcterms:created xsi:type="dcterms:W3CDTF">2016-02-25T05:41:00Z</dcterms:created>
  <dcterms:modified xsi:type="dcterms:W3CDTF">2016-02-25T05:41:00Z</dcterms:modified>
</cp:coreProperties>
</file>