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7C4DF4" w14:textId="6B8A94EC" w:rsidR="006824F9" w:rsidRPr="00AF01CA" w:rsidRDefault="00445C24" w:rsidP="00AF01CA">
      <w:pPr>
        <w:jc w:val="center"/>
        <w:rPr>
          <w:b/>
          <w:bCs/>
          <w:sz w:val="28"/>
          <w:szCs w:val="28"/>
          <w:lang w:val="en-US"/>
        </w:rPr>
      </w:pPr>
      <w:r w:rsidRPr="00AF01CA">
        <w:rPr>
          <w:b/>
          <w:bCs/>
          <w:sz w:val="28"/>
          <w:szCs w:val="28"/>
          <w:lang w:val="en-US"/>
        </w:rPr>
        <w:t>Draft p</w:t>
      </w:r>
      <w:r w:rsidR="00E01C7D" w:rsidRPr="00AF01CA">
        <w:rPr>
          <w:b/>
          <w:bCs/>
          <w:sz w:val="28"/>
          <w:szCs w:val="28"/>
          <w:lang w:val="en-US"/>
        </w:rPr>
        <w:t>roposal to no longer exclude ESD from R.10 (08)</w:t>
      </w:r>
    </w:p>
    <w:p w14:paraId="76074DF8" w14:textId="77777777" w:rsidR="00E01C7D" w:rsidRDefault="00E01C7D">
      <w:pPr>
        <w:rPr>
          <w:lang w:val="en-US"/>
        </w:rPr>
      </w:pPr>
    </w:p>
    <w:p w14:paraId="3A15EAE9" w14:textId="77777777" w:rsidR="00E01C7D" w:rsidRPr="00AF01CA" w:rsidRDefault="00E01C7D" w:rsidP="00E01C7D">
      <w:pPr>
        <w:keepNext/>
        <w:keepLines/>
        <w:spacing w:after="120"/>
        <w:ind w:left="2268" w:right="142" w:hanging="1134"/>
        <w:jc w:val="both"/>
        <w:rPr>
          <w:sz w:val="22"/>
          <w:szCs w:val="22"/>
          <w:lang w:val="en-US"/>
        </w:rPr>
      </w:pPr>
      <w:r w:rsidRPr="00AF01CA">
        <w:rPr>
          <w:i/>
          <w:sz w:val="22"/>
          <w:szCs w:val="22"/>
          <w:lang w:val="en-US"/>
        </w:rPr>
        <w:t xml:space="preserve">Insert a new paragraph 6.5., </w:t>
      </w:r>
      <w:r w:rsidRPr="00AF01CA">
        <w:rPr>
          <w:sz w:val="22"/>
          <w:szCs w:val="22"/>
          <w:lang w:val="en-US"/>
        </w:rPr>
        <w:t>to read:</w:t>
      </w:r>
    </w:p>
    <w:p w14:paraId="75E1B386" w14:textId="77777777" w:rsidR="00E01C7D" w:rsidRPr="00AF01CA" w:rsidRDefault="00E01C7D" w:rsidP="00E01C7D">
      <w:pPr>
        <w:pStyle w:val="Kop1"/>
        <w:keepNext w:val="0"/>
        <w:keepLines w:val="0"/>
        <w:suppressAutoHyphens/>
        <w:spacing w:after="120" w:line="240" w:lineRule="atLeast"/>
        <w:ind w:left="2268" w:right="993" w:hanging="1134"/>
        <w:jc w:val="both"/>
        <w:rPr>
          <w:rFonts w:ascii="Times New Roman" w:eastAsia="Times New Roman" w:hAnsi="Times New Roman" w:cs="Times New Roman"/>
          <w:b/>
          <w:bCs/>
          <w:color w:val="auto"/>
          <w:sz w:val="20"/>
          <w:szCs w:val="20"/>
          <w:lang w:val="en-GB"/>
        </w:rPr>
      </w:pPr>
      <w:r w:rsidRPr="00AF01CA">
        <w:rPr>
          <w:b/>
          <w:bCs/>
          <w:color w:val="auto"/>
          <w:sz w:val="20"/>
          <w:szCs w:val="20"/>
          <w:lang w:val="en-GB"/>
        </w:rPr>
        <w:t>“</w:t>
      </w:r>
      <w:r w:rsidRPr="00AF01CA">
        <w:rPr>
          <w:rFonts w:ascii="Times New Roman" w:eastAsia="Times New Roman" w:hAnsi="Times New Roman" w:cs="Times New Roman"/>
          <w:b/>
          <w:bCs/>
          <w:color w:val="auto"/>
          <w:sz w:val="20"/>
          <w:szCs w:val="20"/>
          <w:lang w:val="en-GB"/>
        </w:rPr>
        <w:t>6.5.</w:t>
      </w:r>
      <w:r w:rsidRPr="00AF01CA">
        <w:rPr>
          <w:rFonts w:ascii="Times New Roman" w:eastAsia="Times New Roman" w:hAnsi="Times New Roman" w:cs="Times New Roman"/>
          <w:b/>
          <w:bCs/>
          <w:color w:val="auto"/>
          <w:sz w:val="20"/>
          <w:szCs w:val="20"/>
          <w:lang w:val="en-GB"/>
        </w:rPr>
        <w:tab/>
        <w:t>Specifications concerning immunity of vehicles to Electrostatic discharge.”</w:t>
      </w:r>
    </w:p>
    <w:p w14:paraId="6EB11570" w14:textId="77777777" w:rsidR="00E01C7D" w:rsidRPr="002C21EF" w:rsidRDefault="00E01C7D" w:rsidP="00E01C7D">
      <w:pPr>
        <w:spacing w:after="231" w:line="260" w:lineRule="auto"/>
        <w:ind w:left="2253" w:right="1125" w:hanging="1135"/>
        <w:jc w:val="both"/>
        <w:rPr>
          <w:rFonts w:ascii="Times New Roman" w:eastAsia="Times New Roman" w:hAnsi="Times New Roman" w:cs="Times New Roman"/>
          <w:b/>
          <w:bCs/>
          <w:sz w:val="20"/>
          <w:szCs w:val="20"/>
          <w:lang w:val="en-GB"/>
        </w:rPr>
      </w:pPr>
      <w:r w:rsidRPr="002C21EF">
        <w:rPr>
          <w:rFonts w:ascii="Times New Roman" w:eastAsia="Times New Roman" w:hAnsi="Times New Roman" w:cs="Times New Roman"/>
          <w:b/>
          <w:bCs/>
          <w:sz w:val="20"/>
          <w:szCs w:val="20"/>
          <w:lang w:val="en-GB"/>
        </w:rPr>
        <w:t xml:space="preserve">6.5.1. </w:t>
      </w:r>
      <w:r w:rsidRPr="002C21EF">
        <w:rPr>
          <w:rFonts w:ascii="Times New Roman" w:eastAsia="Times New Roman" w:hAnsi="Times New Roman" w:cs="Times New Roman"/>
          <w:b/>
          <w:bCs/>
          <w:sz w:val="20"/>
          <w:szCs w:val="20"/>
          <w:lang w:val="en-GB"/>
        </w:rPr>
        <w:tab/>
        <w:t>Method of testing</w:t>
      </w:r>
    </w:p>
    <w:p w14:paraId="6DA8ECCE" w14:textId="70D3D264" w:rsidR="00EE29A6" w:rsidRPr="002C21EF" w:rsidRDefault="00E01C7D" w:rsidP="00EE29A6">
      <w:pPr>
        <w:spacing w:after="231" w:line="260" w:lineRule="auto"/>
        <w:ind w:left="2253" w:right="1125"/>
        <w:jc w:val="both"/>
        <w:rPr>
          <w:rFonts w:ascii="Times New Roman" w:eastAsia="Times New Roman" w:hAnsi="Times New Roman" w:cs="Times New Roman"/>
          <w:b/>
          <w:bCs/>
          <w:sz w:val="20"/>
          <w:szCs w:val="20"/>
          <w:lang w:val="en-GB"/>
        </w:rPr>
      </w:pPr>
      <w:r w:rsidRPr="002C21EF">
        <w:rPr>
          <w:rFonts w:ascii="Times New Roman" w:eastAsia="Times New Roman" w:hAnsi="Times New Roman" w:cs="Times New Roman"/>
          <w:b/>
          <w:bCs/>
          <w:sz w:val="20"/>
          <w:szCs w:val="20"/>
          <w:lang w:val="en-GB"/>
        </w:rPr>
        <w:t xml:space="preserve">The method described in </w:t>
      </w:r>
      <w:r w:rsidRPr="00AF01CA">
        <w:rPr>
          <w:rFonts w:ascii="Times New Roman" w:eastAsia="Times New Roman" w:hAnsi="Times New Roman" w:cs="Times New Roman"/>
          <w:b/>
          <w:bCs/>
          <w:sz w:val="20"/>
          <w:szCs w:val="20"/>
          <w:highlight w:val="green"/>
          <w:lang w:val="en-GB"/>
        </w:rPr>
        <w:t>ISO</w:t>
      </w:r>
      <w:r w:rsidR="00AD45EA">
        <w:rPr>
          <w:rFonts w:ascii="Times New Roman" w:eastAsia="Times New Roman" w:hAnsi="Times New Roman" w:cs="Times New Roman"/>
          <w:b/>
          <w:bCs/>
          <w:sz w:val="20"/>
          <w:szCs w:val="20"/>
          <w:highlight w:val="green"/>
          <w:lang w:val="en-GB"/>
        </w:rPr>
        <w:t xml:space="preserve"> </w:t>
      </w:r>
      <w:r w:rsidRPr="00AF01CA">
        <w:rPr>
          <w:rFonts w:ascii="Times New Roman" w:eastAsia="Times New Roman" w:hAnsi="Times New Roman" w:cs="Times New Roman"/>
          <w:b/>
          <w:bCs/>
          <w:sz w:val="20"/>
          <w:szCs w:val="20"/>
          <w:highlight w:val="green"/>
          <w:lang w:val="en-GB"/>
        </w:rPr>
        <w:t xml:space="preserve">10605: </w:t>
      </w:r>
      <w:r w:rsidR="00354089" w:rsidRPr="00AF01CA">
        <w:rPr>
          <w:rFonts w:ascii="Times New Roman" w:eastAsia="Times New Roman" w:hAnsi="Times New Roman" w:cs="Times New Roman"/>
          <w:b/>
          <w:bCs/>
          <w:sz w:val="20"/>
          <w:szCs w:val="20"/>
          <w:highlight w:val="green"/>
          <w:lang w:val="en-GB"/>
        </w:rPr>
        <w:t>2023</w:t>
      </w:r>
      <w:r w:rsidRPr="002C21EF">
        <w:rPr>
          <w:rFonts w:ascii="Times New Roman" w:eastAsia="Times New Roman" w:hAnsi="Times New Roman" w:cs="Times New Roman"/>
          <w:b/>
          <w:bCs/>
          <w:sz w:val="20"/>
          <w:szCs w:val="20"/>
          <w:lang w:val="en-GB"/>
        </w:rPr>
        <w:t xml:space="preserve"> shall be used as the method of measurement of the vehicle in areas where an ESD in standard use is possible (e.g. by touching by the driver or occupants during driving, entry into or exit from the vehicle).</w:t>
      </w:r>
      <w:r w:rsidR="00EE29A6">
        <w:rPr>
          <w:rFonts w:ascii="Times New Roman" w:eastAsia="Times New Roman" w:hAnsi="Times New Roman" w:cs="Times New Roman"/>
          <w:b/>
          <w:bCs/>
          <w:sz w:val="20"/>
          <w:szCs w:val="20"/>
          <w:lang w:val="en-GB"/>
        </w:rPr>
        <w:t xml:space="preserve"> The vehicle shall be tested in brake mode.</w:t>
      </w:r>
    </w:p>
    <w:p w14:paraId="2C7298AB" w14:textId="77777777" w:rsidR="00E01C7D" w:rsidRPr="002C21EF" w:rsidRDefault="00E01C7D" w:rsidP="00E01C7D">
      <w:pPr>
        <w:spacing w:after="231" w:line="260" w:lineRule="auto"/>
        <w:ind w:left="2253" w:right="1125" w:hanging="1135"/>
        <w:jc w:val="both"/>
        <w:rPr>
          <w:rFonts w:ascii="Times New Roman" w:eastAsia="Times New Roman" w:hAnsi="Times New Roman" w:cs="Times New Roman"/>
          <w:b/>
          <w:bCs/>
          <w:sz w:val="20"/>
          <w:szCs w:val="20"/>
          <w:lang w:val="en-GB"/>
        </w:rPr>
      </w:pPr>
      <w:r w:rsidRPr="002C21EF">
        <w:rPr>
          <w:rFonts w:ascii="Times New Roman" w:eastAsia="Times New Roman" w:hAnsi="Times New Roman" w:cs="Times New Roman"/>
          <w:b/>
          <w:bCs/>
          <w:sz w:val="20"/>
          <w:szCs w:val="20"/>
          <w:lang w:val="en-GB"/>
        </w:rPr>
        <w:t>6.5.2.</w:t>
      </w:r>
      <w:r w:rsidRPr="002C21EF">
        <w:rPr>
          <w:rFonts w:ascii="Times New Roman" w:eastAsia="Times New Roman" w:hAnsi="Times New Roman" w:cs="Times New Roman"/>
          <w:b/>
          <w:bCs/>
          <w:sz w:val="20"/>
          <w:szCs w:val="20"/>
          <w:lang w:val="en-GB"/>
        </w:rPr>
        <w:tab/>
        <w:t>Vehicle immunity type approval limits</w:t>
      </w:r>
    </w:p>
    <w:p w14:paraId="41D64C7D" w14:textId="6F761F5F" w:rsidR="00D361E9" w:rsidRDefault="00E01C7D" w:rsidP="00E01C7D">
      <w:pPr>
        <w:spacing w:after="231" w:line="260" w:lineRule="auto"/>
        <w:ind w:left="2253" w:right="1125"/>
        <w:jc w:val="both"/>
        <w:rPr>
          <w:rFonts w:ascii="Times New Roman" w:eastAsia="Times New Roman" w:hAnsi="Times New Roman" w:cs="Times New Roman"/>
          <w:b/>
          <w:bCs/>
          <w:sz w:val="20"/>
          <w:szCs w:val="20"/>
          <w:lang w:val="en-GB"/>
        </w:rPr>
      </w:pPr>
      <w:r w:rsidRPr="00AF01CA">
        <w:rPr>
          <w:rFonts w:ascii="Times New Roman" w:eastAsia="Times New Roman" w:hAnsi="Times New Roman" w:cs="Times New Roman"/>
          <w:b/>
          <w:bCs/>
          <w:sz w:val="20"/>
          <w:szCs w:val="20"/>
          <w:highlight w:val="green"/>
          <w:lang w:val="en-GB"/>
        </w:rPr>
        <w:t>T</w:t>
      </w:r>
      <w:r w:rsidR="00EE29A6">
        <w:rPr>
          <w:rFonts w:ascii="Times New Roman" w:eastAsia="Times New Roman" w:hAnsi="Times New Roman" w:cs="Times New Roman"/>
          <w:b/>
          <w:bCs/>
          <w:sz w:val="20"/>
          <w:szCs w:val="20"/>
          <w:highlight w:val="green"/>
          <w:lang w:val="en-GB"/>
        </w:rPr>
        <w:t>he t</w:t>
      </w:r>
      <w:r w:rsidRPr="00AF01CA">
        <w:rPr>
          <w:rFonts w:ascii="Times New Roman" w:eastAsia="Times New Roman" w:hAnsi="Times New Roman" w:cs="Times New Roman"/>
          <w:b/>
          <w:bCs/>
          <w:sz w:val="20"/>
          <w:szCs w:val="20"/>
          <w:highlight w:val="green"/>
          <w:lang w:val="en-GB"/>
        </w:rPr>
        <w:t xml:space="preserve">est level </w:t>
      </w:r>
      <w:r w:rsidR="00EE29A6">
        <w:rPr>
          <w:rFonts w:ascii="Times New Roman" w:eastAsia="Times New Roman" w:hAnsi="Times New Roman" w:cs="Times New Roman"/>
          <w:b/>
          <w:bCs/>
          <w:sz w:val="20"/>
          <w:szCs w:val="20"/>
          <w:highlight w:val="green"/>
          <w:lang w:val="en-GB"/>
        </w:rPr>
        <w:t>and function performance</w:t>
      </w:r>
      <w:r w:rsidRPr="00AF01CA">
        <w:rPr>
          <w:rFonts w:ascii="Times New Roman" w:eastAsia="Times New Roman" w:hAnsi="Times New Roman" w:cs="Times New Roman"/>
          <w:b/>
          <w:bCs/>
          <w:sz w:val="20"/>
          <w:szCs w:val="20"/>
          <w:highlight w:val="green"/>
          <w:lang w:val="en-GB"/>
        </w:rPr>
        <w:t xml:space="preserve"> status </w:t>
      </w:r>
      <w:r w:rsidR="00EE29A6">
        <w:rPr>
          <w:rFonts w:ascii="Times New Roman" w:eastAsia="Times New Roman" w:hAnsi="Times New Roman" w:cs="Times New Roman"/>
          <w:b/>
          <w:bCs/>
          <w:sz w:val="20"/>
          <w:szCs w:val="20"/>
          <w:lang w:val="en-GB"/>
        </w:rPr>
        <w:t>classification (FPSC)</w:t>
      </w:r>
      <w:r w:rsidRPr="006236B5">
        <w:rPr>
          <w:rFonts w:ascii="Times New Roman" w:eastAsia="Times New Roman" w:hAnsi="Times New Roman" w:cs="Times New Roman"/>
          <w:b/>
          <w:bCs/>
          <w:sz w:val="20"/>
          <w:szCs w:val="20"/>
          <w:lang w:val="en-GB"/>
        </w:rPr>
        <w:t xml:space="preserve"> according to </w:t>
      </w:r>
      <w:r w:rsidR="00EE29A6">
        <w:rPr>
          <w:rFonts w:ascii="Times New Roman" w:eastAsia="Times New Roman" w:hAnsi="Times New Roman" w:cs="Times New Roman"/>
          <w:b/>
          <w:bCs/>
          <w:sz w:val="20"/>
          <w:szCs w:val="20"/>
          <w:lang w:val="en-GB"/>
        </w:rPr>
        <w:t>the table below</w:t>
      </w:r>
      <w:r w:rsidRPr="006236B5">
        <w:rPr>
          <w:rFonts w:ascii="Times New Roman" w:eastAsia="Times New Roman" w:hAnsi="Times New Roman" w:cs="Times New Roman"/>
          <w:b/>
          <w:bCs/>
          <w:sz w:val="20"/>
          <w:szCs w:val="20"/>
          <w:lang w:val="en-GB"/>
        </w:rPr>
        <w:t xml:space="preserve"> applies</w:t>
      </w:r>
      <w:r w:rsidR="00EE29A6">
        <w:rPr>
          <w:rFonts w:ascii="Times New Roman" w:eastAsia="Times New Roman" w:hAnsi="Times New Roman" w:cs="Times New Roman"/>
          <w:b/>
          <w:bCs/>
          <w:sz w:val="20"/>
          <w:szCs w:val="20"/>
          <w:lang w:val="en-GB"/>
        </w:rPr>
        <w:t xml:space="preserve"> for </w:t>
      </w:r>
      <w:r w:rsidR="00C24298">
        <w:rPr>
          <w:rFonts w:ascii="Times New Roman" w:eastAsia="Times New Roman" w:hAnsi="Times New Roman" w:cs="Times New Roman"/>
          <w:b/>
          <w:bCs/>
          <w:sz w:val="20"/>
          <w:szCs w:val="20"/>
          <w:lang w:val="en-GB"/>
        </w:rPr>
        <w:t>test points</w:t>
      </w:r>
      <w:r w:rsidR="00EE29A6">
        <w:rPr>
          <w:rFonts w:ascii="Times New Roman" w:eastAsia="Times New Roman" w:hAnsi="Times New Roman" w:cs="Times New Roman"/>
          <w:b/>
          <w:bCs/>
          <w:sz w:val="20"/>
          <w:szCs w:val="20"/>
          <w:lang w:val="en-GB"/>
        </w:rPr>
        <w:t xml:space="preserve"> accessible from inside and outside of the vehicle.</w:t>
      </w:r>
    </w:p>
    <w:p w14:paraId="7FA79724" w14:textId="3E068BE3" w:rsidR="00D361E9" w:rsidRPr="00AF01CA" w:rsidRDefault="00C24298" w:rsidP="00D361E9">
      <w:pPr>
        <w:rPr>
          <w:lang w:val="en-US"/>
        </w:rPr>
      </w:pPr>
      <w:r>
        <w:rPr>
          <w:lang w:val="en-US"/>
        </w:rPr>
        <w:t>TABLE</w:t>
      </w:r>
    </w:p>
    <w:tbl>
      <w:tblPr>
        <w:tblStyle w:val="Tabelraster"/>
        <w:tblW w:w="0" w:type="auto"/>
        <w:tblLook w:val="04A0" w:firstRow="1" w:lastRow="0" w:firstColumn="1" w:lastColumn="0" w:noHBand="0" w:noVBand="1"/>
      </w:tblPr>
      <w:tblGrid>
        <w:gridCol w:w="1555"/>
        <w:gridCol w:w="1559"/>
        <w:gridCol w:w="3118"/>
        <w:gridCol w:w="2830"/>
      </w:tblGrid>
      <w:tr w:rsidR="00D361E9" w:rsidRPr="00AA73C7" w14:paraId="354AA502" w14:textId="77777777" w:rsidTr="00CE530D">
        <w:tc>
          <w:tcPr>
            <w:tcW w:w="1555" w:type="dxa"/>
            <w:vMerge w:val="restart"/>
          </w:tcPr>
          <w:p w14:paraId="5B5E3604" w14:textId="77777777" w:rsidR="00D361E9" w:rsidRDefault="00D361E9" w:rsidP="00CE530D">
            <w:r>
              <w:t>Discharge type</w:t>
            </w:r>
          </w:p>
        </w:tc>
        <w:tc>
          <w:tcPr>
            <w:tcW w:w="1559" w:type="dxa"/>
            <w:vMerge w:val="restart"/>
          </w:tcPr>
          <w:p w14:paraId="484B0DB2" w14:textId="77777777" w:rsidR="00D361E9" w:rsidRDefault="00D361E9" w:rsidP="00CE530D">
            <w:proofErr w:type="spellStart"/>
            <w:r>
              <w:t>Immunity</w:t>
            </w:r>
            <w:proofErr w:type="spellEnd"/>
            <w:r>
              <w:t xml:space="preserve"> test level</w:t>
            </w:r>
          </w:p>
        </w:tc>
        <w:tc>
          <w:tcPr>
            <w:tcW w:w="5948" w:type="dxa"/>
            <w:gridSpan w:val="2"/>
          </w:tcPr>
          <w:p w14:paraId="02594221" w14:textId="77777777" w:rsidR="00D361E9" w:rsidRPr="00AA73C7" w:rsidRDefault="00D361E9" w:rsidP="00CE530D">
            <w:pPr>
              <w:rPr>
                <w:lang w:val="en-US"/>
              </w:rPr>
            </w:pPr>
            <w:r w:rsidRPr="00AA73C7">
              <w:rPr>
                <w:lang w:val="en-US"/>
              </w:rPr>
              <w:t>Function performance status classification (F</w:t>
            </w:r>
            <w:r>
              <w:rPr>
                <w:lang w:val="en-US"/>
              </w:rPr>
              <w:t>PSC)</w:t>
            </w:r>
          </w:p>
        </w:tc>
      </w:tr>
      <w:tr w:rsidR="00D361E9" w:rsidRPr="00AA73C7" w14:paraId="7C855F5E" w14:textId="77777777" w:rsidTr="00CE530D">
        <w:tc>
          <w:tcPr>
            <w:tcW w:w="1555" w:type="dxa"/>
            <w:vMerge/>
          </w:tcPr>
          <w:p w14:paraId="0BA92057" w14:textId="77777777" w:rsidR="00D361E9" w:rsidRPr="00AA73C7" w:rsidRDefault="00D361E9" w:rsidP="00CE530D">
            <w:pPr>
              <w:rPr>
                <w:lang w:val="en-US"/>
              </w:rPr>
            </w:pPr>
          </w:p>
        </w:tc>
        <w:tc>
          <w:tcPr>
            <w:tcW w:w="1559" w:type="dxa"/>
            <w:vMerge/>
          </w:tcPr>
          <w:p w14:paraId="724A4F37" w14:textId="77777777" w:rsidR="00D361E9" w:rsidRPr="00AA73C7" w:rsidRDefault="00D361E9" w:rsidP="00CE530D">
            <w:pPr>
              <w:rPr>
                <w:lang w:val="en-US"/>
              </w:rPr>
            </w:pPr>
          </w:p>
        </w:tc>
        <w:tc>
          <w:tcPr>
            <w:tcW w:w="3118" w:type="dxa"/>
          </w:tcPr>
          <w:p w14:paraId="27CDF83A" w14:textId="77777777" w:rsidR="00D361E9" w:rsidRPr="00AA73C7" w:rsidRDefault="00D361E9" w:rsidP="00CE530D">
            <w:pPr>
              <w:rPr>
                <w:lang w:val="en-US"/>
              </w:rPr>
            </w:pPr>
            <w:r>
              <w:rPr>
                <w:lang w:val="en-US"/>
              </w:rPr>
              <w:t>Related to immunity related functions</w:t>
            </w:r>
          </w:p>
        </w:tc>
        <w:tc>
          <w:tcPr>
            <w:tcW w:w="2830" w:type="dxa"/>
          </w:tcPr>
          <w:p w14:paraId="23B89DAB" w14:textId="77777777" w:rsidR="00D361E9" w:rsidRPr="00AA73C7" w:rsidRDefault="00D361E9" w:rsidP="00CE530D">
            <w:pPr>
              <w:rPr>
                <w:lang w:val="en-US"/>
              </w:rPr>
            </w:pPr>
            <w:r>
              <w:rPr>
                <w:lang w:val="en-US"/>
              </w:rPr>
              <w:t>Not related to immunity related functions</w:t>
            </w:r>
          </w:p>
        </w:tc>
      </w:tr>
      <w:tr w:rsidR="00D361E9" w:rsidRPr="00AA73C7" w14:paraId="57E50677" w14:textId="77777777" w:rsidTr="00CE530D">
        <w:tc>
          <w:tcPr>
            <w:tcW w:w="1555" w:type="dxa"/>
          </w:tcPr>
          <w:p w14:paraId="23A88679" w14:textId="77777777" w:rsidR="00D361E9" w:rsidRPr="00AA73C7" w:rsidRDefault="00D361E9" w:rsidP="00CE530D">
            <w:pPr>
              <w:rPr>
                <w:lang w:val="en-US"/>
              </w:rPr>
            </w:pPr>
            <w:r>
              <w:rPr>
                <w:lang w:val="en-US"/>
              </w:rPr>
              <w:t>Contact</w:t>
            </w:r>
          </w:p>
        </w:tc>
        <w:tc>
          <w:tcPr>
            <w:tcW w:w="1559" w:type="dxa"/>
          </w:tcPr>
          <w:p w14:paraId="133B8409" w14:textId="77777777" w:rsidR="00D361E9" w:rsidRPr="00AA73C7" w:rsidRDefault="00D361E9" w:rsidP="00CE530D">
            <w:pPr>
              <w:rPr>
                <w:lang w:val="en-US"/>
              </w:rPr>
            </w:pPr>
            <w:r>
              <w:rPr>
                <w:lang w:val="en-US"/>
              </w:rPr>
              <w:t>+/- 4 kV</w:t>
            </w:r>
          </w:p>
        </w:tc>
        <w:tc>
          <w:tcPr>
            <w:tcW w:w="3118" w:type="dxa"/>
          </w:tcPr>
          <w:p w14:paraId="6D4509F6" w14:textId="77777777" w:rsidR="00D361E9" w:rsidRPr="00AA73C7" w:rsidRDefault="00D361E9" w:rsidP="00CE530D">
            <w:pPr>
              <w:rPr>
                <w:lang w:val="en-US"/>
              </w:rPr>
            </w:pPr>
            <w:r>
              <w:rPr>
                <w:lang w:val="en-US"/>
              </w:rPr>
              <w:t>I</w:t>
            </w:r>
          </w:p>
        </w:tc>
        <w:tc>
          <w:tcPr>
            <w:tcW w:w="2830" w:type="dxa"/>
          </w:tcPr>
          <w:p w14:paraId="0C9C0128" w14:textId="77777777" w:rsidR="00D361E9" w:rsidRPr="00AA73C7" w:rsidRDefault="00D361E9" w:rsidP="00CE530D">
            <w:pPr>
              <w:rPr>
                <w:lang w:val="en-US"/>
              </w:rPr>
            </w:pPr>
            <w:r>
              <w:rPr>
                <w:lang w:val="en-US"/>
              </w:rPr>
              <w:t>II</w:t>
            </w:r>
          </w:p>
        </w:tc>
      </w:tr>
      <w:tr w:rsidR="00D361E9" w:rsidRPr="00AA73C7" w14:paraId="6B428685" w14:textId="77777777" w:rsidTr="00CE530D">
        <w:tc>
          <w:tcPr>
            <w:tcW w:w="1555" w:type="dxa"/>
          </w:tcPr>
          <w:p w14:paraId="0835E025" w14:textId="77777777" w:rsidR="00D361E9" w:rsidRPr="00AA73C7" w:rsidRDefault="00D361E9" w:rsidP="00CE530D">
            <w:pPr>
              <w:rPr>
                <w:lang w:val="en-US"/>
              </w:rPr>
            </w:pPr>
            <w:r>
              <w:rPr>
                <w:lang w:val="en-US"/>
              </w:rPr>
              <w:t>Air</w:t>
            </w:r>
          </w:p>
        </w:tc>
        <w:tc>
          <w:tcPr>
            <w:tcW w:w="1559" w:type="dxa"/>
          </w:tcPr>
          <w:p w14:paraId="15E4A7E9" w14:textId="77777777" w:rsidR="00D361E9" w:rsidRPr="00AA73C7" w:rsidRDefault="00D361E9" w:rsidP="00CE530D">
            <w:pPr>
              <w:rPr>
                <w:lang w:val="en-US"/>
              </w:rPr>
            </w:pPr>
            <w:r>
              <w:rPr>
                <w:lang w:val="en-US"/>
              </w:rPr>
              <w:t>+/- 8 kV</w:t>
            </w:r>
          </w:p>
        </w:tc>
        <w:tc>
          <w:tcPr>
            <w:tcW w:w="3118" w:type="dxa"/>
          </w:tcPr>
          <w:p w14:paraId="000A5F87" w14:textId="77777777" w:rsidR="00D361E9" w:rsidRPr="00AA73C7" w:rsidRDefault="00D361E9" w:rsidP="00CE530D">
            <w:pPr>
              <w:rPr>
                <w:lang w:val="en-US"/>
              </w:rPr>
            </w:pPr>
            <w:r>
              <w:rPr>
                <w:lang w:val="en-US"/>
              </w:rPr>
              <w:t>I</w:t>
            </w:r>
          </w:p>
        </w:tc>
        <w:tc>
          <w:tcPr>
            <w:tcW w:w="2830" w:type="dxa"/>
          </w:tcPr>
          <w:p w14:paraId="28FF7544" w14:textId="77777777" w:rsidR="00D361E9" w:rsidRPr="00AA73C7" w:rsidRDefault="00D361E9" w:rsidP="00CE530D">
            <w:pPr>
              <w:rPr>
                <w:lang w:val="en-US"/>
              </w:rPr>
            </w:pPr>
            <w:r>
              <w:rPr>
                <w:lang w:val="en-US"/>
              </w:rPr>
              <w:t>II</w:t>
            </w:r>
          </w:p>
        </w:tc>
      </w:tr>
    </w:tbl>
    <w:p w14:paraId="4357AF56" w14:textId="6B65F78A" w:rsidR="00E01C7D" w:rsidRPr="002C21EF" w:rsidRDefault="00E01C7D" w:rsidP="00AF01CA">
      <w:pPr>
        <w:spacing w:after="231" w:line="260" w:lineRule="auto"/>
        <w:ind w:right="1125"/>
        <w:jc w:val="both"/>
        <w:rPr>
          <w:rFonts w:ascii="Times New Roman" w:eastAsia="Times New Roman" w:hAnsi="Times New Roman" w:cs="Times New Roman"/>
          <w:b/>
          <w:bCs/>
          <w:sz w:val="20"/>
          <w:szCs w:val="20"/>
          <w:lang w:val="en-GB"/>
        </w:rPr>
      </w:pPr>
      <w:r w:rsidRPr="006236B5">
        <w:rPr>
          <w:rFonts w:ascii="Times New Roman" w:eastAsia="Times New Roman" w:hAnsi="Times New Roman" w:cs="Times New Roman"/>
          <w:b/>
          <w:bCs/>
          <w:sz w:val="20"/>
          <w:szCs w:val="20"/>
          <w:lang w:val="en-GB"/>
        </w:rPr>
        <w:t>”</w:t>
      </w:r>
    </w:p>
    <w:p w14:paraId="704D35EC" w14:textId="77777777" w:rsidR="00E01C7D" w:rsidRPr="00AF01CA" w:rsidRDefault="00E01C7D">
      <w:pPr>
        <w:rPr>
          <w:sz w:val="16"/>
          <w:szCs w:val="16"/>
          <w:lang w:val="en-GB"/>
        </w:rPr>
      </w:pPr>
    </w:p>
    <w:p w14:paraId="25136253" w14:textId="65F76853" w:rsidR="00E01C7D" w:rsidRPr="00AF01CA" w:rsidRDefault="00E01C7D" w:rsidP="00E01C7D">
      <w:pPr>
        <w:keepNext/>
        <w:keepLines/>
        <w:spacing w:after="120"/>
        <w:ind w:left="2268" w:right="142" w:hanging="1134"/>
        <w:jc w:val="both"/>
        <w:rPr>
          <w:i/>
          <w:sz w:val="22"/>
          <w:szCs w:val="22"/>
          <w:lang w:val="en-US"/>
        </w:rPr>
      </w:pPr>
      <w:r w:rsidRPr="00AF01CA">
        <w:rPr>
          <w:i/>
          <w:sz w:val="22"/>
          <w:szCs w:val="22"/>
          <w:lang w:val="en-US"/>
        </w:rPr>
        <w:t xml:space="preserve">Renumber following paragraphs accordingly </w:t>
      </w:r>
    </w:p>
    <w:p w14:paraId="61FF86F8" w14:textId="77777777" w:rsidR="00E01C7D" w:rsidRPr="00AF01CA" w:rsidRDefault="00E01C7D">
      <w:pPr>
        <w:rPr>
          <w:sz w:val="16"/>
          <w:szCs w:val="16"/>
          <w:lang w:val="en-US"/>
        </w:rPr>
      </w:pPr>
    </w:p>
    <w:p w14:paraId="2418FCC9" w14:textId="77777777" w:rsidR="00E01C7D" w:rsidRPr="003F1C4C" w:rsidRDefault="00E01C7D" w:rsidP="00E01C7D">
      <w:pPr>
        <w:keepNext/>
        <w:keepLines/>
        <w:spacing w:after="120"/>
        <w:ind w:left="2268" w:right="142" w:hanging="1134"/>
        <w:jc w:val="both"/>
        <w:rPr>
          <w:i/>
          <w:sz w:val="22"/>
          <w:szCs w:val="22"/>
          <w:lang w:val="en-US"/>
        </w:rPr>
      </w:pPr>
      <w:r w:rsidRPr="003F1C4C">
        <w:rPr>
          <w:i/>
          <w:sz w:val="22"/>
          <w:szCs w:val="22"/>
          <w:lang w:val="en-US"/>
        </w:rPr>
        <w:t xml:space="preserve">Paragraph 6.10.4., </w:t>
      </w:r>
      <w:r w:rsidRPr="003F1C4C">
        <w:rPr>
          <w:iCs/>
          <w:sz w:val="22"/>
          <w:szCs w:val="22"/>
          <w:lang w:val="en-US"/>
        </w:rPr>
        <w:t>delete.</w:t>
      </w:r>
    </w:p>
    <w:p w14:paraId="6C8645CC" w14:textId="77777777" w:rsidR="003F1C4C" w:rsidRPr="00AF01CA" w:rsidRDefault="003F1C4C" w:rsidP="003F1C4C">
      <w:pPr>
        <w:ind w:left="708" w:firstLine="426"/>
        <w:rPr>
          <w:rFonts w:ascii="Times New Roman" w:eastAsia="Times New Roman" w:hAnsi="Times New Roman" w:cs="Times New Roman"/>
          <w:strike/>
          <w:sz w:val="20"/>
          <w:szCs w:val="20"/>
          <w:lang w:val="en-GB"/>
        </w:rPr>
      </w:pPr>
      <w:r w:rsidRPr="00AF01CA">
        <w:rPr>
          <w:rFonts w:ascii="Times New Roman" w:eastAsia="Times New Roman" w:hAnsi="Times New Roman" w:cs="Times New Roman"/>
          <w:strike/>
          <w:sz w:val="20"/>
          <w:szCs w:val="20"/>
          <w:lang w:val="en-GB"/>
        </w:rPr>
        <w:t>6.10.4.</w:t>
      </w:r>
      <w:r w:rsidRPr="00AF01CA">
        <w:rPr>
          <w:rFonts w:ascii="Times New Roman" w:eastAsia="Times New Roman" w:hAnsi="Times New Roman" w:cs="Times New Roman"/>
          <w:strike/>
          <w:sz w:val="20"/>
          <w:szCs w:val="20"/>
          <w:lang w:val="en-GB"/>
        </w:rPr>
        <w:tab/>
        <w:t>Electrostatic discharge</w:t>
      </w:r>
    </w:p>
    <w:p w14:paraId="217817F8" w14:textId="643BFDD8" w:rsidR="00E01C7D" w:rsidRPr="00AF01CA" w:rsidRDefault="003F1C4C" w:rsidP="003F1C4C">
      <w:pPr>
        <w:ind w:left="2124"/>
        <w:rPr>
          <w:rFonts w:ascii="Times New Roman" w:eastAsia="Times New Roman" w:hAnsi="Times New Roman" w:cs="Times New Roman"/>
          <w:strike/>
          <w:sz w:val="20"/>
          <w:szCs w:val="20"/>
          <w:lang w:val="en-GB"/>
        </w:rPr>
      </w:pPr>
      <w:r w:rsidRPr="00AF01CA">
        <w:rPr>
          <w:rFonts w:ascii="Times New Roman" w:eastAsia="Times New Roman" w:hAnsi="Times New Roman" w:cs="Times New Roman"/>
          <w:strike/>
          <w:sz w:val="20"/>
          <w:szCs w:val="20"/>
          <w:lang w:val="en-GB"/>
        </w:rPr>
        <w:t>For vehicles fitted with tyres, the vehicle body/chassis can be considered to be an electrically isolated structure. Significant electrostatic forces in relation to the vehicle's external environment only occur at the moment of occupant entry into or exit from the vehicle. As the vehicle is stationary at these moments, no type approval test for electrostatic discharge is deemed necessary.</w:t>
      </w:r>
    </w:p>
    <w:p w14:paraId="688F7A15" w14:textId="77777777" w:rsidR="003F1C4C" w:rsidRPr="00486D70" w:rsidRDefault="003F1C4C" w:rsidP="003F1C4C">
      <w:pPr>
        <w:rPr>
          <w:sz w:val="16"/>
          <w:szCs w:val="16"/>
          <w:lang w:val="en-GB"/>
        </w:rPr>
      </w:pPr>
    </w:p>
    <w:p w14:paraId="634B798D" w14:textId="77777777" w:rsidR="003F1C4C" w:rsidRPr="00486D70" w:rsidRDefault="003F1C4C" w:rsidP="003F1C4C">
      <w:pPr>
        <w:keepNext/>
        <w:keepLines/>
        <w:spacing w:after="120"/>
        <w:ind w:left="2268" w:right="142" w:hanging="1134"/>
        <w:jc w:val="both"/>
        <w:rPr>
          <w:i/>
          <w:sz w:val="22"/>
          <w:szCs w:val="22"/>
          <w:lang w:val="en-US"/>
        </w:rPr>
      </w:pPr>
      <w:r w:rsidRPr="00486D70">
        <w:rPr>
          <w:i/>
          <w:sz w:val="22"/>
          <w:szCs w:val="22"/>
          <w:lang w:val="en-US"/>
        </w:rPr>
        <w:t xml:space="preserve">Renumber following paragraphs accordingly </w:t>
      </w:r>
    </w:p>
    <w:p w14:paraId="4E4C3AE9" w14:textId="77777777" w:rsidR="00805977" w:rsidRDefault="00805977">
      <w:pPr>
        <w:rPr>
          <w:lang w:val="en-US"/>
        </w:rPr>
      </w:pPr>
    </w:p>
    <w:p w14:paraId="46C19B58" w14:textId="77777777" w:rsidR="00F03FBC" w:rsidRDefault="00F03FBC">
      <w:pPr>
        <w:rPr>
          <w:lang w:val="en-US"/>
        </w:rPr>
      </w:pPr>
      <w:r>
        <w:rPr>
          <w:lang w:val="en-US"/>
        </w:rPr>
        <w:br w:type="page"/>
      </w:r>
    </w:p>
    <w:p w14:paraId="426591BF" w14:textId="462CFBB8" w:rsidR="00DE1D1F" w:rsidRDefault="00DE1D1F">
      <w:pPr>
        <w:rPr>
          <w:lang w:val="en-US"/>
        </w:rPr>
      </w:pPr>
      <w:r>
        <w:rPr>
          <w:lang w:val="en-US"/>
        </w:rPr>
        <w:lastRenderedPageBreak/>
        <w:t>JUSTIFICATION</w:t>
      </w:r>
    </w:p>
    <w:p w14:paraId="1098FFAC" w14:textId="77777777" w:rsidR="00805977" w:rsidRDefault="00805977">
      <w:pPr>
        <w:rPr>
          <w:lang w:val="en-US"/>
        </w:rPr>
      </w:pPr>
    </w:p>
    <w:p w14:paraId="779592A4" w14:textId="386A65AD" w:rsidR="00805977" w:rsidRDefault="00027BCB" w:rsidP="00AF01CA">
      <w:pPr>
        <w:jc w:val="both"/>
        <w:rPr>
          <w:lang w:val="en-US"/>
        </w:rPr>
      </w:pPr>
      <w:r>
        <w:rPr>
          <w:lang w:val="en-US"/>
        </w:rPr>
        <w:t xml:space="preserve">The exemption in current par.6.10.4., which states that ESD testing is deemed not necessary, dates back from older times (was par. 6.8.4 in R.10-02). For the </w:t>
      </w:r>
      <w:proofErr w:type="spellStart"/>
      <w:r>
        <w:rPr>
          <w:lang w:val="en-US"/>
        </w:rPr>
        <w:t>convential</w:t>
      </w:r>
      <w:proofErr w:type="spellEnd"/>
      <w:r>
        <w:rPr>
          <w:lang w:val="en-US"/>
        </w:rPr>
        <w:t xml:space="preserve"> vehicles at that time this assumption was probably justified. </w:t>
      </w:r>
    </w:p>
    <w:p w14:paraId="6036479A" w14:textId="0B4E90C3" w:rsidR="00805977" w:rsidRDefault="00027BCB" w:rsidP="00AF01CA">
      <w:pPr>
        <w:jc w:val="both"/>
        <w:rPr>
          <w:lang w:val="en-US"/>
        </w:rPr>
      </w:pPr>
      <w:r>
        <w:rPr>
          <w:lang w:val="en-US"/>
        </w:rPr>
        <w:t>However, technology have evolved over the past decades, leading to the application of more and more electronics, controllers, etc. in modern vehicles. Also electrical vehicles are strongly emerging. We believe that the exemption for ESD is no longer justified.</w:t>
      </w:r>
    </w:p>
    <w:p w14:paraId="0A2D1E9C" w14:textId="5F37AD38" w:rsidR="00F03FBC" w:rsidRDefault="00027BCB" w:rsidP="00AF01CA">
      <w:pPr>
        <w:jc w:val="both"/>
        <w:rPr>
          <w:lang w:val="en-US"/>
        </w:rPr>
      </w:pPr>
      <w:r>
        <w:rPr>
          <w:lang w:val="en-US"/>
        </w:rPr>
        <w:t xml:space="preserve">As an historic analogy: initially </w:t>
      </w:r>
      <w:r w:rsidR="00740495">
        <w:rPr>
          <w:lang w:val="en-US"/>
        </w:rPr>
        <w:t>specifications for testing of radiation</w:t>
      </w:r>
      <w:r>
        <w:rPr>
          <w:lang w:val="en-US"/>
        </w:rPr>
        <w:t xml:space="preserve"> (</w:t>
      </w:r>
      <w:r w:rsidR="00740495">
        <w:rPr>
          <w:lang w:val="en-US"/>
        </w:rPr>
        <w:t>par. 6.2.</w:t>
      </w:r>
      <w:r>
        <w:rPr>
          <w:lang w:val="en-US"/>
        </w:rPr>
        <w:t>)</w:t>
      </w:r>
      <w:r w:rsidR="00740495">
        <w:rPr>
          <w:lang w:val="en-US"/>
        </w:rPr>
        <w:t xml:space="preserve"> were carried out on vehicles with spark ignition. Due to technological development </w:t>
      </w:r>
      <w:r w:rsidR="00FA6DDE">
        <w:rPr>
          <w:lang w:val="en-US"/>
        </w:rPr>
        <w:t>(</w:t>
      </w:r>
      <w:r w:rsidR="00740495">
        <w:rPr>
          <w:lang w:val="en-US"/>
        </w:rPr>
        <w:t>more modern diesel engines</w:t>
      </w:r>
      <w:r w:rsidR="00FA6DDE">
        <w:rPr>
          <w:lang w:val="en-US"/>
        </w:rPr>
        <w:t>)</w:t>
      </w:r>
      <w:r w:rsidR="00740495">
        <w:rPr>
          <w:lang w:val="en-US"/>
        </w:rPr>
        <w:t>, the limitation to vehicles with spark ignition was deleted.</w:t>
      </w:r>
    </w:p>
    <w:p w14:paraId="6AF465D1" w14:textId="01A0B6F5" w:rsidR="002C719C" w:rsidRDefault="002C719C">
      <w:pPr>
        <w:jc w:val="both"/>
        <w:rPr>
          <w:lang w:val="en-US"/>
        </w:rPr>
      </w:pPr>
      <w:r>
        <w:rPr>
          <w:lang w:val="en-US"/>
        </w:rPr>
        <w:t xml:space="preserve">There are many use cases in which ESD could occur. Not only entering/exiting vehicle, but also e.g. during service and maintenance work on an electric vehicle. </w:t>
      </w:r>
      <w:r w:rsidRPr="002C719C">
        <w:rPr>
          <w:lang w:val="en-US"/>
        </w:rPr>
        <w:t>Risk reduction must always be resolved technically first, before moving on to warnings and personal protective equipment</w:t>
      </w:r>
      <w:r>
        <w:rPr>
          <w:lang w:val="en-US"/>
        </w:rPr>
        <w:t>.</w:t>
      </w:r>
    </w:p>
    <w:p w14:paraId="399BD5F5" w14:textId="6E165CD6" w:rsidR="00F03FBC" w:rsidRDefault="00FA6DDE" w:rsidP="00AF01CA">
      <w:pPr>
        <w:jc w:val="both"/>
        <w:rPr>
          <w:lang w:val="en-US"/>
        </w:rPr>
      </w:pPr>
      <w:r>
        <w:rPr>
          <w:lang w:val="en-US"/>
        </w:rPr>
        <w:t xml:space="preserve">In our view ESD testing should be included in R.10 for safety reasons. Not only comfort related systems, but also safety related systems that are electronically controlled, fitted to vehicles are increasing in number. For today’s hardware ESD may not directly be a “chip killer”, </w:t>
      </w:r>
      <w:r w:rsidR="00AC6E93">
        <w:rPr>
          <w:lang w:val="en-US"/>
        </w:rPr>
        <w:t>however,</w:t>
      </w:r>
      <w:r>
        <w:rPr>
          <w:lang w:val="en-US"/>
        </w:rPr>
        <w:t xml:space="preserve"> it can </w:t>
      </w:r>
      <w:r w:rsidR="00AC6E93">
        <w:rPr>
          <w:lang w:val="en-US"/>
        </w:rPr>
        <w:t>certainly</w:t>
      </w:r>
      <w:r>
        <w:rPr>
          <w:lang w:val="en-US"/>
        </w:rPr>
        <w:t xml:space="preserve"> cause a disturbance or malfunction of electronically controlled systems. It mus</w:t>
      </w:r>
      <w:r w:rsidR="00AC6E93">
        <w:rPr>
          <w:lang w:val="en-US"/>
        </w:rPr>
        <w:t>t</w:t>
      </w:r>
      <w:r>
        <w:rPr>
          <w:lang w:val="en-US"/>
        </w:rPr>
        <w:t xml:space="preserve"> be ensured that modern vehicles</w:t>
      </w:r>
      <w:r w:rsidR="00AC6E93">
        <w:rPr>
          <w:lang w:val="en-US"/>
        </w:rPr>
        <w:t xml:space="preserve"> are sufficiently robust in this respect and therefore ESD testing of the vehicle should be included in R.10.</w:t>
      </w:r>
    </w:p>
    <w:p w14:paraId="090F5CFF" w14:textId="22C5D730" w:rsidR="00F03FBC" w:rsidRDefault="00CF69DC" w:rsidP="00AF01CA">
      <w:pPr>
        <w:jc w:val="both"/>
        <w:rPr>
          <w:lang w:val="en-US"/>
        </w:rPr>
      </w:pPr>
      <w:r>
        <w:rPr>
          <w:lang w:val="en-US"/>
        </w:rPr>
        <w:t>As many vehicle manufacturers probably already apply the ISO 10605 standard, therefore the additional burden is deemed minimal.</w:t>
      </w:r>
    </w:p>
    <w:p w14:paraId="7D0DABCE" w14:textId="77777777" w:rsidR="00F03FBC" w:rsidRDefault="00F03FBC" w:rsidP="00AF01CA">
      <w:pPr>
        <w:jc w:val="both"/>
        <w:rPr>
          <w:lang w:val="en-US"/>
        </w:rPr>
      </w:pPr>
    </w:p>
    <w:p w14:paraId="27F1B12E" w14:textId="77777777" w:rsidR="00F03FBC" w:rsidRPr="00E01C7D" w:rsidRDefault="00F03FBC" w:rsidP="00805977">
      <w:pPr>
        <w:rPr>
          <w:lang w:val="en-US"/>
        </w:rPr>
      </w:pPr>
    </w:p>
    <w:sectPr w:rsidR="00F03FBC" w:rsidRPr="00E01C7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182"/>
  <w:proofState w:spelling="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1C7D"/>
    <w:rsid w:val="00027BCB"/>
    <w:rsid w:val="000700BB"/>
    <w:rsid w:val="000F22B0"/>
    <w:rsid w:val="0010230C"/>
    <w:rsid w:val="002A6E04"/>
    <w:rsid w:val="002C21EF"/>
    <w:rsid w:val="002C719C"/>
    <w:rsid w:val="00354089"/>
    <w:rsid w:val="003F1C4C"/>
    <w:rsid w:val="00445C24"/>
    <w:rsid w:val="004527E5"/>
    <w:rsid w:val="005F73F9"/>
    <w:rsid w:val="006236B5"/>
    <w:rsid w:val="006824F9"/>
    <w:rsid w:val="00740495"/>
    <w:rsid w:val="0080441D"/>
    <w:rsid w:val="00805977"/>
    <w:rsid w:val="00952144"/>
    <w:rsid w:val="009D66C6"/>
    <w:rsid w:val="00A65DB6"/>
    <w:rsid w:val="00AC14BE"/>
    <w:rsid w:val="00AC6E93"/>
    <w:rsid w:val="00AD45EA"/>
    <w:rsid w:val="00AF01CA"/>
    <w:rsid w:val="00B13F53"/>
    <w:rsid w:val="00B47E5A"/>
    <w:rsid w:val="00B9329C"/>
    <w:rsid w:val="00BD52BC"/>
    <w:rsid w:val="00C24298"/>
    <w:rsid w:val="00C56D2A"/>
    <w:rsid w:val="00CF69DC"/>
    <w:rsid w:val="00D238B7"/>
    <w:rsid w:val="00D361E9"/>
    <w:rsid w:val="00DE1D1F"/>
    <w:rsid w:val="00E01C7D"/>
    <w:rsid w:val="00EE29A6"/>
    <w:rsid w:val="00F03FBC"/>
    <w:rsid w:val="00FA5F8B"/>
    <w:rsid w:val="00FA6DDE"/>
    <w:rsid w:val="00FD175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2CEF47"/>
  <w15:chartTrackingRefBased/>
  <w15:docId w15:val="{A98253D0-D1E9-40FA-9DFB-548594EBD1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aliases w:val="Table_G,Heading 1*"/>
    <w:basedOn w:val="Standaard"/>
    <w:next w:val="Standaard"/>
    <w:link w:val="Kop1Char"/>
    <w:qFormat/>
    <w:rsid w:val="00E01C7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E01C7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E01C7D"/>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E01C7D"/>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E01C7D"/>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E01C7D"/>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E01C7D"/>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E01C7D"/>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E01C7D"/>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aliases w:val="Table_G Char,Heading 1* Char"/>
    <w:basedOn w:val="Standaardalinea-lettertype"/>
    <w:link w:val="Kop1"/>
    <w:rsid w:val="00E01C7D"/>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E01C7D"/>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E01C7D"/>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E01C7D"/>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E01C7D"/>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E01C7D"/>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E01C7D"/>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E01C7D"/>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E01C7D"/>
    <w:rPr>
      <w:rFonts w:eastAsiaTheme="majorEastAsia" w:cstheme="majorBidi"/>
      <w:color w:val="272727" w:themeColor="text1" w:themeTint="D8"/>
    </w:rPr>
  </w:style>
  <w:style w:type="paragraph" w:styleId="Titel">
    <w:name w:val="Title"/>
    <w:basedOn w:val="Standaard"/>
    <w:next w:val="Standaard"/>
    <w:link w:val="TitelChar"/>
    <w:uiPriority w:val="10"/>
    <w:qFormat/>
    <w:rsid w:val="00E01C7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E01C7D"/>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E01C7D"/>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E01C7D"/>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E01C7D"/>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E01C7D"/>
    <w:rPr>
      <w:i/>
      <w:iCs/>
      <w:color w:val="404040" w:themeColor="text1" w:themeTint="BF"/>
    </w:rPr>
  </w:style>
  <w:style w:type="paragraph" w:styleId="Lijstalinea">
    <w:name w:val="List Paragraph"/>
    <w:basedOn w:val="Standaard"/>
    <w:uiPriority w:val="34"/>
    <w:qFormat/>
    <w:rsid w:val="00E01C7D"/>
    <w:pPr>
      <w:ind w:left="720"/>
      <w:contextualSpacing/>
    </w:pPr>
  </w:style>
  <w:style w:type="character" w:styleId="Intensievebenadrukking">
    <w:name w:val="Intense Emphasis"/>
    <w:basedOn w:val="Standaardalinea-lettertype"/>
    <w:uiPriority w:val="21"/>
    <w:qFormat/>
    <w:rsid w:val="00E01C7D"/>
    <w:rPr>
      <w:i/>
      <w:iCs/>
      <w:color w:val="0F4761" w:themeColor="accent1" w:themeShade="BF"/>
    </w:rPr>
  </w:style>
  <w:style w:type="paragraph" w:styleId="Duidelijkcitaat">
    <w:name w:val="Intense Quote"/>
    <w:basedOn w:val="Standaard"/>
    <w:next w:val="Standaard"/>
    <w:link w:val="DuidelijkcitaatChar"/>
    <w:uiPriority w:val="30"/>
    <w:qFormat/>
    <w:rsid w:val="00E01C7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E01C7D"/>
    <w:rPr>
      <w:i/>
      <w:iCs/>
      <w:color w:val="0F4761" w:themeColor="accent1" w:themeShade="BF"/>
    </w:rPr>
  </w:style>
  <w:style w:type="character" w:styleId="Intensieveverwijzing">
    <w:name w:val="Intense Reference"/>
    <w:basedOn w:val="Standaardalinea-lettertype"/>
    <w:uiPriority w:val="32"/>
    <w:qFormat/>
    <w:rsid w:val="00E01C7D"/>
    <w:rPr>
      <w:b/>
      <w:bCs/>
      <w:smallCaps/>
      <w:color w:val="0F4761" w:themeColor="accent1" w:themeShade="BF"/>
      <w:spacing w:val="5"/>
    </w:rPr>
  </w:style>
  <w:style w:type="paragraph" w:styleId="Revisie">
    <w:name w:val="Revision"/>
    <w:hidden/>
    <w:uiPriority w:val="99"/>
    <w:semiHidden/>
    <w:rsid w:val="00354089"/>
    <w:pPr>
      <w:spacing w:after="0" w:line="240" w:lineRule="auto"/>
    </w:pPr>
  </w:style>
  <w:style w:type="table" w:styleId="Tabelraster">
    <w:name w:val="Table Grid"/>
    <w:basedOn w:val="Standaardtabel"/>
    <w:uiPriority w:val="39"/>
    <w:rsid w:val="00B47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13</TotalTime>
  <Pages>2</Pages>
  <Words>489</Words>
  <Characters>2690</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Rovers, Derwin</dc:creator>
  <cp:keywords/>
  <dc:description/>
  <cp:lastModifiedBy>Rovers, Derwin</cp:lastModifiedBy>
  <cp:revision>6</cp:revision>
  <dcterms:created xsi:type="dcterms:W3CDTF">2025-06-18T14:35:00Z</dcterms:created>
  <dcterms:modified xsi:type="dcterms:W3CDTF">2025-06-18T14:47:00Z</dcterms:modified>
</cp:coreProperties>
</file>