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pPr w:leftFromText="180" w:rightFromText="180" w:horzAnchor="margin" w:tblpY="-8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825"/>
        <w:gridCol w:w="3841"/>
      </w:tblGrid>
      <w:tr w:rsidR="00D82B60" w:rsidTr="00EF2713">
        <w:trPr>
          <w:trHeight w:val="255"/>
        </w:trPr>
        <w:tc>
          <w:tcPr>
            <w:tcW w:w="4594" w:type="dxa"/>
            <w:vMerge w:val="restart"/>
          </w:tcPr>
          <w:p w:rsidR="00D82B60" w:rsidRDefault="00D82B60" w:rsidP="00EF2713">
            <w:pPr>
              <w:tabs>
                <w:tab w:val="left" w:pos="5580"/>
              </w:tabs>
              <w:rPr>
                <w:rFonts w:ascii="Times New Roman" w:eastAsia="Times New Roman" w:hAnsi="Times New Roman" w:cs="Times New Roman"/>
                <w:lang w:eastAsia="hu-HU"/>
              </w:rPr>
            </w:pPr>
          </w:p>
        </w:tc>
        <w:tc>
          <w:tcPr>
            <w:tcW w:w="825" w:type="dxa"/>
            <w:vMerge w:val="restart"/>
          </w:tcPr>
          <w:p w:rsidR="00D82B60" w:rsidRDefault="00D82B60" w:rsidP="00EF2713">
            <w:pPr>
              <w:tabs>
                <w:tab w:val="left" w:pos="5580"/>
              </w:tabs>
              <w:rPr>
                <w:rFonts w:ascii="Times New Roman" w:eastAsia="Times New Roman" w:hAnsi="Times New Roman" w:cs="Times New Roman"/>
                <w:lang w:eastAsia="hu-HU"/>
              </w:rPr>
            </w:pPr>
          </w:p>
        </w:tc>
        <w:tc>
          <w:tcPr>
            <w:tcW w:w="3841" w:type="dxa"/>
          </w:tcPr>
          <w:p w:rsidR="0085364B" w:rsidRDefault="00D82B60" w:rsidP="00EF2713">
            <w:pPr>
              <w:tabs>
                <w:tab w:val="left" w:pos="5580"/>
              </w:tabs>
              <w:spacing w:after="0" w:line="240" w:lineRule="auto"/>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GRE IWG </w:t>
            </w:r>
            <w:r w:rsidRPr="000E3E5E">
              <w:rPr>
                <w:rFonts w:ascii="Times New Roman" w:eastAsia="Times New Roman" w:hAnsi="Times New Roman" w:cs="Times New Roman"/>
                <w:lang w:eastAsia="hu-HU"/>
              </w:rPr>
              <w:t>“Simplification of the UN Lighting and</w:t>
            </w:r>
            <w:r>
              <w:rPr>
                <w:rFonts w:ascii="Times New Roman" w:eastAsia="Times New Roman" w:hAnsi="Times New Roman" w:cs="Times New Roman"/>
                <w:lang w:eastAsia="hu-HU"/>
              </w:rPr>
              <w:t xml:space="preserve"> Light-Signalling Regulations” (SLR)</w:t>
            </w:r>
          </w:p>
        </w:tc>
      </w:tr>
      <w:tr w:rsidR="00D82B60" w:rsidTr="00EF2713">
        <w:trPr>
          <w:trHeight w:val="255"/>
        </w:trPr>
        <w:tc>
          <w:tcPr>
            <w:tcW w:w="4594" w:type="dxa"/>
            <w:vMerge/>
          </w:tcPr>
          <w:p w:rsidR="00D82B60" w:rsidRDefault="00D82B60" w:rsidP="00EF2713">
            <w:pPr>
              <w:tabs>
                <w:tab w:val="left" w:pos="5580"/>
              </w:tabs>
              <w:rPr>
                <w:rFonts w:ascii="Times New Roman" w:eastAsia="Times New Roman" w:hAnsi="Times New Roman" w:cs="Times New Roman"/>
                <w:lang w:eastAsia="hu-HU"/>
              </w:rPr>
            </w:pPr>
          </w:p>
        </w:tc>
        <w:tc>
          <w:tcPr>
            <w:tcW w:w="825" w:type="dxa"/>
            <w:vMerge/>
          </w:tcPr>
          <w:p w:rsidR="00D82B60" w:rsidRDefault="00D82B60" w:rsidP="00EF2713">
            <w:pPr>
              <w:tabs>
                <w:tab w:val="left" w:pos="5580"/>
              </w:tabs>
              <w:rPr>
                <w:rFonts w:ascii="Times New Roman" w:eastAsia="Times New Roman" w:hAnsi="Times New Roman" w:cs="Times New Roman"/>
                <w:lang w:eastAsia="hu-HU"/>
              </w:rPr>
            </w:pPr>
          </w:p>
        </w:tc>
        <w:tc>
          <w:tcPr>
            <w:tcW w:w="3841" w:type="dxa"/>
          </w:tcPr>
          <w:p w:rsidR="0085364B" w:rsidRPr="00345FBB" w:rsidRDefault="00D82B60" w:rsidP="00EF2713">
            <w:pPr>
              <w:tabs>
                <w:tab w:val="left" w:pos="5580"/>
              </w:tabs>
              <w:spacing w:after="0" w:line="240" w:lineRule="auto"/>
              <w:rPr>
                <w:rFonts w:ascii="Times New Roman" w:eastAsia="Times New Roman" w:hAnsi="Times New Roman" w:cs="Times New Roman"/>
                <w:b/>
                <w:lang w:eastAsia="hu-HU"/>
              </w:rPr>
            </w:pPr>
            <w:r w:rsidRPr="000E3E5E">
              <w:rPr>
                <w:rFonts w:ascii="Times New Roman" w:eastAsia="Times New Roman" w:hAnsi="Times New Roman" w:cs="Times New Roman"/>
                <w:lang w:eastAsia="hu-HU"/>
              </w:rPr>
              <w:t xml:space="preserve">Document: </w:t>
            </w:r>
            <w:r w:rsidRPr="00345FBB">
              <w:rPr>
                <w:rFonts w:ascii="Times New Roman" w:eastAsia="Times New Roman" w:hAnsi="Times New Roman" w:cs="Times New Roman"/>
                <w:b/>
                <w:lang w:eastAsia="hu-HU"/>
              </w:rPr>
              <w:t>SLR-</w:t>
            </w:r>
            <w:r w:rsidR="000A3788" w:rsidRPr="00345FBB">
              <w:rPr>
                <w:rFonts w:ascii="Times New Roman" w:eastAsia="Times New Roman" w:hAnsi="Times New Roman" w:cs="Times New Roman"/>
                <w:b/>
                <w:lang w:eastAsia="hu-HU"/>
              </w:rPr>
              <w:t>07</w:t>
            </w:r>
            <w:r w:rsidR="006A48B7" w:rsidRPr="00345FBB">
              <w:rPr>
                <w:rFonts w:ascii="Times New Roman" w:eastAsia="Times New Roman" w:hAnsi="Times New Roman" w:cs="Times New Roman"/>
                <w:b/>
                <w:lang w:eastAsia="hu-HU"/>
              </w:rPr>
              <w:t>-</w:t>
            </w:r>
            <w:r w:rsidR="000A3788" w:rsidRPr="00345FBB">
              <w:rPr>
                <w:rFonts w:ascii="Times New Roman" w:eastAsia="Times New Roman" w:hAnsi="Times New Roman" w:cs="Times New Roman"/>
                <w:b/>
                <w:lang w:eastAsia="hu-HU"/>
              </w:rPr>
              <w:t>02</w:t>
            </w:r>
            <w:r w:rsidR="0085364B" w:rsidRPr="00345FBB">
              <w:rPr>
                <w:rFonts w:ascii="Times New Roman" w:eastAsia="Times New Roman" w:hAnsi="Times New Roman" w:cs="Times New Roman"/>
                <w:b/>
                <w:lang w:eastAsia="hu-HU"/>
              </w:rPr>
              <w:t xml:space="preserve"> </w:t>
            </w:r>
          </w:p>
          <w:p w:rsidR="00D82B60" w:rsidRDefault="0085364B" w:rsidP="00EF2713">
            <w:pPr>
              <w:tabs>
                <w:tab w:val="left" w:pos="5580"/>
              </w:tabs>
              <w:spacing w:after="0" w:line="240" w:lineRule="auto"/>
              <w:rPr>
                <w:rFonts w:ascii="Times New Roman" w:eastAsia="Times New Roman" w:hAnsi="Times New Roman" w:cs="Times New Roman"/>
                <w:lang w:eastAsia="hu-HU"/>
              </w:rPr>
            </w:pPr>
            <w:r>
              <w:rPr>
                <w:rFonts w:ascii="Times New Roman" w:eastAsia="Times New Roman" w:hAnsi="Times New Roman" w:cs="Times New Roman"/>
                <w:lang w:eastAsia="hu-HU"/>
              </w:rPr>
              <w:t>Date:</w:t>
            </w:r>
            <w:r w:rsidRPr="000E3E5E">
              <w:rPr>
                <w:rFonts w:ascii="Times New Roman" w:eastAsia="Times New Roman" w:hAnsi="Times New Roman" w:cs="Times New Roman"/>
                <w:lang w:eastAsia="hu-HU"/>
              </w:rPr>
              <w:t xml:space="preserve"> </w:t>
            </w:r>
            <w:r>
              <w:rPr>
                <w:rFonts w:ascii="Times New Roman" w:eastAsia="Times New Roman" w:hAnsi="Times New Roman" w:cs="Times New Roman"/>
                <w:lang w:eastAsia="hu-HU"/>
              </w:rPr>
              <w:t>2015-</w:t>
            </w:r>
            <w:r w:rsidR="000A3788">
              <w:rPr>
                <w:rFonts w:ascii="Times New Roman" w:eastAsia="Times New Roman" w:hAnsi="Times New Roman" w:cs="Times New Roman"/>
                <w:lang w:eastAsia="hu-HU"/>
              </w:rPr>
              <w:t>12</w:t>
            </w:r>
            <w:r>
              <w:rPr>
                <w:rFonts w:ascii="Times New Roman" w:eastAsia="Times New Roman" w:hAnsi="Times New Roman" w:cs="Times New Roman"/>
                <w:lang w:eastAsia="hu-HU"/>
              </w:rPr>
              <w:t>-</w:t>
            </w:r>
            <w:r w:rsidR="000A3788">
              <w:rPr>
                <w:rFonts w:ascii="Times New Roman" w:eastAsia="Times New Roman" w:hAnsi="Times New Roman" w:cs="Times New Roman"/>
                <w:lang w:eastAsia="hu-HU"/>
              </w:rPr>
              <w:t>04</w:t>
            </w:r>
            <w:bookmarkStart w:id="0" w:name="_GoBack"/>
            <w:bookmarkEnd w:id="0"/>
          </w:p>
          <w:p w:rsidR="0085364B" w:rsidRPr="000E3E5E" w:rsidRDefault="0085364B" w:rsidP="00EF2713">
            <w:pPr>
              <w:tabs>
                <w:tab w:val="left" w:pos="5580"/>
              </w:tabs>
              <w:spacing w:after="0" w:line="240" w:lineRule="auto"/>
              <w:rPr>
                <w:rFonts w:ascii="Times New Roman" w:eastAsia="Times New Roman" w:hAnsi="Times New Roman" w:cs="Times New Roman"/>
                <w:lang w:eastAsia="hu-HU"/>
              </w:rPr>
            </w:pPr>
          </w:p>
        </w:tc>
      </w:tr>
    </w:tbl>
    <w:p w:rsidR="00411269" w:rsidRDefault="006A48B7" w:rsidP="00E71C4A">
      <w:pPr>
        <w:spacing w:after="0" w:line="240" w:lineRule="auto"/>
        <w:jc w:val="center"/>
        <w:rPr>
          <w:rFonts w:ascii="Times New Roman" w:hAnsi="Times New Roman" w:cs="Times New Roman"/>
          <w:b/>
          <w:sz w:val="28"/>
          <w:szCs w:val="28"/>
          <w:lang w:eastAsia="ja-JP"/>
        </w:rPr>
      </w:pPr>
      <w:r>
        <w:rPr>
          <w:rFonts w:ascii="Times New Roman" w:hAnsi="Times New Roman" w:cs="Times New Roman"/>
          <w:b/>
          <w:sz w:val="28"/>
          <w:szCs w:val="28"/>
          <w:lang w:eastAsia="ja-JP"/>
        </w:rPr>
        <w:t>Guidance from the IWG-SLR Chairman after WP</w:t>
      </w:r>
      <w:r w:rsidR="000A3788">
        <w:rPr>
          <w:rFonts w:ascii="Times New Roman" w:hAnsi="Times New Roman" w:cs="Times New Roman"/>
          <w:b/>
          <w:sz w:val="28"/>
          <w:szCs w:val="28"/>
          <w:lang w:eastAsia="ja-JP"/>
        </w:rPr>
        <w:t>.</w:t>
      </w:r>
      <w:r>
        <w:rPr>
          <w:rFonts w:ascii="Times New Roman" w:hAnsi="Times New Roman" w:cs="Times New Roman"/>
          <w:b/>
          <w:sz w:val="28"/>
          <w:szCs w:val="28"/>
          <w:lang w:eastAsia="ja-JP"/>
        </w:rPr>
        <w:t>29-167</w:t>
      </w:r>
    </w:p>
    <w:p w:rsidR="006A48B7" w:rsidRPr="00635997" w:rsidRDefault="006A48B7" w:rsidP="006A48B7">
      <w:pPr>
        <w:spacing w:after="0" w:line="240" w:lineRule="auto"/>
        <w:rPr>
          <w:rFonts w:ascii="Times New Roman" w:hAnsi="Times New Roman" w:cs="Times New Roman"/>
          <w:b/>
          <w:sz w:val="28"/>
          <w:szCs w:val="28"/>
          <w:lang w:eastAsia="ja-JP"/>
        </w:rPr>
      </w:pPr>
    </w:p>
    <w:p w:rsidR="007E5E5F" w:rsidRPr="007E5E5F" w:rsidRDefault="007E5E5F" w:rsidP="007E5E5F">
      <w:pPr>
        <w:spacing w:after="120" w:line="240" w:lineRule="atLeast"/>
        <w:ind w:right="-28"/>
        <w:jc w:val="both"/>
        <w:rPr>
          <w:rFonts w:ascii="Times New Roman" w:hAnsi="Times New Roman" w:cs="Times New Roman"/>
          <w:b/>
        </w:rPr>
      </w:pPr>
      <w:r w:rsidRPr="007E5E5F">
        <w:rPr>
          <w:rFonts w:ascii="Times New Roman" w:hAnsi="Times New Roman" w:cs="Times New Roman"/>
          <w:b/>
        </w:rPr>
        <w:t>The IWG-SLR Approach to Simplification</w:t>
      </w:r>
    </w:p>
    <w:p w:rsidR="007E5E5F" w:rsidRPr="00AA5FAC" w:rsidRDefault="007E5E5F" w:rsidP="007E5E5F">
      <w:pPr>
        <w:spacing w:after="120" w:line="240" w:lineRule="atLeast"/>
        <w:ind w:right="-28"/>
        <w:jc w:val="both"/>
        <w:rPr>
          <w:rFonts w:ascii="Times New Roman" w:hAnsi="Times New Roman" w:cs="Times New Roman"/>
          <w:sz w:val="22"/>
          <w:szCs w:val="22"/>
        </w:rPr>
      </w:pPr>
      <w:r w:rsidRPr="00AA5FAC">
        <w:rPr>
          <w:rFonts w:ascii="Times New Roman" w:hAnsi="Times New Roman" w:cs="Times New Roman"/>
          <w:sz w:val="22"/>
          <w:szCs w:val="22"/>
        </w:rPr>
        <w:t xml:space="preserve">To </w:t>
      </w:r>
      <w:r w:rsidR="00B000FE">
        <w:rPr>
          <w:rFonts w:ascii="Times New Roman" w:hAnsi="Times New Roman" w:cs="Times New Roman"/>
          <w:sz w:val="22"/>
          <w:szCs w:val="22"/>
        </w:rPr>
        <w:t>provide</w:t>
      </w:r>
      <w:r w:rsidRPr="00AA5FAC">
        <w:rPr>
          <w:rFonts w:ascii="Times New Roman" w:hAnsi="Times New Roman" w:cs="Times New Roman"/>
          <w:sz w:val="22"/>
          <w:szCs w:val="22"/>
        </w:rPr>
        <w:t xml:space="preserve"> a clear </w:t>
      </w:r>
      <w:r w:rsidR="00B000FE">
        <w:rPr>
          <w:rFonts w:ascii="Times New Roman" w:hAnsi="Times New Roman" w:cs="Times New Roman"/>
          <w:sz w:val="22"/>
          <w:szCs w:val="22"/>
        </w:rPr>
        <w:t xml:space="preserve">and stable </w:t>
      </w:r>
      <w:r w:rsidRPr="00AA5FAC">
        <w:rPr>
          <w:rFonts w:ascii="Times New Roman" w:hAnsi="Times New Roman" w:cs="Times New Roman"/>
          <w:sz w:val="22"/>
          <w:szCs w:val="22"/>
        </w:rPr>
        <w:t xml:space="preserve">regulatory status the creation of three new regulations (for Front Lighting, Signalling and Retro-reflective devices), along with the alignment of the collective provisions </w:t>
      </w:r>
      <w:r w:rsidR="00B000FE">
        <w:rPr>
          <w:rFonts w:ascii="Times New Roman" w:hAnsi="Times New Roman" w:cs="Times New Roman"/>
          <w:sz w:val="22"/>
          <w:szCs w:val="22"/>
        </w:rPr>
        <w:t xml:space="preserve">across </w:t>
      </w:r>
      <w:r w:rsidRPr="00AA5FAC">
        <w:rPr>
          <w:rFonts w:ascii="Times New Roman" w:hAnsi="Times New Roman" w:cs="Times New Roman"/>
          <w:sz w:val="22"/>
          <w:szCs w:val="22"/>
        </w:rPr>
        <w:t>the three regulations, is the only solution.</w:t>
      </w:r>
      <w:r>
        <w:rPr>
          <w:rFonts w:ascii="Times New Roman" w:hAnsi="Times New Roman" w:cs="Times New Roman"/>
          <w:sz w:val="22"/>
          <w:szCs w:val="22"/>
        </w:rPr>
        <w:t xml:space="preserve"> </w:t>
      </w:r>
      <w:r w:rsidRPr="00AA5FAC">
        <w:rPr>
          <w:rFonts w:ascii="Times New Roman" w:hAnsi="Times New Roman" w:cs="Times New Roman"/>
          <w:sz w:val="22"/>
          <w:szCs w:val="22"/>
        </w:rPr>
        <w:t>With this approach the existing individual regulations will be “frozen” as well as their associated type approvals already granted.</w:t>
      </w:r>
    </w:p>
    <w:p w:rsidR="007E5E5F" w:rsidRPr="00AA5FAC" w:rsidRDefault="007E5E5F" w:rsidP="007E5E5F">
      <w:pPr>
        <w:spacing w:after="120" w:line="240" w:lineRule="atLeast"/>
        <w:ind w:right="-28"/>
        <w:jc w:val="both"/>
        <w:rPr>
          <w:rFonts w:ascii="Times New Roman" w:hAnsi="Times New Roman" w:cs="Times New Roman"/>
          <w:sz w:val="22"/>
          <w:szCs w:val="22"/>
        </w:rPr>
      </w:pPr>
      <w:r>
        <w:rPr>
          <w:rFonts w:ascii="Times New Roman" w:hAnsi="Times New Roman" w:cs="Times New Roman"/>
          <w:sz w:val="22"/>
          <w:szCs w:val="22"/>
        </w:rPr>
        <w:t xml:space="preserve">This </w:t>
      </w:r>
      <w:r w:rsidR="00B45ED6">
        <w:rPr>
          <w:rFonts w:ascii="Times New Roman" w:hAnsi="Times New Roman" w:cs="Times New Roman"/>
          <w:sz w:val="22"/>
          <w:szCs w:val="22"/>
        </w:rPr>
        <w:t>approach</w:t>
      </w:r>
      <w:r w:rsidRPr="00AA5FAC">
        <w:rPr>
          <w:rFonts w:ascii="Times New Roman" w:hAnsi="Times New Roman" w:cs="Times New Roman"/>
          <w:sz w:val="22"/>
          <w:szCs w:val="22"/>
        </w:rPr>
        <w:t xml:space="preserve"> shall be the basis for the work of the next sessions of IWG-SLR. All experts contributing to the drafting activity are invited to focus their efforts on the goal of producing the three new regulations, described above, as a matter of high priority. The outcome will overcome the problem of collective amendments and provide GRE and WP29 with an excellent basis for introduction of new technologies into the regulations with a minimum of administrative burden.</w:t>
      </w:r>
    </w:p>
    <w:p w:rsidR="007E5E5F" w:rsidRDefault="007E5E5F" w:rsidP="0085364B">
      <w:pPr>
        <w:spacing w:after="0" w:line="240" w:lineRule="auto"/>
        <w:ind w:right="-28"/>
        <w:jc w:val="both"/>
        <w:rPr>
          <w:rFonts w:ascii="Times New Roman" w:hAnsi="Times New Roman" w:cs="Times New Roman"/>
          <w:sz w:val="22"/>
          <w:szCs w:val="22"/>
          <w:lang w:eastAsia="ja-JP"/>
        </w:rPr>
      </w:pPr>
    </w:p>
    <w:p w:rsidR="007E5E5F" w:rsidRPr="007E5E5F" w:rsidRDefault="007E5E5F" w:rsidP="0085364B">
      <w:pPr>
        <w:spacing w:after="0" w:line="240" w:lineRule="auto"/>
        <w:ind w:right="-28"/>
        <w:jc w:val="both"/>
        <w:rPr>
          <w:rFonts w:ascii="Times New Roman" w:hAnsi="Times New Roman" w:cs="Times New Roman"/>
          <w:b/>
          <w:lang w:eastAsia="ja-JP"/>
        </w:rPr>
      </w:pPr>
      <w:r w:rsidRPr="007E5E5F">
        <w:rPr>
          <w:rFonts w:ascii="Times New Roman" w:hAnsi="Times New Roman" w:cs="Times New Roman"/>
          <w:b/>
          <w:lang w:eastAsia="ja-JP"/>
        </w:rPr>
        <w:t>Rationale</w:t>
      </w:r>
    </w:p>
    <w:p w:rsidR="007E5E5F" w:rsidRDefault="007E5E5F" w:rsidP="0085364B">
      <w:pPr>
        <w:spacing w:after="0" w:line="240" w:lineRule="auto"/>
        <w:ind w:right="-28"/>
        <w:jc w:val="both"/>
        <w:rPr>
          <w:rFonts w:ascii="Times New Roman" w:hAnsi="Times New Roman" w:cs="Times New Roman"/>
          <w:sz w:val="22"/>
          <w:szCs w:val="22"/>
          <w:lang w:eastAsia="ja-JP"/>
        </w:rPr>
      </w:pPr>
    </w:p>
    <w:p w:rsidR="00411269" w:rsidRDefault="006A48B7" w:rsidP="0085364B">
      <w:pPr>
        <w:spacing w:after="0" w:line="240" w:lineRule="auto"/>
        <w:ind w:right="-28"/>
        <w:jc w:val="both"/>
        <w:rPr>
          <w:rFonts w:ascii="Times New Roman" w:hAnsi="Times New Roman" w:cs="Times New Roman"/>
          <w:sz w:val="22"/>
          <w:szCs w:val="22"/>
          <w:lang w:eastAsia="ja-JP"/>
        </w:rPr>
      </w:pPr>
      <w:r w:rsidRPr="00F75776">
        <w:rPr>
          <w:rFonts w:ascii="Times New Roman" w:hAnsi="Times New Roman" w:cs="Times New Roman"/>
          <w:sz w:val="22"/>
          <w:szCs w:val="22"/>
          <w:lang w:eastAsia="ja-JP"/>
        </w:rPr>
        <w:t>Having taken into account the re</w:t>
      </w:r>
      <w:r w:rsidR="0085364B">
        <w:rPr>
          <w:rFonts w:ascii="Times New Roman" w:hAnsi="Times New Roman" w:cs="Times New Roman"/>
          <w:sz w:val="22"/>
          <w:szCs w:val="22"/>
          <w:lang w:eastAsia="ja-JP"/>
        </w:rPr>
        <w:t xml:space="preserve">sults of the work </w:t>
      </w:r>
      <w:r w:rsidR="008840B2">
        <w:rPr>
          <w:rFonts w:ascii="Times New Roman" w:hAnsi="Times New Roman" w:cs="Times New Roman"/>
          <w:sz w:val="22"/>
          <w:szCs w:val="22"/>
          <w:lang w:eastAsia="ja-JP"/>
        </w:rPr>
        <w:t xml:space="preserve">already </w:t>
      </w:r>
      <w:r w:rsidRPr="00F75776">
        <w:rPr>
          <w:rFonts w:ascii="Times New Roman" w:hAnsi="Times New Roman" w:cs="Times New Roman"/>
          <w:sz w:val="22"/>
          <w:szCs w:val="22"/>
          <w:lang w:eastAsia="ja-JP"/>
        </w:rPr>
        <w:t>carried out by the IWG-SLR</w:t>
      </w:r>
      <w:r w:rsidR="00C80466">
        <w:rPr>
          <w:rFonts w:ascii="Times New Roman" w:hAnsi="Times New Roman" w:cs="Times New Roman"/>
          <w:sz w:val="22"/>
          <w:szCs w:val="22"/>
          <w:lang w:eastAsia="ja-JP"/>
        </w:rPr>
        <w:t>,</w:t>
      </w:r>
      <w:r w:rsidRPr="00F75776">
        <w:rPr>
          <w:rFonts w:ascii="Times New Roman" w:hAnsi="Times New Roman" w:cs="Times New Roman"/>
          <w:sz w:val="22"/>
          <w:szCs w:val="22"/>
          <w:lang w:eastAsia="ja-JP"/>
        </w:rPr>
        <w:t xml:space="preserve"> the discussions during the </w:t>
      </w:r>
      <w:r w:rsidR="00E82A5D">
        <w:rPr>
          <w:rFonts w:ascii="Times New Roman" w:hAnsi="Times New Roman" w:cs="Times New Roman"/>
          <w:sz w:val="22"/>
          <w:szCs w:val="22"/>
          <w:lang w:eastAsia="ja-JP"/>
        </w:rPr>
        <w:t>73</w:t>
      </w:r>
      <w:r w:rsidR="00E82A5D" w:rsidRPr="00E82A5D">
        <w:rPr>
          <w:rFonts w:ascii="Times New Roman" w:hAnsi="Times New Roman" w:cs="Times New Roman"/>
          <w:sz w:val="22"/>
          <w:szCs w:val="22"/>
          <w:vertAlign w:val="superscript"/>
          <w:lang w:eastAsia="ja-JP"/>
        </w:rPr>
        <w:t>rd</w:t>
      </w:r>
      <w:r w:rsidR="00E82A5D">
        <w:rPr>
          <w:rFonts w:ascii="Times New Roman" w:hAnsi="Times New Roman" w:cs="Times New Roman"/>
          <w:sz w:val="22"/>
          <w:szCs w:val="22"/>
          <w:lang w:eastAsia="ja-JP"/>
        </w:rPr>
        <w:t xml:space="preserve"> and 74</w:t>
      </w:r>
      <w:r w:rsidR="00E82A5D" w:rsidRPr="00E82A5D">
        <w:rPr>
          <w:rFonts w:ascii="Times New Roman" w:hAnsi="Times New Roman" w:cs="Times New Roman"/>
          <w:sz w:val="22"/>
          <w:szCs w:val="22"/>
          <w:vertAlign w:val="superscript"/>
          <w:lang w:eastAsia="ja-JP"/>
        </w:rPr>
        <w:t>th</w:t>
      </w:r>
      <w:r w:rsidR="00E82A5D">
        <w:rPr>
          <w:rFonts w:ascii="Times New Roman" w:hAnsi="Times New Roman" w:cs="Times New Roman"/>
          <w:sz w:val="22"/>
          <w:szCs w:val="22"/>
          <w:lang w:eastAsia="ja-JP"/>
        </w:rPr>
        <w:t xml:space="preserve"> sessions of GRE and the 167th</w:t>
      </w:r>
      <w:r w:rsidRPr="00F75776">
        <w:rPr>
          <w:rFonts w:ascii="Times New Roman" w:hAnsi="Times New Roman" w:cs="Times New Roman"/>
          <w:sz w:val="22"/>
          <w:szCs w:val="22"/>
          <w:lang w:eastAsia="ja-JP"/>
        </w:rPr>
        <w:t xml:space="preserve"> session of WP29</w:t>
      </w:r>
      <w:r w:rsidR="00C80466">
        <w:rPr>
          <w:rFonts w:ascii="Times New Roman" w:hAnsi="Times New Roman" w:cs="Times New Roman"/>
          <w:sz w:val="22"/>
          <w:szCs w:val="22"/>
          <w:lang w:eastAsia="ja-JP"/>
        </w:rPr>
        <w:t>,</w:t>
      </w:r>
      <w:r w:rsidRPr="00F75776">
        <w:rPr>
          <w:rFonts w:ascii="Times New Roman" w:hAnsi="Times New Roman" w:cs="Times New Roman"/>
          <w:sz w:val="22"/>
          <w:szCs w:val="22"/>
          <w:lang w:eastAsia="ja-JP"/>
        </w:rPr>
        <w:t xml:space="preserve"> the following conclusions</w:t>
      </w:r>
      <w:r w:rsidR="00EB79D4">
        <w:rPr>
          <w:rFonts w:ascii="Times New Roman" w:hAnsi="Times New Roman" w:cs="Times New Roman"/>
          <w:sz w:val="22"/>
          <w:szCs w:val="22"/>
          <w:lang w:eastAsia="ja-JP"/>
        </w:rPr>
        <w:t xml:space="preserve"> have been reached</w:t>
      </w:r>
      <w:r w:rsidRPr="00F75776">
        <w:rPr>
          <w:rFonts w:ascii="Times New Roman" w:hAnsi="Times New Roman" w:cs="Times New Roman"/>
          <w:sz w:val="22"/>
          <w:szCs w:val="22"/>
          <w:lang w:eastAsia="ja-JP"/>
        </w:rPr>
        <w:t>:</w:t>
      </w:r>
    </w:p>
    <w:p w:rsidR="00E82A5D" w:rsidRPr="00F75776" w:rsidRDefault="00E82A5D" w:rsidP="0085364B">
      <w:pPr>
        <w:spacing w:after="0" w:line="240" w:lineRule="auto"/>
        <w:ind w:right="-28"/>
        <w:jc w:val="both"/>
        <w:rPr>
          <w:rFonts w:ascii="Times New Roman" w:hAnsi="Times New Roman" w:cs="Times New Roman"/>
          <w:sz w:val="22"/>
          <w:szCs w:val="22"/>
          <w:lang w:eastAsia="ja-JP"/>
        </w:rPr>
      </w:pPr>
    </w:p>
    <w:p w:rsidR="008B1E59" w:rsidRPr="00A87BB5" w:rsidRDefault="008B1E59" w:rsidP="0085364B">
      <w:pPr>
        <w:pStyle w:val="Paragrafoelenco"/>
        <w:numPr>
          <w:ilvl w:val="0"/>
          <w:numId w:val="8"/>
        </w:numPr>
        <w:spacing w:after="120" w:line="240" w:lineRule="atLeast"/>
        <w:ind w:right="-28"/>
        <w:contextualSpacing w:val="0"/>
        <w:jc w:val="both"/>
        <w:rPr>
          <w:rFonts w:ascii="Times New Roman" w:hAnsi="Times New Roman" w:cs="Times New Roman"/>
          <w:b/>
          <w:sz w:val="22"/>
          <w:szCs w:val="22"/>
          <w:lang w:eastAsia="ja-JP"/>
        </w:rPr>
      </w:pPr>
      <w:r w:rsidRPr="00A87BB5">
        <w:rPr>
          <w:rFonts w:ascii="Times New Roman" w:hAnsi="Times New Roman" w:cs="Times New Roman"/>
          <w:b/>
          <w:sz w:val="22"/>
          <w:szCs w:val="22"/>
          <w:lang w:eastAsia="ja-JP"/>
        </w:rPr>
        <w:t xml:space="preserve">The use of </w:t>
      </w:r>
      <w:r w:rsidR="00825116" w:rsidRPr="00A87BB5">
        <w:rPr>
          <w:rFonts w:ascii="Times New Roman" w:hAnsi="Times New Roman" w:cs="Times New Roman"/>
          <w:b/>
          <w:sz w:val="22"/>
          <w:szCs w:val="22"/>
          <w:lang w:eastAsia="ja-JP"/>
        </w:rPr>
        <w:t xml:space="preserve">a part “B” in </w:t>
      </w:r>
      <w:r w:rsidRPr="00A87BB5">
        <w:rPr>
          <w:rFonts w:ascii="Times New Roman" w:hAnsi="Times New Roman" w:cs="Times New Roman"/>
          <w:b/>
          <w:sz w:val="22"/>
          <w:szCs w:val="22"/>
          <w:lang w:eastAsia="ja-JP"/>
        </w:rPr>
        <w:t xml:space="preserve">Regulation 48 as the placeholder for a horizontal reference for the common provisions of the individual regulations </w:t>
      </w:r>
      <w:r w:rsidR="00A87BB5" w:rsidRPr="00A87BB5">
        <w:rPr>
          <w:rFonts w:ascii="Times New Roman" w:hAnsi="Times New Roman" w:cs="Times New Roman"/>
          <w:b/>
          <w:sz w:val="22"/>
          <w:szCs w:val="22"/>
          <w:lang w:eastAsia="ja-JP"/>
        </w:rPr>
        <w:t>is</w:t>
      </w:r>
      <w:r w:rsidRPr="00A87BB5">
        <w:rPr>
          <w:rFonts w:ascii="Times New Roman" w:hAnsi="Times New Roman" w:cs="Times New Roman"/>
          <w:b/>
          <w:sz w:val="22"/>
          <w:szCs w:val="22"/>
          <w:lang w:eastAsia="ja-JP"/>
        </w:rPr>
        <w:t xml:space="preserve"> not considered to be a feasible solution following the advice of OLA and the experts of GRE.</w:t>
      </w:r>
    </w:p>
    <w:p w:rsidR="00825116" w:rsidRPr="00A87BB5" w:rsidRDefault="00825116" w:rsidP="00B45ED6">
      <w:pPr>
        <w:pStyle w:val="Paragrafoelenco"/>
        <w:spacing w:after="120" w:line="240" w:lineRule="atLeast"/>
        <w:ind w:left="1134" w:right="-28"/>
        <w:contextualSpacing w:val="0"/>
        <w:jc w:val="both"/>
        <w:rPr>
          <w:rFonts w:ascii="Times New Roman" w:hAnsi="Times New Roman" w:cs="Times New Roman"/>
          <w:i/>
          <w:sz w:val="22"/>
          <w:szCs w:val="22"/>
          <w:lang w:eastAsia="ja-JP"/>
        </w:rPr>
      </w:pPr>
      <w:r w:rsidRPr="00A87BB5">
        <w:rPr>
          <w:rFonts w:ascii="Times New Roman" w:hAnsi="Times New Roman" w:cs="Times New Roman"/>
          <w:i/>
          <w:sz w:val="22"/>
          <w:szCs w:val="22"/>
          <w:lang w:eastAsia="ja-JP"/>
        </w:rPr>
        <w:t>OLA had pointed out that using a new part B of Regulation No. 48 as a horizontal reference document</w:t>
      </w:r>
      <w:r w:rsidR="00B45ED6">
        <w:rPr>
          <w:rFonts w:ascii="Times New Roman" w:hAnsi="Times New Roman" w:cs="Times New Roman"/>
          <w:i/>
          <w:sz w:val="22"/>
          <w:szCs w:val="22"/>
          <w:lang w:eastAsia="ja-JP"/>
        </w:rPr>
        <w:t xml:space="preserve"> (HRD)</w:t>
      </w:r>
      <w:r w:rsidRPr="00A87BB5">
        <w:rPr>
          <w:rFonts w:ascii="Times New Roman" w:hAnsi="Times New Roman" w:cs="Times New Roman"/>
          <w:i/>
          <w:sz w:val="22"/>
          <w:szCs w:val="22"/>
          <w:lang w:eastAsia="ja-JP"/>
        </w:rPr>
        <w:t xml:space="preserve"> would contradict the terms of the 1958 Agreement. There are Contracting Parties applying individual device Regulations, but not applying R48. If so, such Contracting Parties would neither have the opportunity to vote on amendments to part B of R48 nor the possibility to reject their application. In other words, such Contracting Parties would be excluded from the decision-making process for some legal provisions they are bound to. On the other hand, Contracting Parties applying R48, but not device Regulations, would nevertheless be able to vote on or object to amendments to the common provisions of these Regulations contained in part B of R48.</w:t>
      </w:r>
    </w:p>
    <w:p w:rsidR="00A87BB5" w:rsidRDefault="006A48B7" w:rsidP="00A87BB5">
      <w:pPr>
        <w:pStyle w:val="Paragrafoelenco"/>
        <w:numPr>
          <w:ilvl w:val="0"/>
          <w:numId w:val="8"/>
        </w:numPr>
        <w:spacing w:after="120" w:line="240" w:lineRule="atLeast"/>
        <w:ind w:right="-28"/>
        <w:contextualSpacing w:val="0"/>
        <w:jc w:val="both"/>
        <w:rPr>
          <w:rFonts w:ascii="Times New Roman" w:hAnsi="Times New Roman" w:cs="Times New Roman"/>
          <w:sz w:val="22"/>
          <w:szCs w:val="22"/>
          <w:lang w:eastAsia="ja-JP"/>
        </w:rPr>
      </w:pPr>
      <w:r w:rsidRPr="00A87BB5">
        <w:rPr>
          <w:rFonts w:ascii="Times New Roman" w:hAnsi="Times New Roman" w:cs="Times New Roman"/>
          <w:b/>
          <w:sz w:val="22"/>
          <w:szCs w:val="22"/>
          <w:lang w:eastAsia="ja-JP"/>
        </w:rPr>
        <w:t xml:space="preserve">The </w:t>
      </w:r>
      <w:r w:rsidR="00F908E1">
        <w:rPr>
          <w:rFonts w:ascii="Times New Roman" w:hAnsi="Times New Roman" w:cs="Times New Roman"/>
          <w:b/>
          <w:sz w:val="22"/>
          <w:szCs w:val="22"/>
          <w:lang w:eastAsia="ja-JP"/>
        </w:rPr>
        <w:t>approach to introduce</w:t>
      </w:r>
      <w:r w:rsidRPr="00A87BB5">
        <w:rPr>
          <w:rFonts w:ascii="Times New Roman" w:hAnsi="Times New Roman" w:cs="Times New Roman"/>
          <w:b/>
          <w:sz w:val="22"/>
          <w:szCs w:val="22"/>
          <w:lang w:eastAsia="ja-JP"/>
        </w:rPr>
        <w:t xml:space="preserve"> a resolution as the place-holder for common provisions is not feasi</w:t>
      </w:r>
      <w:r w:rsidR="00F75776" w:rsidRPr="00A87BB5">
        <w:rPr>
          <w:rFonts w:ascii="Times New Roman" w:hAnsi="Times New Roman" w:cs="Times New Roman"/>
          <w:b/>
          <w:sz w:val="22"/>
          <w:szCs w:val="22"/>
          <w:lang w:eastAsia="ja-JP"/>
        </w:rPr>
        <w:t>ble in the content of the device and installation regula</w:t>
      </w:r>
      <w:r w:rsidR="00825116" w:rsidRPr="00A87BB5">
        <w:rPr>
          <w:rFonts w:ascii="Times New Roman" w:hAnsi="Times New Roman" w:cs="Times New Roman"/>
          <w:b/>
          <w:sz w:val="22"/>
          <w:szCs w:val="22"/>
          <w:lang w:eastAsia="ja-JP"/>
        </w:rPr>
        <w:t>tions</w:t>
      </w:r>
      <w:r w:rsidR="00F908E1">
        <w:rPr>
          <w:rFonts w:ascii="Times New Roman" w:hAnsi="Times New Roman" w:cs="Times New Roman"/>
          <w:b/>
          <w:sz w:val="22"/>
          <w:szCs w:val="22"/>
          <w:lang w:eastAsia="ja-JP"/>
        </w:rPr>
        <w:t xml:space="preserve"> </w:t>
      </w:r>
      <w:r w:rsidR="002861BA">
        <w:rPr>
          <w:rFonts w:ascii="Times New Roman" w:hAnsi="Times New Roman" w:cs="Times New Roman"/>
          <w:b/>
          <w:sz w:val="22"/>
          <w:szCs w:val="22"/>
          <w:lang w:eastAsia="ja-JP"/>
        </w:rPr>
        <w:t xml:space="preserve">and </w:t>
      </w:r>
      <w:r w:rsidR="00F908E1">
        <w:rPr>
          <w:rFonts w:ascii="Times New Roman" w:hAnsi="Times New Roman" w:cs="Times New Roman"/>
          <w:b/>
          <w:sz w:val="22"/>
          <w:szCs w:val="22"/>
          <w:lang w:eastAsia="ja-JP"/>
        </w:rPr>
        <w:t>shall be abandoned.</w:t>
      </w:r>
    </w:p>
    <w:p w:rsidR="00825116" w:rsidRPr="00A87BB5" w:rsidRDefault="00825116" w:rsidP="00B45ED6">
      <w:pPr>
        <w:pStyle w:val="Paragrafoelenco"/>
        <w:spacing w:after="120" w:line="240" w:lineRule="atLeast"/>
        <w:ind w:left="1134" w:right="-28"/>
        <w:contextualSpacing w:val="0"/>
        <w:jc w:val="both"/>
        <w:rPr>
          <w:rFonts w:ascii="Times New Roman" w:hAnsi="Times New Roman" w:cs="Times New Roman"/>
          <w:i/>
          <w:sz w:val="22"/>
          <w:szCs w:val="22"/>
          <w:lang w:eastAsia="ja-JP"/>
        </w:rPr>
      </w:pPr>
      <w:r w:rsidRPr="00A87BB5">
        <w:rPr>
          <w:rFonts w:ascii="Times New Roman" w:hAnsi="Times New Roman" w:cs="Times New Roman"/>
          <w:i/>
          <w:sz w:val="22"/>
          <w:szCs w:val="22"/>
          <w:lang w:eastAsia="ja-JP"/>
        </w:rPr>
        <w:t xml:space="preserve">OLA indicated that Regulations can only be amended in accordance with Article 12 of the Agreement and that a Resolution cannot be employed to amend a Regulation. Concerns were also expressed about the regulatory status of establishing a new Resolution as </w:t>
      </w:r>
      <w:r w:rsidR="00A87BB5" w:rsidRPr="00A87BB5">
        <w:rPr>
          <w:rFonts w:ascii="Times New Roman" w:hAnsi="Times New Roman" w:cs="Times New Roman"/>
          <w:i/>
          <w:sz w:val="22"/>
          <w:szCs w:val="22"/>
          <w:lang w:eastAsia="ja-JP"/>
        </w:rPr>
        <w:t xml:space="preserve">a </w:t>
      </w:r>
      <w:r w:rsidR="00B45ED6">
        <w:rPr>
          <w:rFonts w:ascii="Times New Roman" w:hAnsi="Times New Roman" w:cs="Times New Roman"/>
          <w:i/>
          <w:sz w:val="22"/>
          <w:szCs w:val="22"/>
          <w:lang w:eastAsia="ja-JP"/>
        </w:rPr>
        <w:t>HRD</w:t>
      </w:r>
      <w:r w:rsidR="00A87BB5" w:rsidRPr="00A87BB5">
        <w:rPr>
          <w:rFonts w:ascii="Times New Roman" w:hAnsi="Times New Roman" w:cs="Times New Roman"/>
          <w:i/>
          <w:sz w:val="22"/>
          <w:szCs w:val="22"/>
          <w:lang w:eastAsia="ja-JP"/>
        </w:rPr>
        <w:t xml:space="preserve"> </w:t>
      </w:r>
      <w:r w:rsidRPr="00A87BB5">
        <w:rPr>
          <w:rFonts w:ascii="Times New Roman" w:hAnsi="Times New Roman" w:cs="Times New Roman"/>
          <w:i/>
          <w:sz w:val="22"/>
          <w:szCs w:val="22"/>
          <w:lang w:eastAsia="ja-JP"/>
        </w:rPr>
        <w:t>outside the legal text of the 1958 Agreement.</w:t>
      </w:r>
      <w:r w:rsidR="00A87BB5" w:rsidRPr="00A87BB5">
        <w:rPr>
          <w:rFonts w:ascii="Times New Roman" w:hAnsi="Times New Roman" w:cs="Times New Roman"/>
          <w:i/>
          <w:sz w:val="22"/>
          <w:szCs w:val="22"/>
          <w:lang w:eastAsia="ja-JP"/>
        </w:rPr>
        <w:t xml:space="preserve"> V</w:t>
      </w:r>
      <w:r w:rsidRPr="00A87BB5">
        <w:rPr>
          <w:rFonts w:ascii="Times New Roman" w:hAnsi="Times New Roman" w:cs="Times New Roman"/>
          <w:i/>
          <w:sz w:val="22"/>
          <w:szCs w:val="22"/>
          <w:lang w:eastAsia="ja-JP"/>
        </w:rPr>
        <w:t xml:space="preserve">arious experts raised questions on using dynamic or static references to </w:t>
      </w:r>
      <w:r w:rsidR="00B45ED6">
        <w:rPr>
          <w:rFonts w:ascii="Times New Roman" w:hAnsi="Times New Roman" w:cs="Times New Roman"/>
          <w:i/>
          <w:sz w:val="22"/>
          <w:szCs w:val="22"/>
          <w:lang w:eastAsia="ja-JP"/>
        </w:rPr>
        <w:t>HRD</w:t>
      </w:r>
      <w:r w:rsidRPr="00A87BB5">
        <w:rPr>
          <w:rFonts w:ascii="Times New Roman" w:hAnsi="Times New Roman" w:cs="Times New Roman"/>
          <w:i/>
          <w:sz w:val="22"/>
          <w:szCs w:val="22"/>
          <w:lang w:eastAsia="ja-JP"/>
        </w:rPr>
        <w:t xml:space="preserve"> in the individual device Regulations. GRE also wondered about the correlation between amendments to </w:t>
      </w:r>
      <w:r w:rsidR="00A87BB5" w:rsidRPr="00A87BB5">
        <w:rPr>
          <w:rFonts w:ascii="Times New Roman" w:hAnsi="Times New Roman" w:cs="Times New Roman"/>
          <w:i/>
          <w:sz w:val="22"/>
          <w:szCs w:val="22"/>
          <w:lang w:eastAsia="ja-JP"/>
        </w:rPr>
        <w:t xml:space="preserve">the </w:t>
      </w:r>
      <w:r w:rsidR="00B45ED6">
        <w:rPr>
          <w:rFonts w:ascii="Times New Roman" w:hAnsi="Times New Roman" w:cs="Times New Roman"/>
          <w:i/>
          <w:sz w:val="22"/>
          <w:szCs w:val="22"/>
          <w:lang w:eastAsia="ja-JP"/>
        </w:rPr>
        <w:t>HRD</w:t>
      </w:r>
      <w:r w:rsidRPr="00A87BB5">
        <w:rPr>
          <w:rFonts w:ascii="Times New Roman" w:hAnsi="Times New Roman" w:cs="Times New Roman"/>
          <w:i/>
          <w:sz w:val="22"/>
          <w:szCs w:val="22"/>
          <w:lang w:eastAsia="ja-JP"/>
        </w:rPr>
        <w:t xml:space="preserve"> and supplements or new series of amendments to individual device Regulations, including transitional provisions</w:t>
      </w:r>
    </w:p>
    <w:p w:rsidR="00C80466" w:rsidRPr="00A87BB5" w:rsidRDefault="00A87BB5" w:rsidP="00B45ED6">
      <w:pPr>
        <w:pStyle w:val="Paragrafoelenco"/>
        <w:spacing w:after="120" w:line="240" w:lineRule="atLeast"/>
        <w:ind w:left="1134" w:right="-28"/>
        <w:contextualSpacing w:val="0"/>
        <w:jc w:val="both"/>
        <w:rPr>
          <w:rFonts w:ascii="Times New Roman" w:hAnsi="Times New Roman" w:cs="Times New Roman"/>
          <w:i/>
          <w:sz w:val="22"/>
          <w:szCs w:val="22"/>
          <w:lang w:eastAsia="ja-JP"/>
        </w:rPr>
      </w:pPr>
      <w:r w:rsidRPr="00A87BB5">
        <w:rPr>
          <w:rFonts w:ascii="Times New Roman" w:hAnsi="Times New Roman" w:cs="Times New Roman"/>
          <w:i/>
          <w:sz w:val="22"/>
          <w:szCs w:val="22"/>
          <w:lang w:eastAsia="ja-JP"/>
        </w:rPr>
        <w:t>Finally, the</w:t>
      </w:r>
      <w:r w:rsidR="00C80466" w:rsidRPr="00A87BB5">
        <w:rPr>
          <w:rFonts w:ascii="Times New Roman" w:hAnsi="Times New Roman" w:cs="Times New Roman"/>
          <w:i/>
          <w:sz w:val="22"/>
          <w:szCs w:val="22"/>
          <w:lang w:eastAsia="ja-JP"/>
        </w:rPr>
        <w:t xml:space="preserve"> experience of the work in the IWG SLR, </w:t>
      </w:r>
      <w:r w:rsidR="00ED7FB6" w:rsidRPr="00A87BB5">
        <w:rPr>
          <w:rFonts w:ascii="Times New Roman" w:hAnsi="Times New Roman" w:cs="Times New Roman"/>
          <w:i/>
          <w:sz w:val="22"/>
          <w:szCs w:val="22"/>
          <w:lang w:eastAsia="ja-JP"/>
        </w:rPr>
        <w:t>especially at t</w:t>
      </w:r>
      <w:r w:rsidR="00C80466" w:rsidRPr="00A87BB5">
        <w:rPr>
          <w:rFonts w:ascii="Times New Roman" w:hAnsi="Times New Roman" w:cs="Times New Roman"/>
          <w:i/>
          <w:sz w:val="22"/>
          <w:szCs w:val="22"/>
          <w:lang w:eastAsia="ja-JP"/>
        </w:rPr>
        <w:t>he last meeting, shows that it is clear that the approach of a resolution should be abandoned.</w:t>
      </w:r>
    </w:p>
    <w:p w:rsidR="006A48B7" w:rsidRPr="00F908E1" w:rsidRDefault="00F908E1" w:rsidP="00B45ED6">
      <w:pPr>
        <w:pStyle w:val="Paragrafoelenco"/>
        <w:spacing w:after="120" w:line="240" w:lineRule="atLeast"/>
        <w:ind w:left="1134" w:right="-28"/>
        <w:contextualSpacing w:val="0"/>
        <w:jc w:val="both"/>
        <w:rPr>
          <w:rFonts w:ascii="Times New Roman" w:hAnsi="Times New Roman" w:cs="Times New Roman"/>
          <w:i/>
          <w:sz w:val="22"/>
          <w:szCs w:val="22"/>
          <w:lang w:eastAsia="ja-JP"/>
        </w:rPr>
      </w:pPr>
      <w:r w:rsidRPr="008840B2">
        <w:rPr>
          <w:rFonts w:ascii="Times New Roman" w:hAnsi="Times New Roman" w:cs="Times New Roman"/>
          <w:i/>
          <w:sz w:val="22"/>
          <w:szCs w:val="22"/>
          <w:u w:val="single"/>
          <w:lang w:eastAsia="ja-JP"/>
        </w:rPr>
        <w:lastRenderedPageBreak/>
        <w:t xml:space="preserve">Note: </w:t>
      </w:r>
      <w:r w:rsidR="00F75776" w:rsidRPr="008840B2">
        <w:rPr>
          <w:rFonts w:ascii="Times New Roman" w:hAnsi="Times New Roman" w:cs="Times New Roman"/>
          <w:i/>
          <w:sz w:val="22"/>
          <w:szCs w:val="22"/>
          <w:u w:val="single"/>
          <w:lang w:eastAsia="ja-JP"/>
        </w:rPr>
        <w:t>The introduction of a resolution proposed for the light source data sheets is</w:t>
      </w:r>
      <w:r w:rsidR="00C27EF0" w:rsidRPr="008840B2">
        <w:rPr>
          <w:rFonts w:ascii="Times New Roman" w:hAnsi="Times New Roman" w:cs="Times New Roman"/>
          <w:i/>
          <w:sz w:val="22"/>
          <w:szCs w:val="22"/>
          <w:u w:val="single"/>
          <w:lang w:eastAsia="ja-JP"/>
        </w:rPr>
        <w:t xml:space="preserve"> feasible and is proceeding</w:t>
      </w:r>
      <w:r w:rsidR="00C27EF0" w:rsidRPr="00F908E1">
        <w:rPr>
          <w:rFonts w:ascii="Times New Roman" w:hAnsi="Times New Roman" w:cs="Times New Roman"/>
          <w:i/>
          <w:sz w:val="22"/>
          <w:szCs w:val="22"/>
          <w:lang w:eastAsia="ja-JP"/>
        </w:rPr>
        <w:t xml:space="preserve">. </w:t>
      </w:r>
    </w:p>
    <w:p w:rsidR="00A87BB5" w:rsidRPr="00A87BB5" w:rsidRDefault="00A87BB5" w:rsidP="0085364B">
      <w:pPr>
        <w:pStyle w:val="Paragrafoelenco"/>
        <w:numPr>
          <w:ilvl w:val="0"/>
          <w:numId w:val="8"/>
        </w:numPr>
        <w:spacing w:after="120" w:line="240" w:lineRule="atLeast"/>
        <w:ind w:right="-28"/>
        <w:contextualSpacing w:val="0"/>
        <w:jc w:val="both"/>
        <w:rPr>
          <w:rFonts w:ascii="Times New Roman" w:hAnsi="Times New Roman" w:cs="Times New Roman"/>
          <w:b/>
          <w:sz w:val="22"/>
          <w:szCs w:val="22"/>
          <w:lang w:eastAsia="ja-JP"/>
        </w:rPr>
      </w:pPr>
      <w:r w:rsidRPr="00A87BB5">
        <w:rPr>
          <w:rFonts w:ascii="Times New Roman" w:hAnsi="Times New Roman" w:cs="Times New Roman"/>
          <w:b/>
          <w:sz w:val="22"/>
          <w:szCs w:val="22"/>
          <w:lang w:eastAsia="ja-JP"/>
        </w:rPr>
        <w:t>An amendment to the 1958 Agreement may have unwanted implications and is to be avoided.</w:t>
      </w:r>
    </w:p>
    <w:p w:rsidR="00C27EF0" w:rsidRPr="00A87BB5" w:rsidRDefault="00C27EF0" w:rsidP="00B45ED6">
      <w:pPr>
        <w:pStyle w:val="Paragrafoelenco"/>
        <w:spacing w:after="120" w:line="240" w:lineRule="atLeast"/>
        <w:ind w:left="1134" w:right="-28"/>
        <w:contextualSpacing w:val="0"/>
        <w:jc w:val="both"/>
        <w:rPr>
          <w:rFonts w:ascii="Times New Roman" w:hAnsi="Times New Roman" w:cs="Times New Roman"/>
          <w:i/>
          <w:sz w:val="22"/>
          <w:szCs w:val="22"/>
          <w:lang w:eastAsia="ja-JP"/>
        </w:rPr>
      </w:pPr>
      <w:r w:rsidRPr="00A87BB5">
        <w:rPr>
          <w:rFonts w:ascii="Times New Roman" w:hAnsi="Times New Roman" w:cs="Times New Roman"/>
          <w:i/>
          <w:sz w:val="22"/>
          <w:szCs w:val="22"/>
          <w:lang w:eastAsia="ja-JP"/>
        </w:rPr>
        <w:t>As an alternative solution</w:t>
      </w:r>
      <w:r w:rsidR="008B1E59" w:rsidRPr="00A87BB5">
        <w:rPr>
          <w:rFonts w:ascii="Times New Roman" w:hAnsi="Times New Roman" w:cs="Times New Roman"/>
          <w:i/>
          <w:sz w:val="22"/>
          <w:szCs w:val="22"/>
          <w:lang w:eastAsia="ja-JP"/>
        </w:rPr>
        <w:t xml:space="preserve"> </w:t>
      </w:r>
      <w:r w:rsidRPr="00A87BB5">
        <w:rPr>
          <w:rFonts w:ascii="Times New Roman" w:hAnsi="Times New Roman" w:cs="Times New Roman"/>
          <w:i/>
          <w:sz w:val="22"/>
          <w:szCs w:val="22"/>
          <w:lang w:eastAsia="ja-JP"/>
        </w:rPr>
        <w:t>OLA proposed to amend the 1958 Agreement with a specific procedure applicable in those cases when an amendment to one Regulation would affect the application of other Regulations. However, there are doubts that this alternative solution would bring results, in view of its complexity and the advanced stage of work on Revision 3 of the 1958 Agreement.</w:t>
      </w:r>
    </w:p>
    <w:p w:rsidR="00F908E1" w:rsidRPr="00F908E1" w:rsidRDefault="00F908E1" w:rsidP="0085364B">
      <w:pPr>
        <w:pStyle w:val="Paragrafoelenco"/>
        <w:numPr>
          <w:ilvl w:val="0"/>
          <w:numId w:val="8"/>
        </w:numPr>
        <w:spacing w:after="120" w:line="240" w:lineRule="atLeast"/>
        <w:ind w:right="-28"/>
        <w:contextualSpacing w:val="0"/>
        <w:jc w:val="both"/>
        <w:rPr>
          <w:rFonts w:ascii="Times New Roman" w:hAnsi="Times New Roman" w:cs="Times New Roman"/>
          <w:b/>
          <w:sz w:val="22"/>
          <w:szCs w:val="22"/>
          <w:lang w:eastAsia="ja-JP"/>
        </w:rPr>
      </w:pPr>
      <w:r w:rsidRPr="00F908E1">
        <w:rPr>
          <w:rFonts w:ascii="Times New Roman" w:hAnsi="Times New Roman" w:cs="Times New Roman"/>
          <w:b/>
          <w:sz w:val="22"/>
          <w:szCs w:val="22"/>
          <w:lang w:eastAsia="ja-JP"/>
        </w:rPr>
        <w:t>The quickest route to deliver a solution for the administrative problem of collective amendments</w:t>
      </w:r>
      <w:r w:rsidR="002861BA">
        <w:rPr>
          <w:rFonts w:ascii="Times New Roman" w:hAnsi="Times New Roman" w:cs="Times New Roman"/>
          <w:b/>
          <w:sz w:val="22"/>
          <w:szCs w:val="22"/>
          <w:lang w:eastAsia="ja-JP"/>
        </w:rPr>
        <w:t>,</w:t>
      </w:r>
      <w:r w:rsidRPr="00F908E1">
        <w:rPr>
          <w:rFonts w:ascii="Times New Roman" w:hAnsi="Times New Roman" w:cs="Times New Roman"/>
          <w:b/>
          <w:sz w:val="22"/>
          <w:szCs w:val="22"/>
          <w:lang w:eastAsia="ja-JP"/>
        </w:rPr>
        <w:t xml:space="preserve"> and to respect the </w:t>
      </w:r>
      <w:r w:rsidR="008840B2">
        <w:rPr>
          <w:rFonts w:ascii="Times New Roman" w:hAnsi="Times New Roman" w:cs="Times New Roman"/>
          <w:b/>
          <w:sz w:val="22"/>
          <w:szCs w:val="22"/>
          <w:lang w:eastAsia="ja-JP"/>
        </w:rPr>
        <w:t xml:space="preserve">advice of </w:t>
      </w:r>
      <w:r w:rsidR="002861BA">
        <w:rPr>
          <w:rFonts w:ascii="Times New Roman" w:hAnsi="Times New Roman" w:cs="Times New Roman"/>
          <w:b/>
          <w:sz w:val="22"/>
          <w:szCs w:val="22"/>
          <w:lang w:eastAsia="ja-JP"/>
        </w:rPr>
        <w:t>OLA,</w:t>
      </w:r>
      <w:r w:rsidRPr="00F908E1">
        <w:rPr>
          <w:rFonts w:ascii="Times New Roman" w:hAnsi="Times New Roman" w:cs="Times New Roman"/>
          <w:b/>
          <w:sz w:val="22"/>
          <w:szCs w:val="22"/>
          <w:lang w:eastAsia="ja-JP"/>
        </w:rPr>
        <w:t xml:space="preserve"> would be to revert to the GTB proposal (SLR-01-04). </w:t>
      </w:r>
      <w:r w:rsidR="002861BA">
        <w:rPr>
          <w:rFonts w:ascii="Times New Roman" w:hAnsi="Times New Roman" w:cs="Times New Roman"/>
          <w:b/>
          <w:sz w:val="22"/>
          <w:szCs w:val="22"/>
          <w:lang w:eastAsia="ja-JP"/>
        </w:rPr>
        <w:t>However, t</w:t>
      </w:r>
      <w:r w:rsidR="002861BA" w:rsidRPr="002861BA">
        <w:rPr>
          <w:rFonts w:ascii="Times New Roman" w:hAnsi="Times New Roman" w:cs="Times New Roman"/>
          <w:b/>
          <w:sz w:val="22"/>
          <w:szCs w:val="22"/>
          <w:lang w:eastAsia="ja-JP"/>
        </w:rPr>
        <w:t>his solution does not offer any possibilities to reduce the number of “live” regulations.</w:t>
      </w:r>
    </w:p>
    <w:p w:rsidR="00150DA8" w:rsidRPr="00F908E1" w:rsidRDefault="00E82A5D" w:rsidP="00B45ED6">
      <w:pPr>
        <w:pStyle w:val="Paragrafoelenco"/>
        <w:spacing w:after="120" w:line="240" w:lineRule="atLeast"/>
        <w:ind w:left="1134" w:right="-28"/>
        <w:contextualSpacing w:val="0"/>
        <w:jc w:val="both"/>
        <w:rPr>
          <w:rFonts w:ascii="Times New Roman" w:hAnsi="Times New Roman" w:cs="Times New Roman"/>
          <w:i/>
          <w:sz w:val="22"/>
          <w:szCs w:val="22"/>
          <w:lang w:eastAsia="ja-JP"/>
        </w:rPr>
      </w:pPr>
      <w:r>
        <w:rPr>
          <w:rFonts w:ascii="Times New Roman" w:hAnsi="Times New Roman" w:cs="Times New Roman"/>
          <w:sz w:val="22"/>
          <w:szCs w:val="22"/>
          <w:lang w:eastAsia="ja-JP"/>
        </w:rPr>
        <w:t>The</w:t>
      </w:r>
      <w:r w:rsidR="00F75776" w:rsidRPr="00F908E1">
        <w:rPr>
          <w:rFonts w:ascii="Times New Roman" w:hAnsi="Times New Roman" w:cs="Times New Roman"/>
          <w:i/>
          <w:sz w:val="22"/>
          <w:szCs w:val="22"/>
          <w:lang w:eastAsia="ja-JP"/>
        </w:rPr>
        <w:t xml:space="preserve"> f</w:t>
      </w:r>
      <w:r w:rsidR="006A48B7" w:rsidRPr="00F908E1">
        <w:rPr>
          <w:rFonts w:ascii="Times New Roman" w:hAnsi="Times New Roman" w:cs="Times New Roman"/>
          <w:i/>
          <w:sz w:val="22"/>
          <w:szCs w:val="22"/>
          <w:lang w:eastAsia="ja-JP"/>
        </w:rPr>
        <w:t>irst priority</w:t>
      </w:r>
      <w:r w:rsidR="00150DA8" w:rsidRPr="00F908E1">
        <w:rPr>
          <w:rFonts w:ascii="Times New Roman" w:hAnsi="Times New Roman" w:cs="Times New Roman"/>
          <w:i/>
          <w:sz w:val="22"/>
          <w:szCs w:val="22"/>
          <w:lang w:eastAsia="ja-JP"/>
        </w:rPr>
        <w:t>,</w:t>
      </w:r>
      <w:r w:rsidR="00F75776" w:rsidRPr="00F908E1">
        <w:rPr>
          <w:rFonts w:ascii="Times New Roman" w:hAnsi="Times New Roman" w:cs="Times New Roman"/>
          <w:i/>
          <w:sz w:val="22"/>
          <w:szCs w:val="22"/>
          <w:lang w:eastAsia="ja-JP"/>
        </w:rPr>
        <w:t xml:space="preserve"> detailed in </w:t>
      </w:r>
      <w:r w:rsidR="00150DA8" w:rsidRPr="00F908E1">
        <w:rPr>
          <w:rFonts w:ascii="Times New Roman" w:hAnsi="Times New Roman" w:cs="Times New Roman"/>
          <w:i/>
          <w:sz w:val="22"/>
          <w:szCs w:val="22"/>
          <w:lang w:eastAsia="ja-JP"/>
        </w:rPr>
        <w:t xml:space="preserve">the IWG-SLR terms of reference (GRE-72-20), </w:t>
      </w:r>
      <w:r w:rsidR="00F75776" w:rsidRPr="00F908E1">
        <w:rPr>
          <w:rFonts w:ascii="Times New Roman" w:hAnsi="Times New Roman" w:cs="Times New Roman"/>
          <w:i/>
          <w:sz w:val="22"/>
          <w:szCs w:val="22"/>
          <w:lang w:eastAsia="ja-JP"/>
        </w:rPr>
        <w:t>relates to</w:t>
      </w:r>
      <w:r w:rsidR="006A48B7" w:rsidRPr="00F908E1">
        <w:rPr>
          <w:rFonts w:ascii="Times New Roman" w:hAnsi="Times New Roman" w:cs="Times New Roman"/>
          <w:i/>
          <w:sz w:val="22"/>
          <w:szCs w:val="22"/>
          <w:lang w:eastAsia="ja-JP"/>
        </w:rPr>
        <w:t xml:space="preserve"> </w:t>
      </w:r>
      <w:r w:rsidR="00150DA8" w:rsidRPr="00F908E1">
        <w:rPr>
          <w:rFonts w:ascii="Times New Roman" w:hAnsi="Times New Roman" w:cs="Times New Roman"/>
          <w:i/>
          <w:sz w:val="22"/>
          <w:szCs w:val="22"/>
          <w:lang w:eastAsia="ja-JP"/>
        </w:rPr>
        <w:t xml:space="preserve">the development of </w:t>
      </w:r>
      <w:r w:rsidR="006A48B7" w:rsidRPr="00F908E1">
        <w:rPr>
          <w:rFonts w:ascii="Times New Roman" w:hAnsi="Times New Roman" w:cs="Times New Roman"/>
          <w:i/>
          <w:sz w:val="22"/>
          <w:szCs w:val="22"/>
          <w:lang w:eastAsia="ja-JP"/>
        </w:rPr>
        <w:t>a solution</w:t>
      </w:r>
      <w:r w:rsidR="008840B2">
        <w:rPr>
          <w:rFonts w:ascii="Times New Roman" w:hAnsi="Times New Roman" w:cs="Times New Roman"/>
          <w:i/>
          <w:sz w:val="22"/>
          <w:szCs w:val="22"/>
          <w:lang w:eastAsia="ja-JP"/>
        </w:rPr>
        <w:t>,</w:t>
      </w:r>
      <w:r w:rsidR="006A48B7" w:rsidRPr="00F908E1">
        <w:rPr>
          <w:rFonts w:ascii="Times New Roman" w:hAnsi="Times New Roman" w:cs="Times New Roman"/>
          <w:i/>
          <w:sz w:val="22"/>
          <w:szCs w:val="22"/>
          <w:lang w:eastAsia="ja-JP"/>
        </w:rPr>
        <w:t xml:space="preserve"> </w:t>
      </w:r>
      <w:r w:rsidR="00924F8F" w:rsidRPr="00F908E1">
        <w:rPr>
          <w:rFonts w:ascii="Times New Roman" w:hAnsi="Times New Roman" w:cs="Times New Roman"/>
          <w:i/>
          <w:sz w:val="22"/>
          <w:szCs w:val="22"/>
          <w:lang w:eastAsia="ja-JP"/>
        </w:rPr>
        <w:t>for</w:t>
      </w:r>
      <w:r w:rsidR="006A48B7" w:rsidRPr="00F908E1">
        <w:rPr>
          <w:rFonts w:ascii="Times New Roman" w:hAnsi="Times New Roman" w:cs="Times New Roman"/>
          <w:i/>
          <w:sz w:val="22"/>
          <w:szCs w:val="22"/>
          <w:lang w:eastAsia="ja-JP"/>
        </w:rPr>
        <w:t xml:space="preserve"> the administrative problem of collective amendments</w:t>
      </w:r>
      <w:r w:rsidR="008840B2">
        <w:rPr>
          <w:rFonts w:ascii="Times New Roman" w:hAnsi="Times New Roman" w:cs="Times New Roman"/>
          <w:i/>
          <w:sz w:val="22"/>
          <w:szCs w:val="22"/>
          <w:lang w:eastAsia="ja-JP"/>
        </w:rPr>
        <w:t>,</w:t>
      </w:r>
      <w:r w:rsidR="006A48B7" w:rsidRPr="00F908E1">
        <w:rPr>
          <w:rFonts w:ascii="Times New Roman" w:hAnsi="Times New Roman" w:cs="Times New Roman"/>
          <w:i/>
          <w:sz w:val="22"/>
          <w:szCs w:val="22"/>
          <w:lang w:eastAsia="ja-JP"/>
        </w:rPr>
        <w:t xml:space="preserve"> within a very short timescale</w:t>
      </w:r>
      <w:r w:rsidR="00150DA8" w:rsidRPr="00F908E1">
        <w:rPr>
          <w:rFonts w:ascii="Times New Roman" w:hAnsi="Times New Roman" w:cs="Times New Roman"/>
          <w:i/>
          <w:sz w:val="22"/>
          <w:szCs w:val="22"/>
          <w:lang w:eastAsia="ja-JP"/>
        </w:rPr>
        <w:t xml:space="preserve">. </w:t>
      </w:r>
      <w:r w:rsidR="004D3456">
        <w:rPr>
          <w:rFonts w:ascii="Times New Roman" w:hAnsi="Times New Roman" w:cs="Times New Roman"/>
          <w:i/>
          <w:sz w:val="22"/>
          <w:szCs w:val="22"/>
          <w:lang w:eastAsia="ja-JP"/>
        </w:rPr>
        <w:t>This solution does not offer any possibilities to reduce the number of “live” regulations.</w:t>
      </w:r>
    </w:p>
    <w:p w:rsidR="00F908E1" w:rsidRDefault="006A48B7" w:rsidP="0085364B">
      <w:pPr>
        <w:pStyle w:val="Paragrafoelenco"/>
        <w:numPr>
          <w:ilvl w:val="0"/>
          <w:numId w:val="8"/>
        </w:numPr>
        <w:spacing w:after="120" w:line="240" w:lineRule="atLeast"/>
        <w:ind w:right="-28"/>
        <w:contextualSpacing w:val="0"/>
        <w:jc w:val="both"/>
        <w:rPr>
          <w:rFonts w:ascii="Times New Roman" w:hAnsi="Times New Roman" w:cs="Times New Roman"/>
          <w:sz w:val="22"/>
          <w:szCs w:val="22"/>
          <w:lang w:eastAsia="ja-JP"/>
        </w:rPr>
      </w:pPr>
      <w:r w:rsidRPr="00F908E1">
        <w:rPr>
          <w:rFonts w:ascii="Times New Roman" w:hAnsi="Times New Roman" w:cs="Times New Roman"/>
          <w:b/>
          <w:sz w:val="22"/>
          <w:szCs w:val="22"/>
          <w:lang w:eastAsia="ja-JP"/>
        </w:rPr>
        <w:t>The second priority</w:t>
      </w:r>
      <w:r w:rsidR="00611A71" w:rsidRPr="00F908E1">
        <w:rPr>
          <w:rFonts w:ascii="Times New Roman" w:hAnsi="Times New Roman" w:cs="Times New Roman"/>
          <w:b/>
          <w:sz w:val="22"/>
          <w:szCs w:val="22"/>
          <w:lang w:eastAsia="ja-JP"/>
        </w:rPr>
        <w:t>,</w:t>
      </w:r>
      <w:r w:rsidRPr="00F908E1">
        <w:rPr>
          <w:rFonts w:ascii="Times New Roman" w:hAnsi="Times New Roman" w:cs="Times New Roman"/>
          <w:b/>
          <w:sz w:val="22"/>
          <w:szCs w:val="22"/>
          <w:lang w:eastAsia="ja-JP"/>
        </w:rPr>
        <w:t xml:space="preserve"> to </w:t>
      </w:r>
      <w:r w:rsidR="00611A71" w:rsidRPr="00F908E1">
        <w:rPr>
          <w:rFonts w:ascii="Times New Roman" w:hAnsi="Times New Roman" w:cs="Times New Roman"/>
          <w:b/>
          <w:sz w:val="22"/>
          <w:szCs w:val="22"/>
          <w:lang w:eastAsia="ja-JP"/>
        </w:rPr>
        <w:t>produce</w:t>
      </w:r>
      <w:r w:rsidRPr="00F908E1">
        <w:rPr>
          <w:rFonts w:ascii="Times New Roman" w:hAnsi="Times New Roman" w:cs="Times New Roman"/>
          <w:b/>
          <w:sz w:val="22"/>
          <w:szCs w:val="22"/>
          <w:lang w:eastAsia="ja-JP"/>
        </w:rPr>
        <w:t xml:space="preserve"> groupings of existing regulations</w:t>
      </w:r>
      <w:r w:rsidR="00611A71" w:rsidRPr="00F908E1">
        <w:rPr>
          <w:rFonts w:ascii="Times New Roman" w:hAnsi="Times New Roman" w:cs="Times New Roman"/>
          <w:b/>
          <w:sz w:val="22"/>
          <w:szCs w:val="22"/>
          <w:lang w:eastAsia="ja-JP"/>
        </w:rPr>
        <w:t>,</w:t>
      </w:r>
      <w:r w:rsidRPr="00F908E1">
        <w:rPr>
          <w:rFonts w:ascii="Times New Roman" w:hAnsi="Times New Roman" w:cs="Times New Roman"/>
          <w:b/>
          <w:sz w:val="22"/>
          <w:szCs w:val="22"/>
          <w:lang w:eastAsia="ja-JP"/>
        </w:rPr>
        <w:t xml:space="preserve"> </w:t>
      </w:r>
      <w:r w:rsidR="008840B2">
        <w:rPr>
          <w:rFonts w:ascii="Times New Roman" w:hAnsi="Times New Roman" w:cs="Times New Roman"/>
          <w:b/>
          <w:sz w:val="22"/>
          <w:szCs w:val="22"/>
          <w:lang w:eastAsia="ja-JP"/>
        </w:rPr>
        <w:t>will</w:t>
      </w:r>
      <w:r w:rsidR="00611A71" w:rsidRPr="00F908E1">
        <w:rPr>
          <w:rFonts w:ascii="Times New Roman" w:hAnsi="Times New Roman" w:cs="Times New Roman"/>
          <w:b/>
          <w:sz w:val="22"/>
          <w:szCs w:val="22"/>
          <w:lang w:eastAsia="ja-JP"/>
        </w:rPr>
        <w:t xml:space="preserve"> lead to the creation of three </w:t>
      </w:r>
      <w:r w:rsidR="00924F8F" w:rsidRPr="00F908E1">
        <w:rPr>
          <w:rFonts w:ascii="Times New Roman" w:hAnsi="Times New Roman" w:cs="Times New Roman"/>
          <w:b/>
          <w:sz w:val="22"/>
          <w:szCs w:val="22"/>
          <w:lang w:eastAsia="ja-JP"/>
        </w:rPr>
        <w:t xml:space="preserve">new </w:t>
      </w:r>
      <w:r w:rsidR="00611A71" w:rsidRPr="00F908E1">
        <w:rPr>
          <w:rFonts w:ascii="Times New Roman" w:hAnsi="Times New Roman" w:cs="Times New Roman"/>
          <w:b/>
          <w:sz w:val="22"/>
          <w:szCs w:val="22"/>
          <w:lang w:eastAsia="ja-JP"/>
        </w:rPr>
        <w:t>regulations for Front Lighting, Signalling and Retro-reflective devices.</w:t>
      </w:r>
      <w:r w:rsidR="002861BA">
        <w:rPr>
          <w:rFonts w:ascii="Times New Roman" w:hAnsi="Times New Roman" w:cs="Times New Roman"/>
          <w:b/>
          <w:sz w:val="22"/>
          <w:szCs w:val="22"/>
          <w:lang w:eastAsia="ja-JP"/>
        </w:rPr>
        <w:t xml:space="preserve"> This approach is complicated but </w:t>
      </w:r>
      <w:r w:rsidR="002861BA" w:rsidRPr="002861BA">
        <w:rPr>
          <w:rFonts w:ascii="Times New Roman" w:hAnsi="Times New Roman" w:cs="Times New Roman"/>
          <w:b/>
          <w:sz w:val="22"/>
          <w:szCs w:val="22"/>
          <w:lang w:eastAsia="ja-JP"/>
        </w:rPr>
        <w:t>will overcome the problem of collective amendments and provide GRE and WP29 with an excellent basis for introduction of new technologies into the regulations with a minimum of administrative burden</w:t>
      </w:r>
    </w:p>
    <w:p w:rsidR="006A48B7" w:rsidRPr="00F908E1" w:rsidRDefault="00611A71" w:rsidP="00B45ED6">
      <w:pPr>
        <w:pStyle w:val="Paragrafoelenco"/>
        <w:spacing w:after="120" w:line="240" w:lineRule="atLeast"/>
        <w:ind w:left="1134" w:right="-28"/>
        <w:contextualSpacing w:val="0"/>
        <w:jc w:val="both"/>
        <w:rPr>
          <w:rFonts w:ascii="Times New Roman" w:hAnsi="Times New Roman" w:cs="Times New Roman"/>
          <w:i/>
          <w:sz w:val="22"/>
          <w:szCs w:val="22"/>
          <w:lang w:eastAsia="ja-JP"/>
        </w:rPr>
      </w:pPr>
      <w:r w:rsidRPr="00F908E1">
        <w:rPr>
          <w:rFonts w:ascii="Times New Roman" w:hAnsi="Times New Roman" w:cs="Times New Roman"/>
          <w:i/>
          <w:sz w:val="22"/>
          <w:szCs w:val="22"/>
          <w:lang w:eastAsia="ja-JP"/>
        </w:rPr>
        <w:t>This approach will be complicated because of approval marking issues and the associated need to “freeze” existing individual regulations and their associated type approvals already granted.</w:t>
      </w:r>
      <w:r w:rsidR="006A48B7" w:rsidRPr="00F908E1">
        <w:rPr>
          <w:rFonts w:ascii="Times New Roman" w:hAnsi="Times New Roman" w:cs="Times New Roman"/>
          <w:i/>
          <w:sz w:val="22"/>
          <w:szCs w:val="22"/>
          <w:lang w:eastAsia="ja-JP"/>
        </w:rPr>
        <w:t xml:space="preserve"> </w:t>
      </w:r>
      <w:r w:rsidRPr="00F908E1">
        <w:rPr>
          <w:rFonts w:ascii="Times New Roman" w:hAnsi="Times New Roman" w:cs="Times New Roman"/>
          <w:i/>
          <w:sz w:val="22"/>
          <w:szCs w:val="22"/>
          <w:lang w:eastAsia="ja-JP"/>
        </w:rPr>
        <w:t xml:space="preserve">Certainly the use </w:t>
      </w:r>
      <w:r w:rsidR="006A48B7" w:rsidRPr="00F908E1">
        <w:rPr>
          <w:rFonts w:ascii="Times New Roman" w:hAnsi="Times New Roman" w:cs="Times New Roman"/>
          <w:i/>
          <w:sz w:val="22"/>
          <w:szCs w:val="22"/>
          <w:lang w:eastAsia="ja-JP"/>
        </w:rPr>
        <w:t xml:space="preserve">of the IWVTA “Common Identifier” in association with </w:t>
      </w:r>
      <w:r w:rsidRPr="00F908E1">
        <w:rPr>
          <w:rFonts w:ascii="Times New Roman" w:hAnsi="Times New Roman" w:cs="Times New Roman"/>
          <w:i/>
          <w:sz w:val="22"/>
          <w:szCs w:val="22"/>
          <w:lang w:eastAsia="ja-JP"/>
        </w:rPr>
        <w:t>the DETA system will have to be considered.</w:t>
      </w:r>
      <w:r w:rsidR="00924F8F" w:rsidRPr="00F908E1">
        <w:rPr>
          <w:rFonts w:ascii="Times New Roman" w:hAnsi="Times New Roman" w:cs="Times New Roman"/>
          <w:i/>
          <w:sz w:val="22"/>
          <w:szCs w:val="22"/>
          <w:lang w:eastAsia="ja-JP"/>
        </w:rPr>
        <w:t xml:space="preserve"> GTB presented a proposal for such an approach to the 68</w:t>
      </w:r>
      <w:r w:rsidR="00924F8F" w:rsidRPr="00F908E1">
        <w:rPr>
          <w:rFonts w:ascii="Times New Roman" w:hAnsi="Times New Roman" w:cs="Times New Roman"/>
          <w:i/>
          <w:sz w:val="22"/>
          <w:szCs w:val="22"/>
          <w:vertAlign w:val="superscript"/>
          <w:lang w:eastAsia="ja-JP"/>
        </w:rPr>
        <w:t>th</w:t>
      </w:r>
      <w:r w:rsidR="00924F8F" w:rsidRPr="00F908E1">
        <w:rPr>
          <w:rFonts w:ascii="Times New Roman" w:hAnsi="Times New Roman" w:cs="Times New Roman"/>
          <w:i/>
          <w:sz w:val="22"/>
          <w:szCs w:val="22"/>
          <w:lang w:eastAsia="ja-JP"/>
        </w:rPr>
        <w:t xml:space="preserve"> session of GRE (GRE-68-28). </w:t>
      </w:r>
    </w:p>
    <w:p w:rsidR="006A48B7" w:rsidRPr="00F908E1" w:rsidRDefault="006A48B7" w:rsidP="0085364B">
      <w:pPr>
        <w:pStyle w:val="Paragrafoelenco"/>
        <w:numPr>
          <w:ilvl w:val="0"/>
          <w:numId w:val="8"/>
        </w:numPr>
        <w:spacing w:after="120" w:line="240" w:lineRule="atLeast"/>
        <w:ind w:right="-28"/>
        <w:contextualSpacing w:val="0"/>
        <w:jc w:val="both"/>
        <w:rPr>
          <w:rFonts w:ascii="Times New Roman" w:hAnsi="Times New Roman" w:cs="Times New Roman"/>
          <w:b/>
          <w:sz w:val="22"/>
          <w:szCs w:val="22"/>
          <w:lang w:eastAsia="ja-JP"/>
        </w:rPr>
      </w:pPr>
      <w:r w:rsidRPr="00F908E1">
        <w:rPr>
          <w:rFonts w:ascii="Times New Roman" w:hAnsi="Times New Roman" w:cs="Times New Roman"/>
          <w:b/>
          <w:sz w:val="22"/>
          <w:szCs w:val="22"/>
          <w:lang w:eastAsia="ja-JP"/>
        </w:rPr>
        <w:t>Much of the work to provide the foundation for implementing the GTB propos</w:t>
      </w:r>
      <w:r w:rsidR="008840B2">
        <w:rPr>
          <w:rFonts w:ascii="Times New Roman" w:hAnsi="Times New Roman" w:cs="Times New Roman"/>
          <w:b/>
          <w:sz w:val="22"/>
          <w:szCs w:val="22"/>
          <w:lang w:eastAsia="ja-JP"/>
        </w:rPr>
        <w:t>al (</w:t>
      </w:r>
      <w:r w:rsidR="00924F8F" w:rsidRPr="00F908E1">
        <w:rPr>
          <w:rFonts w:ascii="Times New Roman" w:hAnsi="Times New Roman" w:cs="Times New Roman"/>
          <w:b/>
          <w:sz w:val="22"/>
          <w:szCs w:val="22"/>
          <w:lang w:eastAsia="ja-JP"/>
        </w:rPr>
        <w:t>SLR-01-04</w:t>
      </w:r>
      <w:r w:rsidR="008840B2">
        <w:rPr>
          <w:rFonts w:ascii="Times New Roman" w:hAnsi="Times New Roman" w:cs="Times New Roman"/>
          <w:b/>
          <w:sz w:val="22"/>
          <w:szCs w:val="22"/>
          <w:lang w:eastAsia="ja-JP"/>
        </w:rPr>
        <w:t>)</w:t>
      </w:r>
      <w:r w:rsidR="00924F8F" w:rsidRPr="00F908E1">
        <w:rPr>
          <w:rFonts w:ascii="Times New Roman" w:hAnsi="Times New Roman" w:cs="Times New Roman"/>
          <w:b/>
          <w:sz w:val="22"/>
          <w:szCs w:val="22"/>
          <w:lang w:eastAsia="ja-JP"/>
        </w:rPr>
        <w:t xml:space="preserve"> is already done to satisfy the first priority requirement. However, assuming that the second priority to reduce the total number of active regulations will </w:t>
      </w:r>
      <w:r w:rsidR="002861BA">
        <w:rPr>
          <w:rFonts w:ascii="Times New Roman" w:hAnsi="Times New Roman" w:cs="Times New Roman"/>
          <w:b/>
          <w:sz w:val="22"/>
          <w:szCs w:val="22"/>
          <w:lang w:eastAsia="ja-JP"/>
        </w:rPr>
        <w:t>subsequently</w:t>
      </w:r>
      <w:r w:rsidR="00924F8F" w:rsidRPr="00F908E1">
        <w:rPr>
          <w:rFonts w:ascii="Times New Roman" w:hAnsi="Times New Roman" w:cs="Times New Roman"/>
          <w:b/>
          <w:sz w:val="22"/>
          <w:szCs w:val="22"/>
          <w:lang w:eastAsia="ja-JP"/>
        </w:rPr>
        <w:t xml:space="preserve"> have to be delivered, it would be more logical and efficient, in terms of total effort to be invested, to move directly to develop the three new regulations.</w:t>
      </w:r>
    </w:p>
    <w:p w:rsidR="00C27EF0" w:rsidRDefault="00895C59" w:rsidP="00B45ED6">
      <w:pPr>
        <w:pStyle w:val="Paragrafoelenco"/>
        <w:spacing w:after="120" w:line="240" w:lineRule="atLeast"/>
        <w:ind w:left="1134" w:right="-28"/>
        <w:contextualSpacing w:val="0"/>
        <w:jc w:val="both"/>
        <w:rPr>
          <w:rFonts w:ascii="Times New Roman" w:hAnsi="Times New Roman" w:cs="Times New Roman"/>
          <w:i/>
          <w:sz w:val="22"/>
          <w:szCs w:val="22"/>
          <w:lang w:eastAsia="ja-JP"/>
        </w:rPr>
      </w:pPr>
      <w:r w:rsidRPr="00F908E1">
        <w:rPr>
          <w:rFonts w:ascii="Times New Roman" w:hAnsi="Times New Roman" w:cs="Times New Roman"/>
          <w:i/>
          <w:sz w:val="22"/>
          <w:szCs w:val="22"/>
          <w:lang w:eastAsia="ja-JP"/>
        </w:rPr>
        <w:t>The three new regulations mentioned above will provide the basis for the longer-term objective of developing technology independent technical requirements.</w:t>
      </w:r>
    </w:p>
    <w:p w:rsidR="00AA5FAC" w:rsidRPr="002861BA" w:rsidRDefault="00AA5FAC" w:rsidP="00AA5FAC">
      <w:pPr>
        <w:spacing w:after="120" w:line="240" w:lineRule="atLeast"/>
        <w:ind w:right="-28"/>
        <w:jc w:val="both"/>
        <w:rPr>
          <w:rFonts w:ascii="Times New Roman" w:hAnsi="Times New Roman" w:cs="Times New Roman"/>
          <w:b/>
        </w:rPr>
      </w:pPr>
      <w:r w:rsidRPr="002861BA">
        <w:rPr>
          <w:rFonts w:ascii="Times New Roman" w:hAnsi="Times New Roman" w:cs="Times New Roman"/>
          <w:b/>
        </w:rPr>
        <w:t xml:space="preserve">Background </w:t>
      </w:r>
    </w:p>
    <w:p w:rsidR="00ED7FB6" w:rsidRDefault="00AA5FAC" w:rsidP="00B45ED6">
      <w:pPr>
        <w:spacing w:after="120" w:line="240" w:lineRule="atLeast"/>
        <w:ind w:left="567" w:right="-28"/>
        <w:jc w:val="both"/>
        <w:rPr>
          <w:rFonts w:ascii="Times New Roman" w:hAnsi="Times New Roman" w:cs="Times New Roman"/>
          <w:sz w:val="22"/>
          <w:szCs w:val="22"/>
        </w:rPr>
      </w:pPr>
      <w:r w:rsidRPr="00AA5FAC">
        <w:rPr>
          <w:rFonts w:ascii="Times New Roman" w:hAnsi="Times New Roman" w:cs="Times New Roman"/>
          <w:sz w:val="22"/>
          <w:szCs w:val="22"/>
        </w:rPr>
        <w:t>There are more than 30 lighting an</w:t>
      </w:r>
      <w:r>
        <w:rPr>
          <w:rFonts w:ascii="Times New Roman" w:hAnsi="Times New Roman" w:cs="Times New Roman"/>
          <w:sz w:val="22"/>
          <w:szCs w:val="22"/>
        </w:rPr>
        <w:t>d light-signalling Regulations,</w:t>
      </w:r>
      <w:r w:rsidRPr="00AA5FAC">
        <w:rPr>
          <w:rFonts w:ascii="Times New Roman" w:hAnsi="Times New Roman" w:cs="Times New Roman"/>
          <w:sz w:val="22"/>
          <w:szCs w:val="22"/>
        </w:rPr>
        <w:t xml:space="preserve"> addenda to the 1958 Agreement. They deal with light s</w:t>
      </w:r>
      <w:r w:rsidR="007E5E5F">
        <w:rPr>
          <w:rFonts w:ascii="Times New Roman" w:hAnsi="Times New Roman" w:cs="Times New Roman"/>
          <w:sz w:val="22"/>
          <w:szCs w:val="22"/>
        </w:rPr>
        <w:t xml:space="preserve">ources, individual devices </w:t>
      </w:r>
      <w:r w:rsidRPr="00AA5FAC">
        <w:rPr>
          <w:rFonts w:ascii="Times New Roman" w:hAnsi="Times New Roman" w:cs="Times New Roman"/>
          <w:sz w:val="22"/>
          <w:szCs w:val="22"/>
        </w:rPr>
        <w:t>and installation requirements. Individual device Regulations, being the most numerous group, contain a lot of very similar and even identical provisions on administrative procedures, markings, test procedures, conformity of production, etc. Whenever there is an amendment to such provisions in one device Regulation, it has to be repeated in many (up to 10-15) other device Regulations. These numerous so-called collective amendments have increasingly become a heavy administrative burden fo</w:t>
      </w:r>
      <w:r w:rsidR="007E5E5F">
        <w:rPr>
          <w:rFonts w:ascii="Times New Roman" w:hAnsi="Times New Roman" w:cs="Times New Roman"/>
          <w:sz w:val="22"/>
          <w:szCs w:val="22"/>
        </w:rPr>
        <w:t xml:space="preserve">r the Contracting Parties, GRE, the </w:t>
      </w:r>
      <w:r w:rsidRPr="00AA5FAC">
        <w:rPr>
          <w:rFonts w:ascii="Times New Roman" w:hAnsi="Times New Roman" w:cs="Times New Roman"/>
          <w:sz w:val="22"/>
          <w:szCs w:val="22"/>
        </w:rPr>
        <w:t>World Forum for Harmonization of Vehicle Regulations (WP.29), UNECE secretariat and, eventually, OLA. To improve the situation, WP.29 requested GRE to prepare proposals to simplify lighting and light-signalling Regulations.</w:t>
      </w:r>
    </w:p>
    <w:p w:rsidR="007E5E5F" w:rsidRPr="007E5E5F" w:rsidRDefault="007E5E5F" w:rsidP="00B45ED6">
      <w:pPr>
        <w:spacing w:after="120" w:line="240" w:lineRule="atLeast"/>
        <w:ind w:left="567" w:right="-28"/>
        <w:jc w:val="both"/>
        <w:rPr>
          <w:rFonts w:ascii="Times New Roman" w:hAnsi="Times New Roman" w:cs="Times New Roman"/>
          <w:sz w:val="22"/>
          <w:szCs w:val="22"/>
        </w:rPr>
      </w:pPr>
      <w:r w:rsidRPr="007E5E5F">
        <w:rPr>
          <w:rFonts w:ascii="Times New Roman" w:hAnsi="Times New Roman" w:cs="Times New Roman"/>
          <w:sz w:val="22"/>
          <w:szCs w:val="22"/>
        </w:rPr>
        <w:lastRenderedPageBreak/>
        <w:t>Since the start of t</w:t>
      </w:r>
      <w:r>
        <w:rPr>
          <w:rFonts w:ascii="Times New Roman" w:hAnsi="Times New Roman" w:cs="Times New Roman"/>
          <w:sz w:val="22"/>
          <w:szCs w:val="22"/>
        </w:rPr>
        <w:t>he discussion several options w</w:t>
      </w:r>
      <w:r w:rsidRPr="007E5E5F">
        <w:rPr>
          <w:rFonts w:ascii="Times New Roman" w:hAnsi="Times New Roman" w:cs="Times New Roman"/>
          <w:sz w:val="22"/>
          <w:szCs w:val="22"/>
        </w:rPr>
        <w:t xml:space="preserve">ere investigated. In a </w:t>
      </w:r>
      <w:r>
        <w:rPr>
          <w:rFonts w:ascii="Times New Roman" w:hAnsi="Times New Roman" w:cs="Times New Roman"/>
          <w:sz w:val="22"/>
          <w:szCs w:val="22"/>
        </w:rPr>
        <w:t>general way</w:t>
      </w:r>
      <w:r w:rsidRPr="007E5E5F">
        <w:rPr>
          <w:rFonts w:ascii="Times New Roman" w:hAnsi="Times New Roman" w:cs="Times New Roman"/>
          <w:sz w:val="22"/>
          <w:szCs w:val="22"/>
        </w:rPr>
        <w:t xml:space="preserve">, for the purposes of simplification, the administrative burden of collective amendments </w:t>
      </w:r>
      <w:r>
        <w:rPr>
          <w:rFonts w:ascii="Times New Roman" w:hAnsi="Times New Roman" w:cs="Times New Roman"/>
          <w:sz w:val="22"/>
          <w:szCs w:val="22"/>
        </w:rPr>
        <w:t>was to be tackled as well as the number</w:t>
      </w:r>
      <w:r w:rsidRPr="007E5E5F">
        <w:rPr>
          <w:rFonts w:ascii="Times New Roman" w:hAnsi="Times New Roman" w:cs="Times New Roman"/>
          <w:sz w:val="22"/>
          <w:szCs w:val="22"/>
        </w:rPr>
        <w:t xml:space="preserve"> of different device Regulations. There was a proposal where the collective amendments should be moved from these Regul</w:t>
      </w:r>
      <w:r w:rsidR="00D8182D">
        <w:rPr>
          <w:rFonts w:ascii="Times New Roman" w:hAnsi="Times New Roman" w:cs="Times New Roman"/>
          <w:sz w:val="22"/>
          <w:szCs w:val="22"/>
        </w:rPr>
        <w:t xml:space="preserve">ations into a single repository </w:t>
      </w:r>
      <w:r w:rsidRPr="007E5E5F">
        <w:rPr>
          <w:rFonts w:ascii="Times New Roman" w:hAnsi="Times New Roman" w:cs="Times New Roman"/>
          <w:sz w:val="22"/>
          <w:szCs w:val="22"/>
        </w:rPr>
        <w:t>(HRD). T</w:t>
      </w:r>
      <w:r>
        <w:rPr>
          <w:rFonts w:ascii="Times New Roman" w:hAnsi="Times New Roman" w:cs="Times New Roman"/>
          <w:sz w:val="22"/>
          <w:szCs w:val="22"/>
        </w:rPr>
        <w:t>aking this approach t</w:t>
      </w:r>
      <w:r w:rsidRPr="007E5E5F">
        <w:rPr>
          <w:rFonts w:ascii="Times New Roman" w:hAnsi="Times New Roman" w:cs="Times New Roman"/>
          <w:sz w:val="22"/>
          <w:szCs w:val="22"/>
        </w:rPr>
        <w:t xml:space="preserve">he individual device Regulations </w:t>
      </w:r>
      <w:r>
        <w:rPr>
          <w:rFonts w:ascii="Times New Roman" w:hAnsi="Times New Roman" w:cs="Times New Roman"/>
          <w:sz w:val="22"/>
          <w:szCs w:val="22"/>
        </w:rPr>
        <w:t xml:space="preserve">would </w:t>
      </w:r>
      <w:r w:rsidRPr="007E5E5F">
        <w:rPr>
          <w:rFonts w:ascii="Times New Roman" w:hAnsi="Times New Roman" w:cs="Times New Roman"/>
          <w:sz w:val="22"/>
          <w:szCs w:val="22"/>
        </w:rPr>
        <w:t xml:space="preserve">only contain references to </w:t>
      </w:r>
      <w:r>
        <w:rPr>
          <w:rFonts w:ascii="Times New Roman" w:hAnsi="Times New Roman" w:cs="Times New Roman"/>
          <w:sz w:val="22"/>
          <w:szCs w:val="22"/>
        </w:rPr>
        <w:t xml:space="preserve">the </w:t>
      </w:r>
      <w:r w:rsidRPr="007E5E5F">
        <w:rPr>
          <w:rFonts w:ascii="Times New Roman" w:hAnsi="Times New Roman" w:cs="Times New Roman"/>
          <w:sz w:val="22"/>
          <w:szCs w:val="22"/>
        </w:rPr>
        <w:t xml:space="preserve">HRD, thus making its provisions legally binding. Whenever changes to these common provisions </w:t>
      </w:r>
      <w:r>
        <w:rPr>
          <w:rFonts w:ascii="Times New Roman" w:hAnsi="Times New Roman" w:cs="Times New Roman"/>
          <w:sz w:val="22"/>
          <w:szCs w:val="22"/>
        </w:rPr>
        <w:t>would</w:t>
      </w:r>
      <w:r w:rsidRPr="007E5E5F">
        <w:rPr>
          <w:rFonts w:ascii="Times New Roman" w:hAnsi="Times New Roman" w:cs="Times New Roman"/>
          <w:sz w:val="22"/>
          <w:szCs w:val="22"/>
        </w:rPr>
        <w:t xml:space="preserve"> be necessary, this could be done in one single step by amending </w:t>
      </w:r>
      <w:r>
        <w:rPr>
          <w:rFonts w:ascii="Times New Roman" w:hAnsi="Times New Roman" w:cs="Times New Roman"/>
          <w:sz w:val="22"/>
          <w:szCs w:val="22"/>
        </w:rPr>
        <w:t xml:space="preserve">the </w:t>
      </w:r>
      <w:r w:rsidRPr="007E5E5F">
        <w:rPr>
          <w:rFonts w:ascii="Times New Roman" w:hAnsi="Times New Roman" w:cs="Times New Roman"/>
          <w:sz w:val="22"/>
          <w:szCs w:val="22"/>
        </w:rPr>
        <w:t xml:space="preserve">HRD, </w:t>
      </w:r>
      <w:r w:rsidR="00856355">
        <w:rPr>
          <w:rFonts w:ascii="Times New Roman" w:hAnsi="Times New Roman" w:cs="Times New Roman"/>
          <w:sz w:val="22"/>
          <w:szCs w:val="22"/>
        </w:rPr>
        <w:t xml:space="preserve">rather than amending </w:t>
      </w:r>
      <w:r w:rsidR="00D8182D">
        <w:rPr>
          <w:rFonts w:ascii="Times New Roman" w:hAnsi="Times New Roman" w:cs="Times New Roman"/>
          <w:sz w:val="22"/>
          <w:szCs w:val="22"/>
        </w:rPr>
        <w:t>the entire</w:t>
      </w:r>
      <w:r w:rsidRPr="007E5E5F">
        <w:rPr>
          <w:rFonts w:ascii="Times New Roman" w:hAnsi="Times New Roman" w:cs="Times New Roman"/>
          <w:sz w:val="22"/>
          <w:szCs w:val="22"/>
        </w:rPr>
        <w:t xml:space="preserve"> indivi</w:t>
      </w:r>
      <w:r w:rsidR="00856355">
        <w:rPr>
          <w:rFonts w:ascii="Times New Roman" w:hAnsi="Times New Roman" w:cs="Times New Roman"/>
          <w:sz w:val="22"/>
          <w:szCs w:val="22"/>
        </w:rPr>
        <w:t>dual device Regulations separately</w:t>
      </w:r>
      <w:r w:rsidRPr="007E5E5F">
        <w:rPr>
          <w:rFonts w:ascii="Times New Roman" w:hAnsi="Times New Roman" w:cs="Times New Roman"/>
          <w:sz w:val="22"/>
          <w:szCs w:val="22"/>
        </w:rPr>
        <w:t xml:space="preserve"> and simultaneously. </w:t>
      </w:r>
    </w:p>
    <w:p w:rsidR="007E5E5F" w:rsidRPr="007E5E5F" w:rsidRDefault="007E5E5F" w:rsidP="00B45ED6">
      <w:pPr>
        <w:spacing w:after="120" w:line="240" w:lineRule="atLeast"/>
        <w:ind w:left="567" w:right="-28"/>
        <w:jc w:val="both"/>
        <w:rPr>
          <w:rFonts w:ascii="Times New Roman" w:hAnsi="Times New Roman" w:cs="Times New Roman"/>
          <w:sz w:val="22"/>
          <w:szCs w:val="22"/>
        </w:rPr>
      </w:pPr>
      <w:r w:rsidRPr="007E5E5F">
        <w:rPr>
          <w:rFonts w:ascii="Times New Roman" w:hAnsi="Times New Roman" w:cs="Times New Roman"/>
          <w:sz w:val="22"/>
          <w:szCs w:val="22"/>
        </w:rPr>
        <w:t xml:space="preserve">Concerning the form of </w:t>
      </w:r>
      <w:r>
        <w:rPr>
          <w:rFonts w:ascii="Times New Roman" w:hAnsi="Times New Roman" w:cs="Times New Roman"/>
          <w:sz w:val="22"/>
          <w:szCs w:val="22"/>
        </w:rPr>
        <w:t xml:space="preserve">the </w:t>
      </w:r>
      <w:r w:rsidRPr="007E5E5F">
        <w:rPr>
          <w:rFonts w:ascii="Times New Roman" w:hAnsi="Times New Roman" w:cs="Times New Roman"/>
          <w:sz w:val="22"/>
          <w:szCs w:val="22"/>
        </w:rPr>
        <w:t xml:space="preserve">HRD, an option was to establish a new Resolution under the auspices of WP.29 or to introduce a new part B into Regulation No. 48 (R48) and use it as </w:t>
      </w:r>
      <w:r>
        <w:rPr>
          <w:rFonts w:ascii="Times New Roman" w:hAnsi="Times New Roman" w:cs="Times New Roman"/>
          <w:sz w:val="22"/>
          <w:szCs w:val="22"/>
        </w:rPr>
        <w:t xml:space="preserve">the </w:t>
      </w:r>
      <w:r w:rsidRPr="007E5E5F">
        <w:rPr>
          <w:rFonts w:ascii="Times New Roman" w:hAnsi="Times New Roman" w:cs="Times New Roman"/>
          <w:sz w:val="22"/>
          <w:szCs w:val="22"/>
        </w:rPr>
        <w:t xml:space="preserve">HRD. </w:t>
      </w:r>
    </w:p>
    <w:p w:rsidR="007E5E5F" w:rsidRDefault="007E5E5F" w:rsidP="00B45ED6">
      <w:pPr>
        <w:spacing w:after="120" w:line="240" w:lineRule="atLeast"/>
        <w:ind w:left="567" w:right="-28"/>
        <w:jc w:val="both"/>
        <w:rPr>
          <w:rFonts w:ascii="Times New Roman" w:hAnsi="Times New Roman" w:cs="Times New Roman"/>
          <w:sz w:val="22"/>
          <w:szCs w:val="22"/>
        </w:rPr>
      </w:pPr>
      <w:r w:rsidRPr="007E5E5F">
        <w:rPr>
          <w:rFonts w:ascii="Times New Roman" w:hAnsi="Times New Roman" w:cs="Times New Roman"/>
          <w:sz w:val="22"/>
          <w:szCs w:val="22"/>
        </w:rPr>
        <w:t xml:space="preserve">GRE took note of the guidance provided by OLA and WP.29 on different options for the </w:t>
      </w:r>
      <w:r w:rsidR="00D8182D">
        <w:rPr>
          <w:rFonts w:ascii="Times New Roman" w:hAnsi="Times New Roman" w:cs="Times New Roman"/>
          <w:sz w:val="22"/>
          <w:szCs w:val="22"/>
        </w:rPr>
        <w:t>HRD and subsequent discussion and guidance from WP29 has led to the conclusion that the development of an HRD approach is not feasible.</w:t>
      </w:r>
    </w:p>
    <w:p w:rsidR="008840B2" w:rsidRDefault="008840B2">
      <w:pPr>
        <w:spacing w:after="120" w:line="240" w:lineRule="atLeast"/>
        <w:ind w:right="-28"/>
        <w:jc w:val="both"/>
        <w:rPr>
          <w:rFonts w:ascii="Times New Roman" w:hAnsi="Times New Roman" w:cs="Times New Roman"/>
          <w:sz w:val="22"/>
          <w:szCs w:val="22"/>
        </w:rPr>
      </w:pPr>
    </w:p>
    <w:sectPr w:rsidR="008840B2" w:rsidSect="00EF2713">
      <w:footerReference w:type="default" r:id="rId9"/>
      <w:pgSz w:w="12240" w:h="15840"/>
      <w:pgMar w:top="1418" w:right="1892" w:bottom="851" w:left="130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92A" w:rsidRDefault="00BF692A" w:rsidP="00E168A1">
      <w:pPr>
        <w:spacing w:after="0" w:line="240" w:lineRule="auto"/>
      </w:pPr>
      <w:r>
        <w:separator/>
      </w:r>
    </w:p>
  </w:endnote>
  <w:endnote w:type="continuationSeparator" w:id="0">
    <w:p w:rsidR="00BF692A" w:rsidRDefault="00BF692A"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333885"/>
      <w:docPartObj>
        <w:docPartGallery w:val="Page Numbers (Bottom of Page)"/>
        <w:docPartUnique/>
      </w:docPartObj>
    </w:sdtPr>
    <w:sdtEndPr/>
    <w:sdtContent>
      <w:sdt>
        <w:sdtPr>
          <w:id w:val="565050523"/>
          <w:docPartObj>
            <w:docPartGallery w:val="Page Numbers (Top of Page)"/>
            <w:docPartUnique/>
          </w:docPartObj>
        </w:sdtPr>
        <w:sdtEndPr/>
        <w:sdtContent>
          <w:p w:rsidR="00EF2713" w:rsidRDefault="00EF2713">
            <w:pPr>
              <w:pStyle w:val="Pidipagina"/>
              <w:jc w:val="right"/>
            </w:pPr>
          </w:p>
          <w:p w:rsidR="00EF2713" w:rsidRDefault="00EF2713">
            <w:pPr>
              <w:pStyle w:val="Pidipagina"/>
              <w:jc w:val="right"/>
            </w:pPr>
            <w:r w:rsidRPr="00EF2713">
              <w:rPr>
                <w:i/>
                <w:sz w:val="18"/>
                <w:szCs w:val="18"/>
              </w:rPr>
              <w:t xml:space="preserve">Page </w:t>
            </w:r>
            <w:r w:rsidRPr="00EF2713">
              <w:rPr>
                <w:i/>
                <w:sz w:val="18"/>
                <w:szCs w:val="18"/>
              </w:rPr>
              <w:fldChar w:fldCharType="begin"/>
            </w:r>
            <w:r w:rsidRPr="00EF2713">
              <w:rPr>
                <w:i/>
                <w:sz w:val="18"/>
                <w:szCs w:val="18"/>
              </w:rPr>
              <w:instrText xml:space="preserve"> PAGE </w:instrText>
            </w:r>
            <w:r w:rsidRPr="00EF2713">
              <w:rPr>
                <w:i/>
                <w:sz w:val="18"/>
                <w:szCs w:val="18"/>
              </w:rPr>
              <w:fldChar w:fldCharType="separate"/>
            </w:r>
            <w:r w:rsidR="00345FBB">
              <w:rPr>
                <w:i/>
                <w:noProof/>
                <w:sz w:val="18"/>
                <w:szCs w:val="18"/>
              </w:rPr>
              <w:t>1</w:t>
            </w:r>
            <w:r w:rsidRPr="00EF2713">
              <w:rPr>
                <w:i/>
                <w:sz w:val="18"/>
                <w:szCs w:val="18"/>
              </w:rPr>
              <w:fldChar w:fldCharType="end"/>
            </w:r>
            <w:r w:rsidRPr="00EF2713">
              <w:rPr>
                <w:i/>
                <w:sz w:val="18"/>
                <w:szCs w:val="18"/>
              </w:rPr>
              <w:t xml:space="preserve"> of </w:t>
            </w:r>
            <w:r w:rsidRPr="00EF2713">
              <w:rPr>
                <w:i/>
                <w:sz w:val="18"/>
                <w:szCs w:val="18"/>
              </w:rPr>
              <w:fldChar w:fldCharType="begin"/>
            </w:r>
            <w:r w:rsidRPr="00EF2713">
              <w:rPr>
                <w:i/>
                <w:sz w:val="18"/>
                <w:szCs w:val="18"/>
              </w:rPr>
              <w:instrText xml:space="preserve"> NUMPAGES  </w:instrText>
            </w:r>
            <w:r w:rsidRPr="00EF2713">
              <w:rPr>
                <w:i/>
                <w:sz w:val="18"/>
                <w:szCs w:val="18"/>
              </w:rPr>
              <w:fldChar w:fldCharType="separate"/>
            </w:r>
            <w:r w:rsidR="00345FBB">
              <w:rPr>
                <w:i/>
                <w:noProof/>
                <w:sz w:val="18"/>
                <w:szCs w:val="18"/>
              </w:rPr>
              <w:t>3</w:t>
            </w:r>
            <w:r w:rsidRPr="00EF2713">
              <w:rPr>
                <w:i/>
                <w:sz w:val="18"/>
                <w:szCs w:val="18"/>
              </w:rPr>
              <w:fldChar w:fldCharType="end"/>
            </w:r>
          </w:p>
        </w:sdtContent>
      </w:sdt>
    </w:sdtContent>
  </w:sdt>
  <w:p w:rsidR="009229A1" w:rsidRDefault="009229A1" w:rsidP="009229A1">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92A" w:rsidRDefault="00BF692A" w:rsidP="00E168A1">
      <w:pPr>
        <w:spacing w:after="0" w:line="240" w:lineRule="auto"/>
      </w:pPr>
      <w:r>
        <w:separator/>
      </w:r>
    </w:p>
  </w:footnote>
  <w:footnote w:type="continuationSeparator" w:id="0">
    <w:p w:rsidR="00BF692A" w:rsidRDefault="00BF692A" w:rsidP="00E168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246"/>
    <w:multiLevelType w:val="multilevel"/>
    <w:tmpl w:val="9C9C7554"/>
    <w:lvl w:ilvl="0">
      <w:start w:val="6"/>
      <w:numFmt w:val="decimal"/>
      <w:lvlText w:val="%1."/>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640"/>
        </w:tabs>
        <w:ind w:left="8640" w:hanging="2160"/>
      </w:pPr>
      <w:rPr>
        <w:rFonts w:hint="default"/>
      </w:rPr>
    </w:lvl>
  </w:abstractNum>
  <w:abstractNum w:abstractNumId="1">
    <w:nsid w:val="19F3322C"/>
    <w:multiLevelType w:val="multilevel"/>
    <w:tmpl w:val="2252033C"/>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516554AF"/>
    <w:multiLevelType w:val="multilevel"/>
    <w:tmpl w:val="2252033C"/>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6E26B8F"/>
    <w:multiLevelType w:val="hybridMultilevel"/>
    <w:tmpl w:val="487C3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885064"/>
    <w:multiLevelType w:val="hybridMultilevel"/>
    <w:tmpl w:val="C78869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9F4385A"/>
    <w:multiLevelType w:val="hybridMultilevel"/>
    <w:tmpl w:val="0BA62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016D04"/>
    <w:multiLevelType w:val="multilevel"/>
    <w:tmpl w:val="01800A14"/>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nsid w:val="7E2815C3"/>
    <w:multiLevelType w:val="multilevel"/>
    <w:tmpl w:val="0D24984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500"/>
        </w:tabs>
        <w:ind w:left="4500" w:hanging="1080"/>
      </w:pPr>
      <w:rPr>
        <w:rFonts w:hint="default"/>
      </w:rPr>
    </w:lvl>
    <w:lvl w:ilvl="6">
      <w:start w:val="1"/>
      <w:numFmt w:val="decimal"/>
      <w:lvlText w:val="%1.%2.%3.%4.%5.%6.%7"/>
      <w:lvlJc w:val="left"/>
      <w:pPr>
        <w:tabs>
          <w:tab w:val="num" w:pos="5580"/>
        </w:tabs>
        <w:ind w:left="5580" w:hanging="1440"/>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7020"/>
        </w:tabs>
        <w:ind w:left="7020" w:hanging="1440"/>
      </w:pPr>
      <w:rPr>
        <w:rFonts w:hint="default"/>
      </w:rPr>
    </w:lvl>
  </w:abstractNum>
  <w:num w:numId="1">
    <w:abstractNumId w:val="7"/>
  </w:num>
  <w:num w:numId="2">
    <w:abstractNumId w:val="6"/>
  </w:num>
  <w:num w:numId="3">
    <w:abstractNumId w:val="0"/>
  </w:num>
  <w:num w:numId="4">
    <w:abstractNumId w:val="3"/>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283"/>
  <w:characterSpacingControl w:val="doNotCompress"/>
  <w:hdrShapeDefaults>
    <o:shapedefaults v:ext="edit" spidmax="38913">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docVars>
    <w:docVar w:name="LW_DocType" w:val="NORMAL"/>
  </w:docVars>
  <w:rsids>
    <w:rsidRoot w:val="00FA1AD0"/>
    <w:rsid w:val="000074BC"/>
    <w:rsid w:val="0002494C"/>
    <w:rsid w:val="00027B22"/>
    <w:rsid w:val="000477F0"/>
    <w:rsid w:val="00053F3A"/>
    <w:rsid w:val="00056A97"/>
    <w:rsid w:val="000632C7"/>
    <w:rsid w:val="00072ADF"/>
    <w:rsid w:val="00092D1B"/>
    <w:rsid w:val="000A3788"/>
    <w:rsid w:val="000A73CB"/>
    <w:rsid w:val="000F59EF"/>
    <w:rsid w:val="001231A4"/>
    <w:rsid w:val="00125D14"/>
    <w:rsid w:val="00131674"/>
    <w:rsid w:val="00134950"/>
    <w:rsid w:val="00135B6F"/>
    <w:rsid w:val="00145E5A"/>
    <w:rsid w:val="00150DA8"/>
    <w:rsid w:val="00194CF4"/>
    <w:rsid w:val="001C0F2C"/>
    <w:rsid w:val="001C4D0D"/>
    <w:rsid w:val="001C5965"/>
    <w:rsid w:val="001D255F"/>
    <w:rsid w:val="001E5E8F"/>
    <w:rsid w:val="001E7A62"/>
    <w:rsid w:val="001F16BF"/>
    <w:rsid w:val="001F4500"/>
    <w:rsid w:val="001F73FF"/>
    <w:rsid w:val="0020431C"/>
    <w:rsid w:val="00217CDE"/>
    <w:rsid w:val="002420AC"/>
    <w:rsid w:val="00242F8E"/>
    <w:rsid w:val="00251774"/>
    <w:rsid w:val="00267B06"/>
    <w:rsid w:val="002861BA"/>
    <w:rsid w:val="00296305"/>
    <w:rsid w:val="002A6AC7"/>
    <w:rsid w:val="002B3AF7"/>
    <w:rsid w:val="002C2ECA"/>
    <w:rsid w:val="002D2EC6"/>
    <w:rsid w:val="002E546F"/>
    <w:rsid w:val="00300D36"/>
    <w:rsid w:val="003107BF"/>
    <w:rsid w:val="003420E4"/>
    <w:rsid w:val="00344B82"/>
    <w:rsid w:val="00345FBB"/>
    <w:rsid w:val="003474ED"/>
    <w:rsid w:val="0036198D"/>
    <w:rsid w:val="00364461"/>
    <w:rsid w:val="00366606"/>
    <w:rsid w:val="00367EF2"/>
    <w:rsid w:val="00370FEF"/>
    <w:rsid w:val="00372E65"/>
    <w:rsid w:val="00375603"/>
    <w:rsid w:val="00392330"/>
    <w:rsid w:val="003A26D3"/>
    <w:rsid w:val="003A4333"/>
    <w:rsid w:val="003A792C"/>
    <w:rsid w:val="003B14B8"/>
    <w:rsid w:val="003B4CB5"/>
    <w:rsid w:val="003C50A0"/>
    <w:rsid w:val="003F6B99"/>
    <w:rsid w:val="00400948"/>
    <w:rsid w:val="00403524"/>
    <w:rsid w:val="00411269"/>
    <w:rsid w:val="004141DC"/>
    <w:rsid w:val="00415805"/>
    <w:rsid w:val="00425E1D"/>
    <w:rsid w:val="004365F6"/>
    <w:rsid w:val="004401A0"/>
    <w:rsid w:val="004501F3"/>
    <w:rsid w:val="004824CD"/>
    <w:rsid w:val="004C7BAF"/>
    <w:rsid w:val="004D2BFC"/>
    <w:rsid w:val="004D3456"/>
    <w:rsid w:val="004D35CE"/>
    <w:rsid w:val="004D7EB7"/>
    <w:rsid w:val="004E0E52"/>
    <w:rsid w:val="004F1D12"/>
    <w:rsid w:val="00500973"/>
    <w:rsid w:val="00510586"/>
    <w:rsid w:val="00510614"/>
    <w:rsid w:val="00514DCC"/>
    <w:rsid w:val="00515D10"/>
    <w:rsid w:val="00516974"/>
    <w:rsid w:val="00524B15"/>
    <w:rsid w:val="00525E0D"/>
    <w:rsid w:val="00536EDE"/>
    <w:rsid w:val="00537380"/>
    <w:rsid w:val="00577DF0"/>
    <w:rsid w:val="00593D2A"/>
    <w:rsid w:val="0059708E"/>
    <w:rsid w:val="005A1F0D"/>
    <w:rsid w:val="005B0CF8"/>
    <w:rsid w:val="005D60BC"/>
    <w:rsid w:val="005E65F4"/>
    <w:rsid w:val="005F2F9D"/>
    <w:rsid w:val="005F514C"/>
    <w:rsid w:val="00601DAC"/>
    <w:rsid w:val="00604EDF"/>
    <w:rsid w:val="00610EA0"/>
    <w:rsid w:val="00611A71"/>
    <w:rsid w:val="00620B67"/>
    <w:rsid w:val="00623216"/>
    <w:rsid w:val="006253C6"/>
    <w:rsid w:val="00635997"/>
    <w:rsid w:val="00651F2D"/>
    <w:rsid w:val="0066086D"/>
    <w:rsid w:val="00662515"/>
    <w:rsid w:val="00672E43"/>
    <w:rsid w:val="00687102"/>
    <w:rsid w:val="00687A81"/>
    <w:rsid w:val="006A054D"/>
    <w:rsid w:val="006A0635"/>
    <w:rsid w:val="006A48B7"/>
    <w:rsid w:val="006B6EB6"/>
    <w:rsid w:val="006D6749"/>
    <w:rsid w:val="00700030"/>
    <w:rsid w:val="00706939"/>
    <w:rsid w:val="00717EE3"/>
    <w:rsid w:val="00732B1D"/>
    <w:rsid w:val="00742EEE"/>
    <w:rsid w:val="00743AE9"/>
    <w:rsid w:val="00746710"/>
    <w:rsid w:val="00746E3E"/>
    <w:rsid w:val="0077010A"/>
    <w:rsid w:val="0078075B"/>
    <w:rsid w:val="007808B2"/>
    <w:rsid w:val="00784A73"/>
    <w:rsid w:val="0079605A"/>
    <w:rsid w:val="007B3D99"/>
    <w:rsid w:val="007B653D"/>
    <w:rsid w:val="007C09E7"/>
    <w:rsid w:val="007C2A6F"/>
    <w:rsid w:val="007C5CFC"/>
    <w:rsid w:val="007D3723"/>
    <w:rsid w:val="007D4BBF"/>
    <w:rsid w:val="007D5B71"/>
    <w:rsid w:val="007E5E5F"/>
    <w:rsid w:val="007F1020"/>
    <w:rsid w:val="007F5EB6"/>
    <w:rsid w:val="007F78DD"/>
    <w:rsid w:val="008170F1"/>
    <w:rsid w:val="00825116"/>
    <w:rsid w:val="00825DFC"/>
    <w:rsid w:val="008349E9"/>
    <w:rsid w:val="00836725"/>
    <w:rsid w:val="0085364B"/>
    <w:rsid w:val="00856355"/>
    <w:rsid w:val="00857794"/>
    <w:rsid w:val="008807A0"/>
    <w:rsid w:val="00883F9C"/>
    <w:rsid w:val="008840B2"/>
    <w:rsid w:val="008854BB"/>
    <w:rsid w:val="00895C59"/>
    <w:rsid w:val="008A6B9D"/>
    <w:rsid w:val="008B1E59"/>
    <w:rsid w:val="008D23B0"/>
    <w:rsid w:val="008D27D3"/>
    <w:rsid w:val="008D695D"/>
    <w:rsid w:val="008E54C6"/>
    <w:rsid w:val="008E6FDF"/>
    <w:rsid w:val="009053FD"/>
    <w:rsid w:val="00912B56"/>
    <w:rsid w:val="009229A1"/>
    <w:rsid w:val="00924F8F"/>
    <w:rsid w:val="009464D1"/>
    <w:rsid w:val="0096070D"/>
    <w:rsid w:val="009628A9"/>
    <w:rsid w:val="00966CA7"/>
    <w:rsid w:val="009737A2"/>
    <w:rsid w:val="009968BA"/>
    <w:rsid w:val="00997F63"/>
    <w:rsid w:val="009A204C"/>
    <w:rsid w:val="009B370A"/>
    <w:rsid w:val="009D06A7"/>
    <w:rsid w:val="009E0DE5"/>
    <w:rsid w:val="009E178B"/>
    <w:rsid w:val="009E7D0A"/>
    <w:rsid w:val="009F4E54"/>
    <w:rsid w:val="009F614A"/>
    <w:rsid w:val="00A059A2"/>
    <w:rsid w:val="00A257CF"/>
    <w:rsid w:val="00A30E2F"/>
    <w:rsid w:val="00A4014C"/>
    <w:rsid w:val="00A46489"/>
    <w:rsid w:val="00A80984"/>
    <w:rsid w:val="00A857EB"/>
    <w:rsid w:val="00A87BB5"/>
    <w:rsid w:val="00A93754"/>
    <w:rsid w:val="00A96B8E"/>
    <w:rsid w:val="00AA5FAC"/>
    <w:rsid w:val="00AA6D2F"/>
    <w:rsid w:val="00AD388C"/>
    <w:rsid w:val="00AD6B70"/>
    <w:rsid w:val="00AE4439"/>
    <w:rsid w:val="00AF1122"/>
    <w:rsid w:val="00B000FE"/>
    <w:rsid w:val="00B129C5"/>
    <w:rsid w:val="00B21922"/>
    <w:rsid w:val="00B232CC"/>
    <w:rsid w:val="00B34FDC"/>
    <w:rsid w:val="00B45ED6"/>
    <w:rsid w:val="00B4610E"/>
    <w:rsid w:val="00B620A5"/>
    <w:rsid w:val="00B63AD8"/>
    <w:rsid w:val="00B8073E"/>
    <w:rsid w:val="00B94209"/>
    <w:rsid w:val="00B9754C"/>
    <w:rsid w:val="00BA7BC0"/>
    <w:rsid w:val="00BE3B75"/>
    <w:rsid w:val="00BF692A"/>
    <w:rsid w:val="00C10B66"/>
    <w:rsid w:val="00C10FA1"/>
    <w:rsid w:val="00C2331D"/>
    <w:rsid w:val="00C23532"/>
    <w:rsid w:val="00C27EF0"/>
    <w:rsid w:val="00C37569"/>
    <w:rsid w:val="00C46922"/>
    <w:rsid w:val="00C700E2"/>
    <w:rsid w:val="00C74D75"/>
    <w:rsid w:val="00C75D95"/>
    <w:rsid w:val="00C80466"/>
    <w:rsid w:val="00C833FF"/>
    <w:rsid w:val="00CA1887"/>
    <w:rsid w:val="00CB07BC"/>
    <w:rsid w:val="00CE4D37"/>
    <w:rsid w:val="00CE58DC"/>
    <w:rsid w:val="00CE6F36"/>
    <w:rsid w:val="00CF0F07"/>
    <w:rsid w:val="00D01B26"/>
    <w:rsid w:val="00D2734F"/>
    <w:rsid w:val="00D63B8B"/>
    <w:rsid w:val="00D8182D"/>
    <w:rsid w:val="00D81960"/>
    <w:rsid w:val="00D82B60"/>
    <w:rsid w:val="00D93225"/>
    <w:rsid w:val="00D95DBC"/>
    <w:rsid w:val="00DA31C1"/>
    <w:rsid w:val="00DB30A3"/>
    <w:rsid w:val="00DD609B"/>
    <w:rsid w:val="00DD65BC"/>
    <w:rsid w:val="00DD69AE"/>
    <w:rsid w:val="00DE5901"/>
    <w:rsid w:val="00E03345"/>
    <w:rsid w:val="00E168A1"/>
    <w:rsid w:val="00E31409"/>
    <w:rsid w:val="00E36727"/>
    <w:rsid w:val="00E40511"/>
    <w:rsid w:val="00E503FF"/>
    <w:rsid w:val="00E558B1"/>
    <w:rsid w:val="00E569AC"/>
    <w:rsid w:val="00E64F6D"/>
    <w:rsid w:val="00E67F28"/>
    <w:rsid w:val="00E71C4A"/>
    <w:rsid w:val="00E80F3F"/>
    <w:rsid w:val="00E82A5D"/>
    <w:rsid w:val="00E948E9"/>
    <w:rsid w:val="00EB02A0"/>
    <w:rsid w:val="00EB79D4"/>
    <w:rsid w:val="00EC1C5E"/>
    <w:rsid w:val="00ED7FB6"/>
    <w:rsid w:val="00EE1F91"/>
    <w:rsid w:val="00EE5CBC"/>
    <w:rsid w:val="00EF0E26"/>
    <w:rsid w:val="00EF2713"/>
    <w:rsid w:val="00EF4F88"/>
    <w:rsid w:val="00F024E4"/>
    <w:rsid w:val="00F21163"/>
    <w:rsid w:val="00F32D95"/>
    <w:rsid w:val="00F53AC8"/>
    <w:rsid w:val="00F55D68"/>
    <w:rsid w:val="00F641D4"/>
    <w:rsid w:val="00F746B8"/>
    <w:rsid w:val="00F75776"/>
    <w:rsid w:val="00F908E1"/>
    <w:rsid w:val="00FA1AD0"/>
    <w:rsid w:val="00FA3F63"/>
    <w:rsid w:val="00FA68E8"/>
    <w:rsid w:val="00FB04D0"/>
    <w:rsid w:val="00FE5F77"/>
    <w:rsid w:val="00FF459B"/>
    <w:rsid w:val="00FF66A4"/>
    <w:rsid w:val="00FF7159"/>
    <w:rsid w:val="00FF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30A3"/>
    <w:pPr>
      <w:spacing w:after="200" w:line="276" w:lineRule="auto"/>
    </w:pPr>
    <w:rPr>
      <w:rFonts w:ascii="Arial" w:hAnsi="Arial" w:cs="Arial"/>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8D695D"/>
    <w:rPr>
      <w:rFonts w:ascii="Tahoma" w:hAnsi="Tahoma" w:cs="Tahoma"/>
      <w:sz w:val="16"/>
      <w:szCs w:val="16"/>
    </w:rPr>
  </w:style>
  <w:style w:type="paragraph" w:styleId="Intestazione">
    <w:name w:val="header"/>
    <w:basedOn w:val="Normale"/>
    <w:link w:val="IntestazioneCarattere"/>
    <w:uiPriority w:val="99"/>
    <w:unhideWhenUsed/>
    <w:rsid w:val="00E168A1"/>
    <w:pPr>
      <w:tabs>
        <w:tab w:val="center" w:pos="4252"/>
        <w:tab w:val="right" w:pos="8504"/>
      </w:tabs>
      <w:snapToGrid w:val="0"/>
    </w:pPr>
  </w:style>
  <w:style w:type="character" w:customStyle="1" w:styleId="IntestazioneCarattere">
    <w:name w:val="Intestazione Carattere"/>
    <w:link w:val="Intestazione"/>
    <w:uiPriority w:val="99"/>
    <w:rsid w:val="00E168A1"/>
    <w:rPr>
      <w:rFonts w:ascii="Arial" w:hAnsi="Arial" w:cs="Arial"/>
      <w:sz w:val="24"/>
      <w:szCs w:val="24"/>
      <w:lang w:eastAsia="en-US"/>
    </w:rPr>
  </w:style>
  <w:style w:type="paragraph" w:styleId="Pidipagina">
    <w:name w:val="footer"/>
    <w:basedOn w:val="Normale"/>
    <w:link w:val="PidipaginaCarattere"/>
    <w:uiPriority w:val="99"/>
    <w:unhideWhenUsed/>
    <w:rsid w:val="00E168A1"/>
    <w:pPr>
      <w:tabs>
        <w:tab w:val="center" w:pos="4252"/>
        <w:tab w:val="right" w:pos="8504"/>
      </w:tabs>
      <w:snapToGrid w:val="0"/>
    </w:pPr>
  </w:style>
  <w:style w:type="character" w:customStyle="1" w:styleId="PidipaginaCarattere">
    <w:name w:val="Piè di pagina Carattere"/>
    <w:link w:val="Pidipagina"/>
    <w:uiPriority w:val="99"/>
    <w:rsid w:val="00E168A1"/>
    <w:rPr>
      <w:rFonts w:ascii="Arial" w:hAnsi="Arial" w:cs="Arial"/>
      <w:sz w:val="24"/>
      <w:szCs w:val="24"/>
      <w:lang w:eastAsia="en-US"/>
    </w:rPr>
  </w:style>
  <w:style w:type="character" w:styleId="Collegamentoipertestuale">
    <w:name w:val="Hyperlink"/>
    <w:uiPriority w:val="99"/>
    <w:unhideWhenUsed/>
    <w:rsid w:val="00BA7BC0"/>
    <w:rPr>
      <w:strike w:val="0"/>
      <w:dstrike w:val="0"/>
      <w:color w:val="464E90"/>
      <w:u w:val="none"/>
      <w:effect w:val="none"/>
    </w:rPr>
  </w:style>
  <w:style w:type="table" w:styleId="Grigliatabella">
    <w:name w:val="Table Grid"/>
    <w:basedOn w:val="Tabellanormale"/>
    <w:uiPriority w:val="59"/>
    <w:rsid w:val="00EE1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2E546F"/>
    <w:rPr>
      <w:sz w:val="16"/>
      <w:szCs w:val="16"/>
    </w:rPr>
  </w:style>
  <w:style w:type="paragraph" w:styleId="Testocommento">
    <w:name w:val="annotation text"/>
    <w:basedOn w:val="Normale"/>
    <w:link w:val="TestocommentoCarattere"/>
    <w:uiPriority w:val="99"/>
    <w:semiHidden/>
    <w:unhideWhenUsed/>
    <w:rsid w:val="002E546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E546F"/>
    <w:rPr>
      <w:rFonts w:ascii="Arial" w:hAnsi="Arial" w:cs="Arial"/>
      <w:lang w:eastAsia="en-US"/>
    </w:rPr>
  </w:style>
  <w:style w:type="paragraph" w:styleId="Soggettocommento">
    <w:name w:val="annotation subject"/>
    <w:basedOn w:val="Testocommento"/>
    <w:next w:val="Testocommento"/>
    <w:link w:val="SoggettocommentoCarattere"/>
    <w:uiPriority w:val="99"/>
    <w:semiHidden/>
    <w:unhideWhenUsed/>
    <w:rsid w:val="002E546F"/>
    <w:rPr>
      <w:b/>
      <w:bCs/>
    </w:rPr>
  </w:style>
  <w:style w:type="character" w:customStyle="1" w:styleId="SoggettocommentoCarattere">
    <w:name w:val="Soggetto commento Carattere"/>
    <w:basedOn w:val="TestocommentoCarattere"/>
    <w:link w:val="Soggettocommento"/>
    <w:uiPriority w:val="99"/>
    <w:semiHidden/>
    <w:rsid w:val="002E546F"/>
    <w:rPr>
      <w:rFonts w:ascii="Arial" w:hAnsi="Arial" w:cs="Arial"/>
      <w:b/>
      <w:bCs/>
      <w:lang w:eastAsia="en-US"/>
    </w:rPr>
  </w:style>
  <w:style w:type="paragraph" w:styleId="Paragrafoelenco">
    <w:name w:val="List Paragraph"/>
    <w:basedOn w:val="Normale"/>
    <w:uiPriority w:val="34"/>
    <w:qFormat/>
    <w:rsid w:val="003666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E8260-4FE4-46EF-A78D-4DC7C7815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TotalTime>
  <Pages>3</Pages>
  <Words>1169</Words>
  <Characters>6664</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DRAFT AGENDA</vt:lpstr>
    </vt:vector>
  </TitlesOfParts>
  <Company>DOT</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Davide Puglisi</cp:lastModifiedBy>
  <cp:revision>20</cp:revision>
  <cp:lastPrinted>2013-07-14T11:19:00Z</cp:lastPrinted>
  <dcterms:created xsi:type="dcterms:W3CDTF">2015-11-12T18:04:00Z</dcterms:created>
  <dcterms:modified xsi:type="dcterms:W3CDTF">2015-12-04T10:34:00Z</dcterms:modified>
</cp:coreProperties>
</file>