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D8" w:rsidRPr="00705087" w:rsidRDefault="00A04539" w:rsidP="00F12D7F">
      <w:pPr>
        <w:spacing w:after="0" w:line="240" w:lineRule="auto"/>
        <w:outlineLvl w:val="0"/>
        <w:rPr>
          <w:rFonts w:cs="Arial"/>
          <w:sz w:val="22"/>
          <w:lang w:val="en-CA" w:eastAsia="ko-KR"/>
        </w:rPr>
      </w:pPr>
      <w:r w:rsidRPr="00086A44">
        <w:rPr>
          <w:rFonts w:cs="Arial"/>
          <w:color w:val="000000" w:themeColor="text1"/>
          <w:sz w:val="22"/>
          <w:lang w:val="en-CA"/>
        </w:rPr>
        <w:t xml:space="preserve">Submitted by </w:t>
      </w:r>
      <w:r w:rsidRPr="00705087">
        <w:rPr>
          <w:rFonts w:cs="Arial"/>
          <w:sz w:val="22"/>
          <w:lang w:val="en-CA"/>
        </w:rPr>
        <w:t>the</w:t>
      </w:r>
      <w:r w:rsidR="006B55B1">
        <w:rPr>
          <w:rFonts w:cs="Arial"/>
          <w:sz w:val="22"/>
          <w:lang w:val="en-CA"/>
        </w:rPr>
        <w:t xml:space="preserve"> </w:t>
      </w:r>
      <w:r w:rsidR="00906D6E" w:rsidRPr="00705087">
        <w:rPr>
          <w:rFonts w:cs="Arial" w:hint="eastAsia"/>
          <w:sz w:val="22"/>
          <w:lang w:val="en-CA" w:eastAsia="ko-KR"/>
        </w:rPr>
        <w:t xml:space="preserve">IWG on </w:t>
      </w:r>
      <w:r w:rsidR="00892260" w:rsidRPr="00705087">
        <w:rPr>
          <w:rFonts w:cs="Arial" w:hint="eastAsia"/>
          <w:sz w:val="22"/>
          <w:lang w:val="en-CA" w:eastAsia="ko-KR"/>
        </w:rPr>
        <w:t>PSG</w:t>
      </w:r>
      <w:r w:rsidR="006B55B1">
        <w:rPr>
          <w:rFonts w:cs="Arial"/>
          <w:sz w:val="22"/>
          <w:lang w:val="en-CA" w:eastAsia="ko-KR"/>
        </w:rPr>
        <w:t xml:space="preserve"> </w:t>
      </w:r>
      <w:r w:rsidR="00086A44" w:rsidRPr="00705087">
        <w:rPr>
          <w:rFonts w:cs="Arial" w:hint="eastAsia"/>
          <w:sz w:val="22"/>
          <w:lang w:val="en-CA" w:eastAsia="ko-KR"/>
        </w:rPr>
        <w:t xml:space="preserve">Chair and </w:t>
      </w:r>
      <w:r w:rsidR="00892260" w:rsidRPr="00705087">
        <w:rPr>
          <w:rFonts w:cs="Arial" w:hint="eastAsia"/>
          <w:sz w:val="22"/>
          <w:lang w:val="en-CA" w:eastAsia="ko-KR"/>
        </w:rPr>
        <w:t>Co-Chair</w:t>
      </w:r>
      <w:r w:rsidR="00F362A5">
        <w:rPr>
          <w:rFonts w:cs="Arial"/>
          <w:sz w:val="22"/>
          <w:lang w:val="en-CA" w:eastAsia="ko-KR"/>
        </w:rPr>
        <w:tab/>
      </w:r>
      <w:r w:rsidR="00F362A5">
        <w:rPr>
          <w:rFonts w:cs="Arial"/>
          <w:sz w:val="22"/>
          <w:lang w:val="en-CA" w:eastAsia="ko-KR"/>
        </w:rPr>
        <w:tab/>
      </w:r>
      <w:r w:rsidR="00F362A5">
        <w:rPr>
          <w:rFonts w:cs="Arial"/>
          <w:sz w:val="22"/>
          <w:lang w:val="en-CA" w:eastAsia="ko-KR"/>
        </w:rPr>
        <w:tab/>
      </w:r>
      <w:r w:rsidR="009D7425">
        <w:rPr>
          <w:rFonts w:cs="Arial"/>
          <w:b/>
          <w:sz w:val="22"/>
          <w:lang w:val="en-CA"/>
        </w:rPr>
        <w:t xml:space="preserve">              </w:t>
      </w:r>
      <w:r w:rsidR="008604F6">
        <w:rPr>
          <w:rFonts w:cs="Arial" w:hint="eastAsia"/>
          <w:sz w:val="22"/>
          <w:lang w:val="en-CA" w:eastAsia="ko-KR"/>
        </w:rPr>
        <w:t>PSG-0</w:t>
      </w:r>
      <w:r w:rsidR="001317D2">
        <w:rPr>
          <w:rFonts w:cs="Arial"/>
          <w:sz w:val="22"/>
          <w:lang w:val="en-CA" w:eastAsia="ko-KR"/>
        </w:rPr>
        <w:t>6</w:t>
      </w:r>
      <w:r w:rsidR="000B7377" w:rsidRPr="00705087">
        <w:rPr>
          <w:rFonts w:cs="Arial"/>
          <w:sz w:val="22"/>
          <w:lang w:val="en-CA"/>
        </w:rPr>
        <w:t>-</w:t>
      </w:r>
      <w:r w:rsidR="009129E6" w:rsidRPr="00705087">
        <w:rPr>
          <w:rFonts w:cs="Arial" w:hint="eastAsia"/>
          <w:sz w:val="22"/>
          <w:lang w:val="en-CA" w:eastAsia="ko-KR"/>
        </w:rPr>
        <w:t>Minutes</w:t>
      </w:r>
    </w:p>
    <w:p w:rsidR="001316EB" w:rsidRPr="00705087" w:rsidRDefault="001316EB" w:rsidP="00BF2503">
      <w:pPr>
        <w:spacing w:after="0" w:line="240" w:lineRule="auto"/>
        <w:jc w:val="right"/>
        <w:rPr>
          <w:rFonts w:cs="Arial"/>
          <w:sz w:val="22"/>
          <w:lang w:val="en-CA"/>
        </w:rPr>
      </w:pPr>
      <w:r w:rsidRPr="00705087">
        <w:rPr>
          <w:rFonts w:cs="Arial"/>
          <w:sz w:val="22"/>
          <w:lang w:val="en-CA"/>
        </w:rPr>
        <w:t>(</w:t>
      </w:r>
      <w:r w:rsidR="001317D2">
        <w:rPr>
          <w:rFonts w:cs="Arial"/>
          <w:sz w:val="22"/>
          <w:lang w:val="en-CA"/>
        </w:rPr>
        <w:t>6</w:t>
      </w:r>
      <w:r w:rsidR="006B55B1" w:rsidRPr="006B55B1">
        <w:rPr>
          <w:rFonts w:cs="Arial"/>
          <w:sz w:val="22"/>
          <w:vertAlign w:val="superscript"/>
          <w:lang w:val="en-CA"/>
        </w:rPr>
        <w:t>th</w:t>
      </w:r>
      <w:r w:rsidR="006B55B1">
        <w:rPr>
          <w:rFonts w:cs="Arial"/>
          <w:sz w:val="22"/>
          <w:lang w:val="en-CA"/>
        </w:rPr>
        <w:t xml:space="preserve"> </w:t>
      </w:r>
      <w:r w:rsidR="00892260" w:rsidRPr="00705087">
        <w:rPr>
          <w:rFonts w:cs="Arial" w:hint="eastAsia"/>
          <w:sz w:val="22"/>
          <w:lang w:val="en-CA" w:eastAsia="ko-KR"/>
        </w:rPr>
        <w:t xml:space="preserve">PSG </w:t>
      </w:r>
      <w:r w:rsidRPr="00705087">
        <w:rPr>
          <w:rFonts w:cs="Arial"/>
          <w:sz w:val="22"/>
          <w:lang w:val="en-CA"/>
        </w:rPr>
        <w:t xml:space="preserve">meeting; </w:t>
      </w:r>
      <w:r w:rsidR="001317D2">
        <w:rPr>
          <w:rFonts w:cs="Arial"/>
          <w:sz w:val="22"/>
          <w:lang w:val="en-CA" w:eastAsia="ko-KR"/>
        </w:rPr>
        <w:t>10</w:t>
      </w:r>
      <w:r w:rsidR="006E71B7">
        <w:rPr>
          <w:rFonts w:cs="Arial"/>
          <w:sz w:val="22"/>
          <w:lang w:val="en-CA" w:eastAsia="ko-KR"/>
        </w:rPr>
        <w:t xml:space="preserve"> </w:t>
      </w:r>
      <w:r w:rsidR="001317D2">
        <w:rPr>
          <w:rFonts w:cs="Arial"/>
          <w:sz w:val="22"/>
          <w:lang w:val="en-CA" w:eastAsia="ko-KR"/>
        </w:rPr>
        <w:t>October</w:t>
      </w:r>
      <w:r w:rsidR="006E71B7">
        <w:rPr>
          <w:rFonts w:cs="Arial"/>
          <w:sz w:val="22"/>
          <w:lang w:val="en-CA" w:eastAsia="ko-KR"/>
        </w:rPr>
        <w:t xml:space="preserve"> 2016</w:t>
      </w:r>
      <w:r w:rsidRPr="00705087">
        <w:rPr>
          <w:rFonts w:cs="Arial"/>
          <w:sz w:val="22"/>
          <w:lang w:val="en-CA"/>
        </w:rPr>
        <w:t>)</w:t>
      </w:r>
    </w:p>
    <w:p w:rsidR="001316EB" w:rsidRPr="00705087" w:rsidRDefault="001316EB" w:rsidP="00BF2503">
      <w:pPr>
        <w:spacing w:after="0" w:line="240" w:lineRule="auto"/>
        <w:rPr>
          <w:rFonts w:cs="Arial"/>
          <w:sz w:val="22"/>
          <w:lang w:val="en-CA"/>
        </w:rPr>
      </w:pPr>
    </w:p>
    <w:p w:rsidR="001316EB" w:rsidRPr="00705087" w:rsidRDefault="001316EB" w:rsidP="00BE483B">
      <w:pPr>
        <w:spacing w:after="0" w:line="240" w:lineRule="auto"/>
        <w:jc w:val="center"/>
        <w:outlineLvl w:val="0"/>
        <w:rPr>
          <w:rFonts w:cs="Arial"/>
          <w:b/>
          <w:sz w:val="22"/>
          <w:lang w:val="en-CA"/>
        </w:rPr>
      </w:pPr>
      <w:r w:rsidRPr="00705087">
        <w:rPr>
          <w:rFonts w:cs="Arial"/>
          <w:b/>
          <w:sz w:val="22"/>
          <w:lang w:val="en-CA"/>
        </w:rPr>
        <w:t xml:space="preserve">Report of the </w:t>
      </w:r>
      <w:r w:rsidR="00944BBE">
        <w:rPr>
          <w:rFonts w:cs="Arial"/>
          <w:b/>
          <w:sz w:val="22"/>
          <w:lang w:val="en-CA"/>
        </w:rPr>
        <w:t>6</w:t>
      </w:r>
      <w:r w:rsidR="006B55B1" w:rsidRPr="006B55B1">
        <w:rPr>
          <w:rFonts w:cs="Arial"/>
          <w:b/>
          <w:sz w:val="22"/>
          <w:vertAlign w:val="superscript"/>
          <w:lang w:val="en-CA"/>
        </w:rPr>
        <w:t>th</w:t>
      </w:r>
      <w:r w:rsidR="006B55B1">
        <w:rPr>
          <w:rFonts w:cs="Arial"/>
          <w:b/>
          <w:sz w:val="22"/>
          <w:lang w:val="en-CA"/>
        </w:rPr>
        <w:t xml:space="preserve"> </w:t>
      </w:r>
      <w:r w:rsidRPr="00705087">
        <w:rPr>
          <w:rFonts w:cs="Arial"/>
          <w:b/>
          <w:sz w:val="22"/>
          <w:lang w:val="en-CA"/>
        </w:rPr>
        <w:t>Meeting</w:t>
      </w:r>
      <w:r w:rsidR="006B55B1">
        <w:rPr>
          <w:rFonts w:cs="Arial"/>
          <w:b/>
          <w:sz w:val="22"/>
          <w:lang w:val="en-CA"/>
        </w:rPr>
        <w:t xml:space="preserve"> </w:t>
      </w:r>
      <w:r w:rsidRPr="00705087">
        <w:rPr>
          <w:rFonts w:cs="Arial"/>
          <w:b/>
          <w:sz w:val="22"/>
          <w:lang w:val="en-CA"/>
        </w:rPr>
        <w:t>of the</w:t>
      </w:r>
    </w:p>
    <w:p w:rsidR="001316EB" w:rsidRPr="00705087" w:rsidRDefault="001316EB" w:rsidP="00BF2503">
      <w:pPr>
        <w:spacing w:after="0" w:line="240" w:lineRule="auto"/>
        <w:jc w:val="center"/>
        <w:rPr>
          <w:rFonts w:cs="Arial"/>
          <w:b/>
          <w:sz w:val="22"/>
          <w:lang w:val="en-CA"/>
        </w:rPr>
      </w:pPr>
      <w:r w:rsidRPr="00705087">
        <w:rPr>
          <w:rFonts w:cs="Arial"/>
          <w:b/>
          <w:sz w:val="22"/>
          <w:lang w:val="en-CA"/>
        </w:rPr>
        <w:t xml:space="preserve">Informal </w:t>
      </w:r>
      <w:r w:rsidR="00906D6E" w:rsidRPr="00705087">
        <w:rPr>
          <w:rFonts w:cs="Arial" w:hint="eastAsia"/>
          <w:b/>
          <w:sz w:val="22"/>
          <w:lang w:val="en-CA" w:eastAsia="ko-KR"/>
        </w:rPr>
        <w:t xml:space="preserve">Working </w:t>
      </w:r>
      <w:r w:rsidRPr="00705087">
        <w:rPr>
          <w:rFonts w:cs="Arial"/>
          <w:b/>
          <w:sz w:val="22"/>
          <w:lang w:val="en-CA"/>
        </w:rPr>
        <w:t xml:space="preserve">Group on </w:t>
      </w:r>
      <w:r w:rsidR="00892260" w:rsidRPr="00705087">
        <w:rPr>
          <w:rFonts w:cs="Arial" w:hint="eastAsia"/>
          <w:b/>
          <w:sz w:val="22"/>
          <w:lang w:val="en-CA" w:eastAsia="ko-KR"/>
        </w:rPr>
        <w:t>Panoramic Sunroof Glazing</w:t>
      </w:r>
    </w:p>
    <w:p w:rsidR="001316EB" w:rsidRPr="00705087" w:rsidRDefault="001316EB" w:rsidP="00BF2503">
      <w:pPr>
        <w:spacing w:after="0" w:line="240" w:lineRule="auto"/>
        <w:rPr>
          <w:rFonts w:cs="Arial"/>
          <w:sz w:val="22"/>
          <w:lang w:val="en-CA"/>
        </w:rPr>
      </w:pPr>
    </w:p>
    <w:p w:rsidR="006E71B7" w:rsidRPr="00944BBE" w:rsidRDefault="00944BBE" w:rsidP="00BF2503">
      <w:pPr>
        <w:spacing w:after="0" w:line="240" w:lineRule="auto"/>
        <w:rPr>
          <w:rFonts w:cs="Arial"/>
          <w:sz w:val="22"/>
          <w:lang w:val="fr-FR"/>
        </w:rPr>
      </w:pPr>
      <w:r w:rsidRPr="00944BBE">
        <w:rPr>
          <w:rFonts w:cs="Arial"/>
          <w:sz w:val="22"/>
          <w:lang w:val="fr-FR"/>
        </w:rPr>
        <w:t>Location:</w:t>
      </w:r>
      <w:r w:rsidRPr="00944BBE">
        <w:rPr>
          <w:rFonts w:cs="Arial"/>
          <w:sz w:val="22"/>
          <w:lang w:val="fr-FR"/>
        </w:rPr>
        <w:tab/>
      </w:r>
      <w:r>
        <w:rPr>
          <w:rFonts w:cs="Arial"/>
          <w:sz w:val="22"/>
          <w:lang w:val="fr-FR"/>
        </w:rPr>
        <w:t>Palais des Nations, Room VII</w:t>
      </w:r>
    </w:p>
    <w:p w:rsidR="001316EB" w:rsidRPr="006B55B1" w:rsidRDefault="001316EB" w:rsidP="00BF2503">
      <w:pPr>
        <w:spacing w:after="0" w:line="240" w:lineRule="auto"/>
        <w:rPr>
          <w:rFonts w:cs="Arial"/>
          <w:sz w:val="22"/>
          <w:lang w:val="en-CA"/>
        </w:rPr>
      </w:pPr>
      <w:r w:rsidRPr="006B55B1">
        <w:rPr>
          <w:rFonts w:cs="Arial"/>
          <w:sz w:val="22"/>
          <w:lang w:val="en-CA"/>
        </w:rPr>
        <w:t>Date:</w:t>
      </w:r>
      <w:r w:rsidRPr="006B55B1">
        <w:rPr>
          <w:rFonts w:cs="Arial"/>
          <w:sz w:val="22"/>
          <w:lang w:val="en-CA"/>
        </w:rPr>
        <w:tab/>
      </w:r>
      <w:r w:rsidRPr="006B55B1">
        <w:rPr>
          <w:rFonts w:cs="Arial"/>
          <w:sz w:val="22"/>
          <w:lang w:val="en-CA"/>
        </w:rPr>
        <w:tab/>
      </w:r>
      <w:r w:rsidR="00944BBE">
        <w:rPr>
          <w:rFonts w:cs="Arial"/>
          <w:sz w:val="22"/>
          <w:lang w:val="en-CA"/>
        </w:rPr>
        <w:t>Mon</w:t>
      </w:r>
      <w:r w:rsidR="002F4138">
        <w:rPr>
          <w:rFonts w:cs="Arial"/>
          <w:sz w:val="22"/>
          <w:lang w:val="en-CA"/>
        </w:rPr>
        <w:t>day</w:t>
      </w:r>
      <w:r w:rsidR="006B55B1" w:rsidRPr="006B55B1">
        <w:rPr>
          <w:rFonts w:cs="Arial"/>
          <w:sz w:val="22"/>
          <w:lang w:val="en-CA"/>
        </w:rPr>
        <w:t xml:space="preserve">, </w:t>
      </w:r>
      <w:r w:rsidR="00944BBE">
        <w:rPr>
          <w:rFonts w:cs="Arial"/>
          <w:sz w:val="22"/>
          <w:lang w:val="en-CA"/>
        </w:rPr>
        <w:t>10</w:t>
      </w:r>
      <w:r w:rsidR="006B55B1" w:rsidRPr="006B55B1">
        <w:rPr>
          <w:rFonts w:cs="Arial"/>
          <w:sz w:val="22"/>
          <w:lang w:val="en-CA"/>
        </w:rPr>
        <w:t xml:space="preserve">th </w:t>
      </w:r>
      <w:r w:rsidR="00944BBE">
        <w:rPr>
          <w:rFonts w:cs="Arial"/>
          <w:sz w:val="22"/>
          <w:lang w:val="en-CA"/>
        </w:rPr>
        <w:t>October</w:t>
      </w:r>
      <w:r w:rsidR="006B55B1" w:rsidRPr="006B55B1">
        <w:rPr>
          <w:rFonts w:cs="Arial"/>
          <w:sz w:val="22"/>
          <w:lang w:val="en-CA"/>
        </w:rPr>
        <w:t xml:space="preserve"> 2016, 1</w:t>
      </w:r>
      <w:r w:rsidR="00944BBE">
        <w:rPr>
          <w:rFonts w:cs="Arial"/>
          <w:sz w:val="22"/>
          <w:lang w:val="en-CA"/>
        </w:rPr>
        <w:t xml:space="preserve">0:00 – </w:t>
      </w:r>
      <w:r w:rsidR="00F37096" w:rsidRPr="00F37096">
        <w:rPr>
          <w:rFonts w:cs="Arial"/>
          <w:sz w:val="22"/>
          <w:lang w:val="en-CA"/>
        </w:rPr>
        <w:t>16</w:t>
      </w:r>
      <w:r w:rsidR="006B55B1" w:rsidRPr="006B55B1">
        <w:rPr>
          <w:rFonts w:cs="Arial"/>
          <w:sz w:val="22"/>
          <w:lang w:val="en-CA"/>
        </w:rPr>
        <w:t>:00 CE</w:t>
      </w:r>
      <w:r w:rsidR="002F4138">
        <w:rPr>
          <w:rFonts w:cs="Arial"/>
          <w:sz w:val="22"/>
          <w:lang w:val="en-CA"/>
        </w:rPr>
        <w:t>S</w:t>
      </w:r>
      <w:r w:rsidR="006B55B1" w:rsidRPr="006B55B1">
        <w:rPr>
          <w:rFonts w:cs="Arial"/>
          <w:sz w:val="22"/>
          <w:lang w:val="en-CA"/>
        </w:rPr>
        <w:t>T</w:t>
      </w:r>
    </w:p>
    <w:p w:rsidR="001316EB" w:rsidRDefault="001316EB" w:rsidP="00BF2503">
      <w:pPr>
        <w:spacing w:after="0" w:line="240" w:lineRule="auto"/>
        <w:rPr>
          <w:rFonts w:cs="Arial"/>
          <w:sz w:val="22"/>
          <w:lang w:val="en-CA" w:eastAsia="ko-KR"/>
        </w:rPr>
      </w:pPr>
      <w:r w:rsidRPr="00705087">
        <w:rPr>
          <w:rFonts w:cs="Arial"/>
          <w:sz w:val="22"/>
          <w:lang w:val="en-CA"/>
        </w:rPr>
        <w:t>Chair:</w:t>
      </w:r>
      <w:r w:rsidRPr="00705087">
        <w:rPr>
          <w:rFonts w:cs="Arial"/>
          <w:sz w:val="22"/>
          <w:lang w:val="en-CA"/>
        </w:rPr>
        <w:tab/>
      </w:r>
      <w:r w:rsidRPr="00705087">
        <w:rPr>
          <w:rFonts w:cs="Arial"/>
          <w:sz w:val="22"/>
          <w:lang w:val="en-CA"/>
        </w:rPr>
        <w:tab/>
      </w:r>
      <w:r w:rsidR="00F12D7F" w:rsidRPr="00705087">
        <w:rPr>
          <w:rFonts w:cs="Arial" w:hint="eastAsia"/>
          <w:sz w:val="22"/>
          <w:lang w:val="en-CA" w:eastAsia="ko-KR"/>
        </w:rPr>
        <w:t xml:space="preserve">Mr. </w:t>
      </w:r>
      <w:r w:rsidR="007B6DA1" w:rsidRPr="00705087">
        <w:rPr>
          <w:rFonts w:cs="Arial" w:hint="eastAsia"/>
          <w:sz w:val="22"/>
          <w:lang w:val="en-CA" w:eastAsia="ko-KR"/>
        </w:rPr>
        <w:t>Eom</w:t>
      </w:r>
      <w:r w:rsidR="00F362A5">
        <w:rPr>
          <w:rFonts w:cs="Arial"/>
          <w:sz w:val="22"/>
          <w:lang w:val="en-CA" w:eastAsia="ko-KR"/>
        </w:rPr>
        <w:t xml:space="preserve"> </w:t>
      </w:r>
      <w:r w:rsidR="00892260" w:rsidRPr="00705087">
        <w:rPr>
          <w:rFonts w:cs="Arial" w:hint="eastAsia"/>
          <w:sz w:val="22"/>
          <w:lang w:val="en-CA" w:eastAsia="ko-KR"/>
        </w:rPr>
        <w:t>Sungbok</w:t>
      </w:r>
      <w:r w:rsidR="00F362A5">
        <w:rPr>
          <w:rFonts w:cs="Arial"/>
          <w:sz w:val="22"/>
          <w:lang w:val="en-CA" w:eastAsia="ko-KR"/>
        </w:rPr>
        <w:t xml:space="preserve"> </w:t>
      </w:r>
      <w:r w:rsidRPr="00705087">
        <w:rPr>
          <w:rFonts w:cs="Arial"/>
          <w:sz w:val="22"/>
          <w:lang w:val="en-CA"/>
        </w:rPr>
        <w:t>(</w:t>
      </w:r>
      <w:r w:rsidR="00A04539" w:rsidRPr="00705087">
        <w:rPr>
          <w:rFonts w:cs="Arial" w:hint="eastAsia"/>
          <w:sz w:val="22"/>
          <w:lang w:val="en-CA" w:eastAsia="ko-KR"/>
        </w:rPr>
        <w:t>Republic of Korea</w:t>
      </w:r>
      <w:r w:rsidRPr="00705087">
        <w:rPr>
          <w:rFonts w:cs="Arial"/>
          <w:sz w:val="22"/>
          <w:lang w:val="en-CA"/>
        </w:rPr>
        <w:t>)</w:t>
      </w:r>
      <w:r w:rsidR="00FB6295" w:rsidRPr="00705087">
        <w:rPr>
          <w:rFonts w:cs="Arial" w:hint="eastAsia"/>
          <w:sz w:val="22"/>
          <w:lang w:val="en-CA" w:eastAsia="ko-KR"/>
        </w:rPr>
        <w:t xml:space="preserve">, </w:t>
      </w:r>
      <w:r w:rsidR="00F12D7F" w:rsidRPr="00705087">
        <w:rPr>
          <w:rFonts w:cs="Arial" w:hint="eastAsia"/>
          <w:sz w:val="22"/>
          <w:lang w:val="en-CA" w:eastAsia="ko-KR"/>
        </w:rPr>
        <w:t xml:space="preserve">Mr. </w:t>
      </w:r>
      <w:r w:rsidR="00FB6295" w:rsidRPr="00705087">
        <w:rPr>
          <w:rFonts w:cs="Arial" w:hint="eastAsia"/>
          <w:sz w:val="22"/>
          <w:lang w:val="en-CA" w:eastAsia="ko-KR"/>
        </w:rPr>
        <w:t>Richard Damm</w:t>
      </w:r>
      <w:r w:rsidR="00F362A5">
        <w:rPr>
          <w:rFonts w:cs="Arial"/>
          <w:sz w:val="22"/>
          <w:lang w:val="en-CA" w:eastAsia="ko-KR"/>
        </w:rPr>
        <w:t xml:space="preserve"> </w:t>
      </w:r>
      <w:r w:rsidR="00FB6295" w:rsidRPr="00705087">
        <w:rPr>
          <w:rFonts w:cs="Arial" w:hint="eastAsia"/>
          <w:sz w:val="22"/>
          <w:lang w:val="en-CA" w:eastAsia="ko-KR"/>
        </w:rPr>
        <w:t>(Germany)</w:t>
      </w:r>
    </w:p>
    <w:p w:rsidR="008604F6" w:rsidRPr="00705087" w:rsidRDefault="008604F6" w:rsidP="00BF2503">
      <w:pPr>
        <w:spacing w:after="0" w:line="240" w:lineRule="auto"/>
        <w:rPr>
          <w:rFonts w:cs="Arial"/>
          <w:sz w:val="22"/>
          <w:lang w:val="en-CA" w:eastAsia="ko-KR"/>
        </w:rPr>
      </w:pPr>
      <w:r>
        <w:rPr>
          <w:rFonts w:cs="Arial"/>
          <w:sz w:val="22"/>
          <w:lang w:val="en-CA" w:eastAsia="ko-KR"/>
        </w:rPr>
        <w:t>Secretary:</w:t>
      </w:r>
      <w:r>
        <w:rPr>
          <w:rFonts w:cs="Arial"/>
          <w:sz w:val="22"/>
          <w:lang w:val="en-CA" w:eastAsia="ko-KR"/>
        </w:rPr>
        <w:tab/>
        <w:t>Mr. Dr. Stephan Müller von Kralik (Germany / CLEPA)</w:t>
      </w:r>
    </w:p>
    <w:p w:rsidR="001316EB" w:rsidRPr="00705087" w:rsidRDefault="001316EB" w:rsidP="00BF2503">
      <w:pPr>
        <w:spacing w:after="0" w:line="240" w:lineRule="auto"/>
        <w:rPr>
          <w:rFonts w:cs="Arial"/>
          <w:sz w:val="22"/>
          <w:lang w:val="en-CA" w:eastAsia="ko-KR"/>
        </w:rPr>
      </w:pPr>
    </w:p>
    <w:p w:rsidR="00E4023C" w:rsidRPr="00705087" w:rsidRDefault="00E4023C" w:rsidP="00BF2503">
      <w:pPr>
        <w:spacing w:after="0" w:line="240" w:lineRule="auto"/>
        <w:rPr>
          <w:rFonts w:cs="Arial"/>
          <w:sz w:val="22"/>
          <w:lang w:val="en-CA" w:eastAsia="ko-KR"/>
        </w:rPr>
      </w:pPr>
    </w:p>
    <w:p w:rsidR="001316EB" w:rsidRPr="00705087" w:rsidRDefault="001316EB" w:rsidP="00BF2503">
      <w:pPr>
        <w:pStyle w:val="Listenabsatz"/>
        <w:numPr>
          <w:ilvl w:val="0"/>
          <w:numId w:val="1"/>
        </w:numPr>
        <w:spacing w:after="0" w:line="240" w:lineRule="auto"/>
        <w:rPr>
          <w:rFonts w:cs="Arial"/>
          <w:b/>
          <w:sz w:val="22"/>
          <w:lang w:val="en-CA"/>
        </w:rPr>
      </w:pPr>
      <w:r w:rsidRPr="00705087">
        <w:rPr>
          <w:rFonts w:cs="Arial"/>
          <w:b/>
          <w:sz w:val="22"/>
          <w:lang w:val="en-CA"/>
        </w:rPr>
        <w:t>Welcome and Introductions</w:t>
      </w:r>
    </w:p>
    <w:p w:rsidR="00E35726" w:rsidRPr="00705087" w:rsidRDefault="00E35726" w:rsidP="00BF2503">
      <w:pPr>
        <w:spacing w:after="0" w:line="240" w:lineRule="auto"/>
        <w:rPr>
          <w:rFonts w:cs="Arial"/>
          <w:sz w:val="22"/>
          <w:lang w:val="en-CA" w:eastAsia="ko-KR"/>
        </w:rPr>
      </w:pPr>
    </w:p>
    <w:p w:rsidR="00EF5333" w:rsidRPr="00705087" w:rsidRDefault="00F12D7F" w:rsidP="00BF2503">
      <w:pPr>
        <w:spacing w:after="0" w:line="240" w:lineRule="auto"/>
        <w:rPr>
          <w:rFonts w:cs="Arial"/>
          <w:sz w:val="22"/>
          <w:lang w:val="en-CA" w:eastAsia="ko-KR"/>
        </w:rPr>
      </w:pPr>
      <w:r w:rsidRPr="00705087">
        <w:rPr>
          <w:rFonts w:cs="Arial" w:hint="eastAsia"/>
          <w:sz w:val="22"/>
          <w:lang w:val="en-CA" w:eastAsia="ko-KR"/>
        </w:rPr>
        <w:t xml:space="preserve">Mr. </w:t>
      </w:r>
      <w:r w:rsidR="007B6DA1" w:rsidRPr="00705087">
        <w:rPr>
          <w:rFonts w:cs="Arial" w:hint="eastAsia"/>
          <w:sz w:val="22"/>
          <w:lang w:val="en-CA" w:eastAsia="ko-KR"/>
        </w:rPr>
        <w:t>Eom</w:t>
      </w:r>
      <w:r w:rsidR="00F362A5">
        <w:rPr>
          <w:rFonts w:cs="Arial"/>
          <w:sz w:val="22"/>
          <w:lang w:val="en-CA" w:eastAsia="ko-KR"/>
        </w:rPr>
        <w:t xml:space="preserve"> </w:t>
      </w:r>
      <w:r w:rsidR="008C3099" w:rsidRPr="00705087">
        <w:rPr>
          <w:rFonts w:cs="Arial" w:hint="eastAsia"/>
          <w:sz w:val="22"/>
          <w:lang w:val="en-CA" w:eastAsia="ko-KR"/>
        </w:rPr>
        <w:t>Sungbok,</w:t>
      </w:r>
      <w:r w:rsidR="00892260" w:rsidRPr="00705087">
        <w:rPr>
          <w:rFonts w:cs="Arial" w:hint="eastAsia"/>
          <w:sz w:val="22"/>
          <w:lang w:val="en-CA" w:eastAsia="ko-KR"/>
        </w:rPr>
        <w:t xml:space="preserve"> from KATRI</w:t>
      </w:r>
      <w:r w:rsidR="00F362A5">
        <w:rPr>
          <w:rFonts w:cs="Arial"/>
          <w:sz w:val="22"/>
          <w:lang w:val="en-CA" w:eastAsia="ko-KR"/>
        </w:rPr>
        <w:t xml:space="preserve"> </w:t>
      </w:r>
      <w:r w:rsidR="00892260" w:rsidRPr="00705087">
        <w:rPr>
          <w:rFonts w:cs="Arial" w:hint="eastAsia"/>
          <w:sz w:val="22"/>
          <w:lang w:val="en-CA" w:eastAsia="ko-KR"/>
        </w:rPr>
        <w:t>(Korea Automobile Testing &amp; Research Institute), Chair of the informal working group welcomed the participants.</w:t>
      </w:r>
    </w:p>
    <w:p w:rsidR="00EF5333" w:rsidRDefault="00B3667E" w:rsidP="00EF5333">
      <w:pPr>
        <w:pStyle w:val="Listenabsatz"/>
        <w:spacing w:after="0" w:line="240" w:lineRule="auto"/>
        <w:ind w:left="0"/>
        <w:rPr>
          <w:rFonts w:cs="Arial"/>
          <w:sz w:val="22"/>
          <w:lang w:val="en-CA"/>
        </w:rPr>
      </w:pPr>
      <w:r w:rsidRPr="00B3667E">
        <w:rPr>
          <w:rFonts w:cs="Arial"/>
          <w:sz w:val="22"/>
          <w:lang w:val="en-CA" w:eastAsia="ko-KR"/>
        </w:rPr>
        <w:t>22</w:t>
      </w:r>
      <w:r w:rsidR="009D49C3">
        <w:rPr>
          <w:rFonts w:cs="Arial"/>
          <w:sz w:val="22"/>
          <w:lang w:val="en-CA"/>
        </w:rPr>
        <w:t xml:space="preserve"> people attend</w:t>
      </w:r>
      <w:r w:rsidR="009D49C3">
        <w:rPr>
          <w:rFonts w:cs="Arial" w:hint="eastAsia"/>
          <w:sz w:val="22"/>
          <w:lang w:val="en-CA" w:eastAsia="ko-KR"/>
        </w:rPr>
        <w:t>ed</w:t>
      </w:r>
      <w:r w:rsidR="00EF5333" w:rsidRPr="00705087">
        <w:rPr>
          <w:rFonts w:cs="Arial"/>
          <w:sz w:val="22"/>
          <w:lang w:val="en-CA"/>
        </w:rPr>
        <w:t xml:space="preserve"> at the</w:t>
      </w:r>
      <w:r w:rsidR="00F362A5">
        <w:rPr>
          <w:rFonts w:cs="Arial"/>
          <w:sz w:val="22"/>
          <w:lang w:val="en-CA"/>
        </w:rPr>
        <w:t xml:space="preserve"> </w:t>
      </w:r>
      <w:r w:rsidR="008604F6">
        <w:rPr>
          <w:rFonts w:cs="Arial" w:hint="eastAsia"/>
          <w:sz w:val="22"/>
          <w:lang w:val="en-CA" w:eastAsia="ko-KR"/>
        </w:rPr>
        <w:t>meeting (</w:t>
      </w:r>
      <w:r w:rsidR="003C6E2D">
        <w:rPr>
          <w:rFonts w:cs="Arial"/>
          <w:sz w:val="22"/>
          <w:lang w:val="en-CA" w:eastAsia="ko-KR"/>
        </w:rPr>
        <w:t xml:space="preserve">hereof </w:t>
      </w:r>
      <w:r w:rsidRPr="00B3667E">
        <w:rPr>
          <w:rFonts w:cs="Arial"/>
          <w:sz w:val="22"/>
          <w:lang w:val="en-CA" w:eastAsia="ko-KR"/>
        </w:rPr>
        <w:t>4</w:t>
      </w:r>
      <w:r w:rsidR="003C6E2D">
        <w:rPr>
          <w:rFonts w:cs="Arial"/>
          <w:sz w:val="22"/>
          <w:lang w:val="en-CA" w:eastAsia="ko-KR"/>
        </w:rPr>
        <w:t xml:space="preserve"> via </w:t>
      </w:r>
      <w:r w:rsidR="00B95DA9">
        <w:rPr>
          <w:rFonts w:cs="Arial"/>
          <w:sz w:val="22"/>
          <w:lang w:val="en-CA" w:eastAsia="ko-KR"/>
        </w:rPr>
        <w:t>Audio Conference</w:t>
      </w:r>
      <w:r w:rsidR="008604F6">
        <w:rPr>
          <w:rFonts w:cs="Arial"/>
          <w:sz w:val="22"/>
          <w:lang w:val="en-CA" w:eastAsia="ko-KR"/>
        </w:rPr>
        <w:t>)</w:t>
      </w:r>
      <w:r w:rsidR="00EF5333" w:rsidRPr="00705087">
        <w:rPr>
          <w:rFonts w:cs="Arial"/>
          <w:sz w:val="22"/>
          <w:lang w:val="en-CA"/>
        </w:rPr>
        <w:t>.</w:t>
      </w:r>
    </w:p>
    <w:p w:rsidR="00D00EA9" w:rsidRPr="009D49C3" w:rsidRDefault="00D00EA9" w:rsidP="00BF2503">
      <w:pPr>
        <w:spacing w:after="0" w:line="240" w:lineRule="auto"/>
        <w:rPr>
          <w:rFonts w:cs="Arial"/>
          <w:sz w:val="22"/>
          <w:lang w:val="en-CA" w:eastAsia="ko-KR"/>
        </w:rPr>
      </w:pPr>
    </w:p>
    <w:p w:rsidR="00D97BDD" w:rsidRPr="00705087" w:rsidRDefault="00944BBE" w:rsidP="00D97BDD">
      <w:pPr>
        <w:pStyle w:val="Listenabsatz"/>
        <w:numPr>
          <w:ilvl w:val="0"/>
          <w:numId w:val="1"/>
        </w:numPr>
        <w:spacing w:after="0" w:line="240" w:lineRule="auto"/>
        <w:rPr>
          <w:rFonts w:cs="Arial"/>
          <w:b/>
          <w:sz w:val="22"/>
          <w:lang w:val="en-CA"/>
        </w:rPr>
      </w:pPr>
      <w:r>
        <w:rPr>
          <w:rFonts w:cs="Arial"/>
          <w:b/>
          <w:sz w:val="22"/>
          <w:lang w:val="en-CA" w:eastAsia="ko-KR"/>
        </w:rPr>
        <w:t>Review Agenda and release</w:t>
      </w:r>
      <w:r w:rsidR="006B55B1">
        <w:rPr>
          <w:rFonts w:cs="Arial"/>
          <w:b/>
          <w:sz w:val="22"/>
          <w:lang w:val="en-CA" w:eastAsia="ko-KR"/>
        </w:rPr>
        <w:t xml:space="preserve"> minutes of </w:t>
      </w:r>
      <w:r>
        <w:rPr>
          <w:rFonts w:cs="Arial"/>
          <w:b/>
          <w:sz w:val="22"/>
          <w:lang w:val="en-CA" w:eastAsia="ko-KR"/>
        </w:rPr>
        <w:t>5</w:t>
      </w:r>
      <w:r w:rsidR="002F4138" w:rsidRPr="002F4138">
        <w:rPr>
          <w:rFonts w:cs="Arial"/>
          <w:b/>
          <w:sz w:val="22"/>
          <w:vertAlign w:val="superscript"/>
          <w:lang w:val="en-CA" w:eastAsia="ko-KR"/>
        </w:rPr>
        <w:t>th</w:t>
      </w:r>
      <w:r w:rsidR="006B55B1">
        <w:rPr>
          <w:rFonts w:cs="Arial"/>
          <w:b/>
          <w:sz w:val="22"/>
          <w:lang w:val="en-CA" w:eastAsia="ko-KR"/>
        </w:rPr>
        <w:t xml:space="preserve"> </w:t>
      </w:r>
      <w:r w:rsidR="008604F6">
        <w:rPr>
          <w:rFonts w:cs="Arial"/>
          <w:b/>
          <w:sz w:val="22"/>
          <w:lang w:val="en-CA" w:eastAsia="ko-KR"/>
        </w:rPr>
        <w:t>IWG PSG meeting</w:t>
      </w:r>
      <w:r>
        <w:rPr>
          <w:rFonts w:cs="Arial"/>
          <w:b/>
          <w:sz w:val="22"/>
          <w:lang w:val="en-CA" w:eastAsia="ko-KR"/>
        </w:rPr>
        <w:t xml:space="preserve"> and WEBEX preview meeting </w:t>
      </w:r>
    </w:p>
    <w:p w:rsidR="001C300B" w:rsidRDefault="001C300B" w:rsidP="00D00EA9">
      <w:pPr>
        <w:spacing w:after="0" w:line="240" w:lineRule="auto"/>
        <w:jc w:val="both"/>
        <w:rPr>
          <w:rFonts w:cs="Arial"/>
          <w:sz w:val="22"/>
          <w:lang w:val="en-CA" w:eastAsia="ko-KR"/>
        </w:rPr>
      </w:pPr>
    </w:p>
    <w:p w:rsidR="00250023" w:rsidRDefault="008604F6" w:rsidP="008604F6">
      <w:pPr>
        <w:pStyle w:val="Listenabsatz"/>
        <w:spacing w:after="0" w:line="240" w:lineRule="auto"/>
        <w:ind w:left="0"/>
        <w:rPr>
          <w:rFonts w:cs="Arial"/>
          <w:sz w:val="22"/>
          <w:lang w:val="en-CA"/>
        </w:rPr>
      </w:pPr>
      <w:r w:rsidRPr="00705087">
        <w:rPr>
          <w:rFonts w:cs="Arial"/>
          <w:sz w:val="22"/>
          <w:lang w:val="en-CA"/>
        </w:rPr>
        <w:t xml:space="preserve">The agenda </w:t>
      </w:r>
      <w:r w:rsidR="000C08E7">
        <w:rPr>
          <w:rFonts w:cs="Arial"/>
          <w:sz w:val="22"/>
          <w:lang w:val="en-CA"/>
        </w:rPr>
        <w:t xml:space="preserve">for </w:t>
      </w:r>
      <w:r w:rsidR="00944BBE">
        <w:rPr>
          <w:rFonts w:cs="Arial"/>
          <w:sz w:val="22"/>
          <w:lang w:val="en-CA"/>
        </w:rPr>
        <w:t>6</w:t>
      </w:r>
      <w:r w:rsidR="000C08E7" w:rsidRPr="000C08E7">
        <w:rPr>
          <w:rFonts w:cs="Arial"/>
          <w:sz w:val="22"/>
          <w:vertAlign w:val="superscript"/>
          <w:lang w:val="en-CA"/>
        </w:rPr>
        <w:t>th</w:t>
      </w:r>
      <w:r w:rsidR="000C08E7">
        <w:rPr>
          <w:rFonts w:cs="Arial"/>
          <w:sz w:val="22"/>
          <w:lang w:val="en-CA"/>
        </w:rPr>
        <w:t xml:space="preserve"> meeting </w:t>
      </w:r>
      <w:r w:rsidR="00944BBE">
        <w:rPr>
          <w:rFonts w:cs="Arial"/>
          <w:sz w:val="22"/>
          <w:lang w:val="en-CA"/>
        </w:rPr>
        <w:t xml:space="preserve">was </w:t>
      </w:r>
      <w:r>
        <w:rPr>
          <w:rFonts w:cs="Arial"/>
          <w:sz w:val="22"/>
          <w:lang w:val="en-CA"/>
        </w:rPr>
        <w:t>presented</w:t>
      </w:r>
      <w:r w:rsidR="00944BBE">
        <w:rPr>
          <w:rFonts w:cs="Arial"/>
          <w:sz w:val="22"/>
          <w:lang w:val="en-CA"/>
        </w:rPr>
        <w:t>, updated</w:t>
      </w:r>
      <w:r>
        <w:rPr>
          <w:rFonts w:cs="Arial"/>
          <w:sz w:val="22"/>
          <w:lang w:val="en-CA"/>
        </w:rPr>
        <w:t xml:space="preserve"> and confirmed. </w:t>
      </w:r>
    </w:p>
    <w:p w:rsidR="008604F6" w:rsidRDefault="008604F6" w:rsidP="008604F6">
      <w:pPr>
        <w:pStyle w:val="Listenabsatz"/>
        <w:spacing w:after="0" w:line="240" w:lineRule="auto"/>
        <w:ind w:left="0"/>
        <w:rPr>
          <w:rFonts w:cs="Arial"/>
          <w:sz w:val="22"/>
          <w:lang w:val="en-CA" w:eastAsia="ko-KR"/>
        </w:rPr>
      </w:pPr>
      <w:r>
        <w:rPr>
          <w:rFonts w:cs="Arial"/>
          <w:sz w:val="22"/>
          <w:lang w:val="en-CA"/>
        </w:rPr>
        <w:t>T</w:t>
      </w:r>
      <w:r w:rsidRPr="00705087">
        <w:rPr>
          <w:rFonts w:cs="Arial"/>
          <w:sz w:val="22"/>
          <w:lang w:val="en-CA"/>
        </w:rPr>
        <w:t xml:space="preserve">he </w:t>
      </w:r>
      <w:r w:rsidR="00250023">
        <w:rPr>
          <w:rFonts w:cs="Arial"/>
          <w:sz w:val="22"/>
          <w:lang w:val="en-CA"/>
        </w:rPr>
        <w:t xml:space="preserve">minutes of meeting on </w:t>
      </w:r>
      <w:r w:rsidR="00944BBE">
        <w:rPr>
          <w:rFonts w:cs="Arial"/>
          <w:sz w:val="22"/>
          <w:lang w:val="en-CA"/>
        </w:rPr>
        <w:t>5</w:t>
      </w:r>
      <w:r w:rsidR="002F4138" w:rsidRPr="002F4138">
        <w:rPr>
          <w:rFonts w:cs="Arial"/>
          <w:sz w:val="22"/>
          <w:vertAlign w:val="superscript"/>
          <w:lang w:val="en-CA"/>
        </w:rPr>
        <w:t>th</w:t>
      </w:r>
      <w:r w:rsidR="002F4138">
        <w:rPr>
          <w:rFonts w:cs="Arial"/>
          <w:sz w:val="22"/>
          <w:lang w:val="en-CA"/>
        </w:rPr>
        <w:t xml:space="preserve"> </w:t>
      </w:r>
      <w:r w:rsidR="00250023">
        <w:rPr>
          <w:rFonts w:cs="Arial"/>
          <w:sz w:val="22"/>
          <w:lang w:val="en-CA"/>
        </w:rPr>
        <w:t xml:space="preserve">meeting </w:t>
      </w:r>
      <w:r w:rsidR="00944BBE">
        <w:rPr>
          <w:rFonts w:cs="Arial"/>
          <w:sz w:val="22"/>
          <w:lang w:val="en-CA"/>
        </w:rPr>
        <w:t xml:space="preserve">and on WEBEX preview meeting </w:t>
      </w:r>
      <w:r w:rsidR="00250023">
        <w:rPr>
          <w:rFonts w:cs="Arial"/>
          <w:sz w:val="22"/>
          <w:lang w:val="en-CA"/>
        </w:rPr>
        <w:t>were presented</w:t>
      </w:r>
      <w:r w:rsidR="00944BBE">
        <w:rPr>
          <w:rFonts w:cs="Arial"/>
          <w:sz w:val="22"/>
          <w:lang w:val="en-CA"/>
        </w:rPr>
        <w:t xml:space="preserve"> after position 3</w:t>
      </w:r>
      <w:r w:rsidR="00036D08">
        <w:rPr>
          <w:rFonts w:cs="Arial"/>
          <w:sz w:val="22"/>
          <w:lang w:val="en-CA"/>
        </w:rPr>
        <w:t xml:space="preserve"> </w:t>
      </w:r>
      <w:r w:rsidR="00986238">
        <w:rPr>
          <w:rFonts w:cs="Arial"/>
          <w:sz w:val="22"/>
          <w:lang w:val="en-CA"/>
        </w:rPr>
        <w:t>and released.</w:t>
      </w:r>
    </w:p>
    <w:p w:rsidR="00A67A0C" w:rsidRDefault="00A67A0C" w:rsidP="001C300B">
      <w:pPr>
        <w:pStyle w:val="Listenabsatz"/>
        <w:spacing w:after="0" w:line="240" w:lineRule="auto"/>
        <w:ind w:left="0"/>
        <w:jc w:val="both"/>
        <w:rPr>
          <w:rFonts w:cs="Arial"/>
          <w:b/>
          <w:sz w:val="22"/>
          <w:lang w:val="en-CA" w:eastAsia="ko-KR"/>
        </w:rPr>
      </w:pPr>
    </w:p>
    <w:p w:rsidR="00A67A0C" w:rsidRDefault="00944BBE" w:rsidP="00A67A0C">
      <w:pPr>
        <w:pStyle w:val="Listenabsatz"/>
        <w:numPr>
          <w:ilvl w:val="0"/>
          <w:numId w:val="1"/>
        </w:numPr>
        <w:spacing w:after="0" w:line="240" w:lineRule="auto"/>
        <w:jc w:val="both"/>
        <w:rPr>
          <w:rFonts w:cs="Arial"/>
          <w:b/>
          <w:sz w:val="22"/>
          <w:lang w:val="en-CA" w:eastAsia="ko-KR"/>
        </w:rPr>
      </w:pPr>
      <w:r>
        <w:rPr>
          <w:rFonts w:cs="Arial"/>
          <w:b/>
          <w:sz w:val="22"/>
          <w:lang w:val="en-CA" w:eastAsia="ko-KR"/>
        </w:rPr>
        <w:t>Review and discuss open items of NHTSA questionnaire and other members</w:t>
      </w:r>
    </w:p>
    <w:p w:rsidR="00944BBE" w:rsidRDefault="00944BBE" w:rsidP="00944BBE">
      <w:pPr>
        <w:pStyle w:val="Listenabsatz"/>
        <w:spacing w:after="0" w:line="240" w:lineRule="auto"/>
        <w:ind w:left="0"/>
        <w:rPr>
          <w:rFonts w:cs="Arial"/>
          <w:sz w:val="22"/>
          <w:lang w:val="en-CA"/>
        </w:rPr>
      </w:pPr>
    </w:p>
    <w:p w:rsidR="00944BBE" w:rsidRDefault="00944BBE" w:rsidP="00944BBE">
      <w:pPr>
        <w:pStyle w:val="Listenabsatz"/>
        <w:spacing w:after="0" w:line="240" w:lineRule="auto"/>
        <w:ind w:left="0"/>
        <w:rPr>
          <w:rFonts w:cs="Arial"/>
          <w:sz w:val="22"/>
          <w:lang w:val="en-CA"/>
        </w:rPr>
      </w:pPr>
      <w:r>
        <w:rPr>
          <w:rFonts w:cs="Arial"/>
          <w:sz w:val="22"/>
          <w:lang w:val="en-CA"/>
        </w:rPr>
        <w:t>Ms. Lee (KATRI) went through the updated letter question by question (white dots).</w:t>
      </w:r>
    </w:p>
    <w:p w:rsidR="00944BBE" w:rsidRDefault="00944BBE" w:rsidP="00944BBE">
      <w:pPr>
        <w:pStyle w:val="Listenabsatz"/>
        <w:spacing w:after="0" w:line="240" w:lineRule="auto"/>
        <w:ind w:left="0"/>
        <w:rPr>
          <w:rFonts w:cs="Arial"/>
          <w:sz w:val="22"/>
          <w:lang w:val="en-CA" w:eastAsia="ko-KR"/>
        </w:rPr>
      </w:pPr>
    </w:p>
    <w:p w:rsidR="00D5780D" w:rsidRDefault="00944BBE" w:rsidP="00944BBE">
      <w:pPr>
        <w:pStyle w:val="Listenabsatz"/>
        <w:numPr>
          <w:ilvl w:val="0"/>
          <w:numId w:val="14"/>
        </w:numPr>
        <w:spacing w:after="0" w:line="240" w:lineRule="auto"/>
        <w:rPr>
          <w:rFonts w:cs="Arial"/>
          <w:sz w:val="22"/>
          <w:lang w:val="en-CA" w:eastAsia="ko-KR"/>
        </w:rPr>
      </w:pPr>
      <w:r>
        <w:rPr>
          <w:rFonts w:cs="Arial"/>
          <w:sz w:val="22"/>
          <w:lang w:val="en-CA" w:eastAsia="ko-KR"/>
        </w:rPr>
        <w:t xml:space="preserve">Matrix of KATRI on 33 breakage cases gained a question from NHTSA : If KATRI has any more data on route causes for the breakages ? =&gt; KATRI </w:t>
      </w:r>
      <w:r w:rsidR="00D5780D">
        <w:rPr>
          <w:rFonts w:cs="Arial"/>
          <w:sz w:val="22"/>
          <w:lang w:val="en-CA" w:eastAsia="ko-KR"/>
        </w:rPr>
        <w:t>will research data.</w:t>
      </w:r>
    </w:p>
    <w:p w:rsidR="00944BBE" w:rsidRPr="00D5780D" w:rsidRDefault="00D5780D" w:rsidP="00944BBE">
      <w:pPr>
        <w:pStyle w:val="Listenabsatz"/>
        <w:numPr>
          <w:ilvl w:val="0"/>
          <w:numId w:val="14"/>
        </w:numPr>
        <w:spacing w:after="0" w:line="240" w:lineRule="auto"/>
        <w:rPr>
          <w:rFonts w:cs="Arial"/>
          <w:i/>
          <w:sz w:val="22"/>
          <w:lang w:val="en-CA" w:eastAsia="ko-KR"/>
        </w:rPr>
      </w:pPr>
      <w:r>
        <w:rPr>
          <w:rFonts w:cs="Arial"/>
          <w:sz w:val="22"/>
          <w:lang w:val="en-CA" w:eastAsia="ko-KR"/>
        </w:rPr>
        <w:t xml:space="preserve">Question from NHTSA in Preview meeting: </w:t>
      </w:r>
      <w:r w:rsidRPr="00D5780D">
        <w:rPr>
          <w:i/>
          <w:sz w:val="22"/>
        </w:rPr>
        <w:t>NHTSA had been informed that if the coefficients of thermal expansions for the glass panel and the frit glass were properly matched with the furnace, then there would be minimal to no loss in strength for the finished roof panel with CPA.  Is this understanding correct?</w:t>
      </w:r>
      <w:r w:rsidRPr="00D5780D">
        <w:rPr>
          <w:rStyle w:val="Kommentarzeichen"/>
          <w:i/>
          <w:sz w:val="22"/>
          <w:szCs w:val="22"/>
        </w:rPr>
        <w:commentReference w:id="0"/>
      </w:r>
    </w:p>
    <w:p w:rsidR="00D5780D" w:rsidRDefault="00D5780D" w:rsidP="00D5780D">
      <w:pPr>
        <w:pStyle w:val="Listenabsatz"/>
        <w:spacing w:after="0" w:line="240" w:lineRule="auto"/>
        <w:jc w:val="both"/>
        <w:rPr>
          <w:rFonts w:cs="Arial"/>
          <w:sz w:val="22"/>
          <w:lang w:val="en-CA" w:eastAsia="ko-KR"/>
        </w:rPr>
      </w:pPr>
      <w:r>
        <w:rPr>
          <w:rFonts w:cs="Arial"/>
          <w:sz w:val="22"/>
          <w:lang w:val="en-CA" w:eastAsia="ko-KR"/>
        </w:rPr>
        <w:t>The members discussed this issue very intensively.</w:t>
      </w:r>
    </w:p>
    <w:p w:rsidR="00A67A0C" w:rsidRDefault="00D5780D" w:rsidP="00D5780D">
      <w:pPr>
        <w:pStyle w:val="Listenabsatz"/>
        <w:spacing w:after="0" w:line="240" w:lineRule="auto"/>
        <w:jc w:val="both"/>
        <w:rPr>
          <w:rFonts w:cs="Arial"/>
          <w:sz w:val="22"/>
          <w:lang w:val="en-CA" w:eastAsia="ko-KR"/>
        </w:rPr>
      </w:pPr>
      <w:r>
        <w:rPr>
          <w:rFonts w:cs="Arial"/>
          <w:sz w:val="22"/>
          <w:lang w:val="en-CA" w:eastAsia="ko-KR"/>
        </w:rPr>
        <w:t xml:space="preserve">MPA (Dr. Dümmler) explained that the thermal expansion coefficients are strict values according to the chemical set-up of a material and that </w:t>
      </w:r>
      <w:r w:rsidR="00036D08">
        <w:rPr>
          <w:rFonts w:cs="Arial"/>
          <w:sz w:val="22"/>
          <w:lang w:val="en-CA" w:eastAsia="ko-KR"/>
        </w:rPr>
        <w:t xml:space="preserve">soda lime silicat glass has always the </w:t>
      </w:r>
      <w:r>
        <w:rPr>
          <w:rFonts w:cs="Arial"/>
          <w:sz w:val="22"/>
          <w:lang w:val="en-CA" w:eastAsia="ko-KR"/>
        </w:rPr>
        <w:t>chemical structure</w:t>
      </w:r>
      <w:r w:rsidR="00036D08">
        <w:rPr>
          <w:rFonts w:cs="Arial"/>
          <w:sz w:val="22"/>
          <w:lang w:val="en-CA" w:eastAsia="ko-KR"/>
        </w:rPr>
        <w:t xml:space="preserve"> if according to standard</w:t>
      </w:r>
      <w:r>
        <w:rPr>
          <w:rFonts w:cs="Arial"/>
          <w:sz w:val="22"/>
          <w:lang w:val="en-CA" w:eastAsia="ko-KR"/>
        </w:rPr>
        <w:t xml:space="preserve"> no matter if being used for automotive or other applications. The enamel structure of the CPA has also a distinctive thermal expansion coefficient (depending on chemical structure) and can be more or less different to float glass coefficient.</w:t>
      </w:r>
    </w:p>
    <w:p w:rsidR="00D5780D" w:rsidRDefault="00036D08" w:rsidP="00D5780D">
      <w:pPr>
        <w:pStyle w:val="Listenabsatz"/>
        <w:spacing w:after="0" w:line="240" w:lineRule="auto"/>
        <w:jc w:val="both"/>
        <w:rPr>
          <w:rFonts w:cs="Arial"/>
          <w:sz w:val="22"/>
          <w:lang w:val="en-CA" w:eastAsia="ko-KR"/>
        </w:rPr>
      </w:pPr>
      <w:r>
        <w:rPr>
          <w:rFonts w:cs="Arial"/>
          <w:sz w:val="22"/>
          <w:lang w:val="en-CA" w:eastAsia="ko-KR"/>
        </w:rPr>
        <w:t>GFE will review statement of MPA with their members and GFE that it</w:t>
      </w:r>
      <w:r w:rsidR="00D5780D">
        <w:rPr>
          <w:rFonts w:cs="Arial"/>
          <w:sz w:val="22"/>
          <w:lang w:val="en-CA" w:eastAsia="ko-KR"/>
        </w:rPr>
        <w:t xml:space="preserve"> is not aware of any problems in this area.</w:t>
      </w:r>
    </w:p>
    <w:p w:rsidR="00D5780D" w:rsidRDefault="00D5780D" w:rsidP="00D5780D">
      <w:pPr>
        <w:pStyle w:val="Listenabsatz"/>
        <w:spacing w:after="0" w:line="240" w:lineRule="auto"/>
        <w:jc w:val="both"/>
        <w:rPr>
          <w:rFonts w:cs="Arial"/>
          <w:sz w:val="22"/>
          <w:lang w:val="en-CA" w:eastAsia="ko-KR"/>
        </w:rPr>
      </w:pPr>
      <w:r>
        <w:rPr>
          <w:rFonts w:cs="Arial"/>
          <w:sz w:val="22"/>
          <w:lang w:val="en-CA" w:eastAsia="ko-KR"/>
        </w:rPr>
        <w:t>NHTSA thinks that is should be possible to manufacture a float glass with CPA that can meet  GTR 6 and FMVSS 205.</w:t>
      </w:r>
    </w:p>
    <w:p w:rsidR="00036D08" w:rsidRDefault="00036D08" w:rsidP="00D5780D">
      <w:pPr>
        <w:pStyle w:val="Listenabsatz"/>
        <w:spacing w:after="0" w:line="240" w:lineRule="auto"/>
        <w:jc w:val="both"/>
        <w:rPr>
          <w:rFonts w:cs="Arial"/>
          <w:sz w:val="22"/>
          <w:lang w:val="en-CA" w:eastAsia="ko-KR"/>
        </w:rPr>
      </w:pPr>
      <w:r>
        <w:rPr>
          <w:rFonts w:cs="Arial"/>
          <w:sz w:val="22"/>
          <w:lang w:val="en-CA" w:eastAsia="ko-KR"/>
        </w:rPr>
        <w:t>GFE confirms that glass has to comply with existing regulations.</w:t>
      </w:r>
    </w:p>
    <w:p w:rsidR="00D5780D" w:rsidRDefault="00D5780D" w:rsidP="00D5780D">
      <w:pPr>
        <w:pStyle w:val="Listenabsatz"/>
        <w:spacing w:after="0" w:line="240" w:lineRule="auto"/>
        <w:jc w:val="both"/>
        <w:rPr>
          <w:rFonts w:cs="Arial"/>
          <w:sz w:val="22"/>
          <w:lang w:val="en-CA" w:eastAsia="ko-KR"/>
        </w:rPr>
      </w:pPr>
      <w:r>
        <w:rPr>
          <w:rFonts w:cs="Arial"/>
          <w:sz w:val="22"/>
          <w:lang w:val="en-CA" w:eastAsia="ko-KR"/>
        </w:rPr>
        <w:t xml:space="preserve">Final summary was in line with earlier findings of the group: Glass with CPA is weaker than </w:t>
      </w:r>
      <w:r w:rsidR="00B84BD9">
        <w:rPr>
          <w:rFonts w:cs="Arial"/>
          <w:sz w:val="22"/>
          <w:lang w:val="en-CA" w:eastAsia="ko-KR"/>
        </w:rPr>
        <w:t>Glass without CPA</w:t>
      </w:r>
      <w:r w:rsidR="00036D08">
        <w:rPr>
          <w:rFonts w:cs="Arial"/>
          <w:sz w:val="22"/>
          <w:lang w:val="en-CA" w:eastAsia="ko-KR"/>
        </w:rPr>
        <w:t>.</w:t>
      </w:r>
      <w:r w:rsidR="00B84BD9">
        <w:rPr>
          <w:rFonts w:cs="Arial"/>
          <w:sz w:val="22"/>
          <w:lang w:val="en-CA" w:eastAsia="ko-KR"/>
        </w:rPr>
        <w:t xml:space="preserve"> In parallel the group has already decided that additional tests need to be added, if glass with CPA values (to be defined) is used and GTR 6 amended.</w:t>
      </w:r>
    </w:p>
    <w:p w:rsidR="00B84BD9" w:rsidRDefault="00B84BD9" w:rsidP="00B84BD9">
      <w:pPr>
        <w:pStyle w:val="Listenabsatz"/>
        <w:numPr>
          <w:ilvl w:val="0"/>
          <w:numId w:val="14"/>
        </w:numPr>
        <w:spacing w:after="0" w:line="240" w:lineRule="auto"/>
        <w:jc w:val="both"/>
        <w:rPr>
          <w:rFonts w:cs="Arial"/>
          <w:sz w:val="22"/>
          <w:lang w:val="en-CA" w:eastAsia="ko-KR"/>
        </w:rPr>
      </w:pPr>
      <w:r>
        <w:rPr>
          <w:rFonts w:cs="Arial"/>
          <w:sz w:val="22"/>
          <w:lang w:val="en-CA" w:eastAsia="ko-KR"/>
        </w:rPr>
        <w:t>Regarding Type of Testing NHTSA agrees that the 227g / 2m ball drop test is sufficient to find CPA problems</w:t>
      </w:r>
      <w:r w:rsidR="00036D08">
        <w:rPr>
          <w:rFonts w:cs="Arial"/>
          <w:sz w:val="22"/>
          <w:lang w:val="en-CA" w:eastAsia="ko-KR"/>
        </w:rPr>
        <w:t xml:space="preserve"> based on data provided by KATRI.</w:t>
      </w:r>
    </w:p>
    <w:p w:rsidR="00B84BD9" w:rsidRDefault="00B84BD9" w:rsidP="00B84BD9">
      <w:pPr>
        <w:pStyle w:val="Listenabsatz"/>
        <w:numPr>
          <w:ilvl w:val="0"/>
          <w:numId w:val="14"/>
        </w:numPr>
        <w:spacing w:after="0" w:line="240" w:lineRule="auto"/>
        <w:jc w:val="both"/>
        <w:rPr>
          <w:rFonts w:cs="Arial"/>
          <w:sz w:val="22"/>
          <w:lang w:val="en-CA" w:eastAsia="ko-KR"/>
        </w:rPr>
      </w:pPr>
      <w:r>
        <w:rPr>
          <w:rFonts w:cs="Arial"/>
          <w:sz w:val="22"/>
          <w:lang w:val="en-CA" w:eastAsia="ko-KR"/>
        </w:rPr>
        <w:lastRenderedPageBreak/>
        <w:t xml:space="preserve">NHTSA and KATRI ask if the group should decide, if a new / separate / special test needs to be defined for CPA covered float glass or </w:t>
      </w:r>
      <w:r w:rsidR="00A8505D">
        <w:rPr>
          <w:rFonts w:cs="Arial"/>
          <w:sz w:val="22"/>
          <w:lang w:val="en-CA" w:eastAsia="ko-KR"/>
        </w:rPr>
        <w:t xml:space="preserve">if </w:t>
      </w:r>
      <w:r>
        <w:rPr>
          <w:rFonts w:cs="Arial"/>
          <w:sz w:val="22"/>
          <w:lang w:val="en-CA" w:eastAsia="ko-KR"/>
        </w:rPr>
        <w:t>existing 227g ball drop test is sufficient.</w:t>
      </w:r>
    </w:p>
    <w:p w:rsidR="00B84BD9" w:rsidRDefault="00B84BD9" w:rsidP="00B84BD9">
      <w:pPr>
        <w:pStyle w:val="Listenabsatz"/>
        <w:numPr>
          <w:ilvl w:val="0"/>
          <w:numId w:val="14"/>
        </w:numPr>
        <w:spacing w:after="0" w:line="240" w:lineRule="auto"/>
        <w:jc w:val="both"/>
        <w:rPr>
          <w:rFonts w:cs="Arial"/>
          <w:sz w:val="22"/>
          <w:lang w:val="en-CA" w:eastAsia="ko-KR"/>
        </w:rPr>
      </w:pPr>
      <w:r>
        <w:rPr>
          <w:rFonts w:cs="Arial"/>
          <w:sz w:val="22"/>
          <w:lang w:val="en-CA" w:eastAsia="ko-KR"/>
        </w:rPr>
        <w:t>NHTSA asked if not all glasses with CPA should then be checked in a similar manner.</w:t>
      </w:r>
    </w:p>
    <w:p w:rsidR="00B84BD9" w:rsidRPr="00D5780D" w:rsidRDefault="00B84BD9" w:rsidP="00B84BD9">
      <w:pPr>
        <w:pStyle w:val="Listenabsatz"/>
        <w:spacing w:after="0" w:line="240" w:lineRule="auto"/>
        <w:jc w:val="both"/>
        <w:rPr>
          <w:rFonts w:cs="Arial"/>
          <w:sz w:val="22"/>
          <w:lang w:val="en-CA" w:eastAsia="ko-KR"/>
        </w:rPr>
      </w:pPr>
      <w:r>
        <w:rPr>
          <w:rFonts w:cs="Arial"/>
          <w:sz w:val="22"/>
          <w:lang w:val="en-CA" w:eastAsia="ko-KR"/>
        </w:rPr>
        <w:t xml:space="preserve">The members discussed and the Chairman asked the Industry and other contracting parties to review their data with regards to breakage of backlights </w:t>
      </w:r>
      <w:r w:rsidR="00A8505D">
        <w:rPr>
          <w:rFonts w:cs="Arial"/>
          <w:sz w:val="22"/>
          <w:lang w:val="en-CA" w:eastAsia="ko-KR"/>
        </w:rPr>
        <w:t>and side panes</w:t>
      </w:r>
      <w:r w:rsidR="001A4618">
        <w:rPr>
          <w:rFonts w:cs="Arial"/>
          <w:sz w:val="22"/>
          <w:lang w:val="en-CA" w:eastAsia="ko-KR"/>
        </w:rPr>
        <w:t xml:space="preserve"> and exchange with NHTSA.</w:t>
      </w:r>
    </w:p>
    <w:p w:rsidR="00A67A0C" w:rsidRDefault="00A67A0C" w:rsidP="001C300B">
      <w:pPr>
        <w:pStyle w:val="Listenabsatz"/>
        <w:spacing w:after="0" w:line="240" w:lineRule="auto"/>
        <w:ind w:left="0"/>
        <w:jc w:val="both"/>
        <w:rPr>
          <w:rFonts w:cs="Arial"/>
          <w:sz w:val="22"/>
          <w:lang w:val="en-CA" w:eastAsia="ko-KR"/>
        </w:rPr>
      </w:pPr>
    </w:p>
    <w:p w:rsidR="00C40A04" w:rsidRPr="00705087" w:rsidRDefault="00C40A04" w:rsidP="001C300B">
      <w:pPr>
        <w:pStyle w:val="Listenabsatz"/>
        <w:spacing w:after="0" w:line="240" w:lineRule="auto"/>
        <w:ind w:left="0"/>
        <w:jc w:val="both"/>
        <w:rPr>
          <w:rFonts w:cs="Arial"/>
          <w:sz w:val="22"/>
          <w:lang w:val="en-CA" w:eastAsia="ko-KR"/>
        </w:rPr>
      </w:pPr>
    </w:p>
    <w:p w:rsidR="00A67A0C" w:rsidRDefault="0090441D" w:rsidP="001C300B">
      <w:pPr>
        <w:pStyle w:val="Listenabsatz"/>
        <w:numPr>
          <w:ilvl w:val="0"/>
          <w:numId w:val="1"/>
        </w:numPr>
        <w:spacing w:after="0" w:line="240" w:lineRule="auto"/>
        <w:jc w:val="both"/>
        <w:rPr>
          <w:rFonts w:cs="Arial"/>
          <w:b/>
          <w:sz w:val="22"/>
          <w:lang w:val="en-CA"/>
        </w:rPr>
      </w:pPr>
      <w:r>
        <w:rPr>
          <w:rFonts w:cs="Arial"/>
          <w:b/>
          <w:sz w:val="22"/>
          <w:lang w:val="en-CA"/>
        </w:rPr>
        <w:t>Discussion of existing proposals for amendments of GTR 6</w:t>
      </w:r>
    </w:p>
    <w:p w:rsidR="006F68C0" w:rsidRPr="001D1E74" w:rsidRDefault="006F68C0" w:rsidP="001D1E74">
      <w:pPr>
        <w:spacing w:after="0" w:line="240" w:lineRule="auto"/>
        <w:jc w:val="both"/>
        <w:rPr>
          <w:rFonts w:cs="Arial"/>
          <w:sz w:val="22"/>
          <w:lang w:val="en-CA"/>
        </w:rPr>
      </w:pPr>
    </w:p>
    <w:p w:rsidR="0090441D" w:rsidRDefault="0090441D" w:rsidP="0090441D">
      <w:pPr>
        <w:pStyle w:val="Listenabsatz"/>
        <w:spacing w:after="0" w:line="240" w:lineRule="auto"/>
        <w:ind w:left="360"/>
        <w:jc w:val="both"/>
        <w:rPr>
          <w:rFonts w:cs="Arial"/>
          <w:sz w:val="22"/>
          <w:lang w:val="en-CA"/>
        </w:rPr>
      </w:pPr>
      <w:r>
        <w:rPr>
          <w:rFonts w:cs="Arial"/>
          <w:sz w:val="22"/>
          <w:lang w:val="en-CA"/>
        </w:rPr>
        <w:t>The GTR 6 version with all existing proposals (still in discussion, not agreed) was reviewed together.</w:t>
      </w:r>
    </w:p>
    <w:p w:rsidR="0090441D" w:rsidRDefault="0090441D" w:rsidP="0090441D">
      <w:pPr>
        <w:pStyle w:val="Listenabsatz"/>
        <w:spacing w:after="0" w:line="240" w:lineRule="auto"/>
        <w:ind w:left="360"/>
        <w:jc w:val="both"/>
        <w:rPr>
          <w:rFonts w:cs="Arial"/>
          <w:sz w:val="22"/>
          <w:lang w:val="en-CA"/>
        </w:rPr>
      </w:pPr>
    </w:p>
    <w:p w:rsidR="006F68C0" w:rsidRDefault="0090441D" w:rsidP="0090441D">
      <w:pPr>
        <w:pStyle w:val="Listenabsatz"/>
        <w:spacing w:after="0" w:line="240" w:lineRule="auto"/>
        <w:ind w:left="360"/>
        <w:jc w:val="both"/>
        <w:rPr>
          <w:rFonts w:cs="Arial"/>
          <w:sz w:val="22"/>
          <w:lang w:val="en-CA"/>
        </w:rPr>
      </w:pPr>
      <w:r>
        <w:rPr>
          <w:rFonts w:cs="Arial"/>
          <w:sz w:val="22"/>
          <w:lang w:val="en-CA"/>
        </w:rPr>
        <w:t>Chairman asked how the IWG wants to proceed now.</w:t>
      </w:r>
    </w:p>
    <w:p w:rsidR="0090441D" w:rsidRDefault="0090441D" w:rsidP="0090441D">
      <w:pPr>
        <w:pStyle w:val="Listenabsatz"/>
        <w:spacing w:after="0" w:line="240" w:lineRule="auto"/>
        <w:ind w:left="360"/>
        <w:jc w:val="both"/>
        <w:rPr>
          <w:rFonts w:cs="Arial"/>
          <w:sz w:val="22"/>
          <w:lang w:val="en-CA"/>
        </w:rPr>
      </w:pPr>
    </w:p>
    <w:p w:rsidR="0090441D" w:rsidRDefault="0090441D" w:rsidP="0090441D">
      <w:pPr>
        <w:pStyle w:val="Listenabsatz"/>
        <w:spacing w:after="0" w:line="240" w:lineRule="auto"/>
        <w:ind w:left="360"/>
        <w:jc w:val="both"/>
        <w:rPr>
          <w:rFonts w:cs="Arial"/>
          <w:sz w:val="22"/>
          <w:lang w:val="en-CA"/>
        </w:rPr>
      </w:pPr>
      <w:r>
        <w:rPr>
          <w:rFonts w:cs="Arial"/>
          <w:sz w:val="22"/>
          <w:lang w:val="en-CA"/>
        </w:rPr>
        <w:t>The whole membership discussed in a very effective and cooperative manner with the following outcome:</w:t>
      </w:r>
    </w:p>
    <w:p w:rsidR="0090441D" w:rsidRDefault="0090441D" w:rsidP="0090441D">
      <w:pPr>
        <w:pStyle w:val="Listenabsatz"/>
        <w:spacing w:after="0" w:line="240" w:lineRule="auto"/>
        <w:ind w:left="360"/>
        <w:jc w:val="both"/>
        <w:rPr>
          <w:rFonts w:cs="Arial"/>
          <w:sz w:val="22"/>
          <w:lang w:val="en-CA"/>
        </w:rPr>
      </w:pPr>
    </w:p>
    <w:p w:rsidR="0090441D" w:rsidRDefault="0090441D" w:rsidP="0090441D">
      <w:pPr>
        <w:pStyle w:val="Listenabsatz"/>
        <w:numPr>
          <w:ilvl w:val="0"/>
          <w:numId w:val="10"/>
        </w:numPr>
        <w:spacing w:after="0" w:line="240" w:lineRule="auto"/>
        <w:jc w:val="both"/>
        <w:rPr>
          <w:rFonts w:cs="Arial"/>
          <w:sz w:val="22"/>
          <w:lang w:val="en-CA"/>
        </w:rPr>
      </w:pPr>
      <w:r>
        <w:rPr>
          <w:rFonts w:cs="Arial"/>
          <w:sz w:val="22"/>
          <w:lang w:val="en-CA"/>
        </w:rPr>
        <w:t xml:space="preserve">The proposal of CLEPA to correct GTR 6 in important areas based on GRSG 107-23 was reviewed and an addition </w:t>
      </w:r>
      <w:r w:rsidR="00F37096">
        <w:rPr>
          <w:rFonts w:cs="Arial"/>
          <w:sz w:val="22"/>
          <w:lang w:val="en-CA"/>
        </w:rPr>
        <w:t xml:space="preserve">(in red) </w:t>
      </w:r>
      <w:r>
        <w:rPr>
          <w:rFonts w:cs="Arial"/>
          <w:sz w:val="22"/>
          <w:lang w:val="en-CA"/>
        </w:rPr>
        <w:t>was included:</w:t>
      </w:r>
    </w:p>
    <w:p w:rsidR="0090441D" w:rsidRPr="0090441D" w:rsidRDefault="0090441D" w:rsidP="0090441D">
      <w:pPr>
        <w:pStyle w:val="HChG"/>
        <w:pBdr>
          <w:top w:val="single" w:sz="4" w:space="1" w:color="auto"/>
          <w:left w:val="single" w:sz="4" w:space="4" w:color="auto"/>
          <w:bottom w:val="single" w:sz="4" w:space="1" w:color="auto"/>
          <w:right w:val="single" w:sz="4" w:space="4" w:color="auto"/>
        </w:pBdr>
        <w:tabs>
          <w:tab w:val="clear" w:pos="851"/>
        </w:tabs>
        <w:ind w:left="720" w:right="0" w:firstLine="0"/>
        <w:rPr>
          <w:lang w:val="en-US"/>
        </w:rPr>
      </w:pPr>
      <w:r w:rsidRPr="0090441D">
        <w:rPr>
          <w:lang w:val="en-US"/>
        </w:rPr>
        <w:t>Proposal</w:t>
      </w:r>
    </w:p>
    <w:p w:rsidR="0090441D" w:rsidRPr="0090441D" w:rsidRDefault="0090441D" w:rsidP="0090441D">
      <w:pPr>
        <w:pStyle w:val="SingleTxtG"/>
        <w:pBdr>
          <w:top w:val="single" w:sz="4" w:space="1" w:color="auto"/>
          <w:left w:val="single" w:sz="4" w:space="4" w:color="auto"/>
          <w:bottom w:val="single" w:sz="4" w:space="1" w:color="auto"/>
          <w:right w:val="single" w:sz="4" w:space="4" w:color="auto"/>
        </w:pBdr>
      </w:pPr>
      <w:r w:rsidRPr="0090441D">
        <w:rPr>
          <w:i/>
        </w:rPr>
        <w:t>Part B, paragraph 2., Application/Scope</w:t>
      </w:r>
      <w:r w:rsidRPr="0090441D">
        <w:t>, amend to read:</w:t>
      </w:r>
    </w:p>
    <w:p w:rsidR="0090441D" w:rsidRPr="0090441D" w:rsidRDefault="0090441D" w:rsidP="0090441D">
      <w:pPr>
        <w:pBdr>
          <w:top w:val="single" w:sz="4" w:space="1" w:color="auto"/>
          <w:left w:val="single" w:sz="4" w:space="4" w:color="auto"/>
          <w:bottom w:val="single" w:sz="4" w:space="1" w:color="auto"/>
          <w:right w:val="single" w:sz="4" w:space="4" w:color="auto"/>
        </w:pBdr>
        <w:spacing w:after="120"/>
        <w:ind w:left="2268" w:right="992" w:hanging="1134"/>
        <w:jc w:val="both"/>
        <w:rPr>
          <w:iCs/>
          <w:sz w:val="20"/>
          <w:szCs w:val="20"/>
        </w:rPr>
      </w:pPr>
      <w:r w:rsidRPr="0090441D">
        <w:rPr>
          <w:iCs/>
          <w:sz w:val="20"/>
          <w:szCs w:val="20"/>
        </w:rPr>
        <w:t>"2.</w:t>
      </w:r>
      <w:r w:rsidRPr="0090441D">
        <w:rPr>
          <w:iCs/>
          <w:sz w:val="20"/>
          <w:szCs w:val="20"/>
        </w:rPr>
        <w:tab/>
        <w:t xml:space="preserve">This regulation applies to safety glazing intended for installation as windscreens or </w:t>
      </w:r>
      <w:r w:rsidRPr="0090441D">
        <w:rPr>
          <w:b/>
          <w:iCs/>
          <w:sz w:val="20"/>
          <w:szCs w:val="20"/>
        </w:rPr>
        <w:t>panes</w:t>
      </w:r>
      <w:r w:rsidRPr="0090441D">
        <w:rPr>
          <w:iCs/>
          <w:sz w:val="20"/>
          <w:szCs w:val="20"/>
        </w:rPr>
        <w:t xml:space="preserve"> </w:t>
      </w:r>
      <w:r w:rsidRPr="0090441D">
        <w:rPr>
          <w:b/>
          <w:iCs/>
          <w:color w:val="FF0000"/>
          <w:sz w:val="20"/>
          <w:szCs w:val="20"/>
        </w:rPr>
        <w:t xml:space="preserve">or as partitioning, </w:t>
      </w:r>
      <w:r w:rsidRPr="0090441D">
        <w:rPr>
          <w:iCs/>
          <w:strike/>
          <w:sz w:val="20"/>
          <w:szCs w:val="20"/>
        </w:rPr>
        <w:t>use of double windows panes, each pane is considered a separate item of glazing panes</w:t>
      </w:r>
      <w:r w:rsidRPr="0090441D">
        <w:rPr>
          <w:iCs/>
          <w:sz w:val="20"/>
          <w:szCs w:val="20"/>
        </w:rPr>
        <w:t xml:space="preserve"> on Category 1 and 2 vehicles as defined in Special Resolution No. 1 (S.R.1) concerning the Common Definitions of Vehicle Categories, Masses and Dimensions, to the exclusion however of glazing for lighting and light-signalling devices and instrument panels, and of bullet resistant glazing.  In the case of double windows, each pane is considered a separate item of glazing."</w:t>
      </w:r>
    </w:p>
    <w:p w:rsidR="0090441D" w:rsidRPr="0090441D" w:rsidRDefault="0090441D" w:rsidP="0090441D">
      <w:pPr>
        <w:pStyle w:val="SingleTxtG"/>
        <w:pBdr>
          <w:top w:val="single" w:sz="4" w:space="1" w:color="auto"/>
          <w:left w:val="single" w:sz="4" w:space="4" w:color="auto"/>
          <w:bottom w:val="single" w:sz="4" w:space="1" w:color="auto"/>
          <w:right w:val="single" w:sz="4" w:space="4" w:color="auto"/>
        </w:pBdr>
      </w:pPr>
      <w:r w:rsidRPr="0090441D">
        <w:rPr>
          <w:i/>
        </w:rPr>
        <w:t>Part B, paragraph 6.3.2.3.</w:t>
      </w:r>
      <w:r w:rsidRPr="0090441D">
        <w:t xml:space="preserve">, amend to read:         </w:t>
      </w:r>
    </w:p>
    <w:p w:rsidR="0090441D" w:rsidRPr="0090441D" w:rsidRDefault="0090441D" w:rsidP="0090441D">
      <w:pPr>
        <w:pBdr>
          <w:top w:val="single" w:sz="4" w:space="1" w:color="auto"/>
          <w:left w:val="single" w:sz="4" w:space="4" w:color="auto"/>
          <w:bottom w:val="single" w:sz="4" w:space="1" w:color="auto"/>
          <w:right w:val="single" w:sz="4" w:space="4" w:color="auto"/>
        </w:pBdr>
        <w:ind w:left="2268" w:right="993" w:hanging="1134"/>
        <w:jc w:val="both"/>
        <w:rPr>
          <w:iCs/>
          <w:sz w:val="20"/>
          <w:szCs w:val="20"/>
        </w:rPr>
      </w:pPr>
      <w:r w:rsidRPr="0090441D">
        <w:rPr>
          <w:iCs/>
          <w:sz w:val="20"/>
          <w:szCs w:val="20"/>
        </w:rPr>
        <w:t>"6.3.2.3.</w:t>
      </w:r>
      <w:r w:rsidRPr="0090441D">
        <w:rPr>
          <w:iCs/>
          <w:sz w:val="20"/>
          <w:szCs w:val="20"/>
        </w:rPr>
        <w:tab/>
        <w:t xml:space="preserve">The point of impact shall be within 25 mm of the </w:t>
      </w:r>
      <w:r w:rsidRPr="0090441D">
        <w:rPr>
          <w:b/>
          <w:sz w:val="20"/>
          <w:szCs w:val="20"/>
        </w:rPr>
        <w:t>geometric</w:t>
      </w:r>
      <w:r w:rsidRPr="0090441D">
        <w:rPr>
          <w:iCs/>
          <w:sz w:val="20"/>
          <w:szCs w:val="20"/>
        </w:rPr>
        <w:t xml:space="preserve"> centre of the </w:t>
      </w:r>
      <w:r w:rsidRPr="0090441D">
        <w:rPr>
          <w:b/>
          <w:sz w:val="20"/>
          <w:szCs w:val="20"/>
        </w:rPr>
        <w:t>test piece</w:t>
      </w:r>
      <w:r w:rsidRPr="0090441D">
        <w:rPr>
          <w:sz w:val="20"/>
          <w:szCs w:val="20"/>
        </w:rPr>
        <w:t xml:space="preserve"> </w:t>
      </w:r>
      <w:r w:rsidRPr="0090441D">
        <w:rPr>
          <w:iCs/>
          <w:strike/>
          <w:sz w:val="20"/>
          <w:szCs w:val="20"/>
        </w:rPr>
        <w:t>supported area</w:t>
      </w:r>
      <w:r w:rsidRPr="0090441D">
        <w:rPr>
          <w:iCs/>
          <w:sz w:val="20"/>
          <w:szCs w:val="20"/>
        </w:rPr>
        <w:t xml:space="preserve"> for a drop height less than or equal to 6 m, and within 50 mm of the centre of the </w:t>
      </w:r>
      <w:r w:rsidRPr="0090441D">
        <w:rPr>
          <w:iCs/>
          <w:strike/>
          <w:sz w:val="20"/>
          <w:szCs w:val="20"/>
        </w:rPr>
        <w:t>supported area</w:t>
      </w:r>
      <w:r w:rsidRPr="0090441D">
        <w:rPr>
          <w:iCs/>
          <w:sz w:val="20"/>
          <w:szCs w:val="20"/>
        </w:rPr>
        <w:t xml:space="preserve"> </w:t>
      </w:r>
      <w:r w:rsidRPr="0090441D">
        <w:rPr>
          <w:b/>
          <w:sz w:val="20"/>
          <w:szCs w:val="20"/>
        </w:rPr>
        <w:t>test piece</w:t>
      </w:r>
      <w:r w:rsidRPr="0090441D">
        <w:rPr>
          <w:iCs/>
          <w:sz w:val="20"/>
          <w:szCs w:val="20"/>
        </w:rPr>
        <w:t xml:space="preserve">  for a drop height greater than 6 m."</w:t>
      </w:r>
    </w:p>
    <w:p w:rsidR="0090441D" w:rsidRDefault="0090441D" w:rsidP="0090441D">
      <w:pPr>
        <w:spacing w:after="0" w:line="240" w:lineRule="auto"/>
        <w:jc w:val="both"/>
        <w:rPr>
          <w:rFonts w:cs="Arial"/>
          <w:sz w:val="22"/>
          <w:lang w:val="en-CA"/>
        </w:rPr>
      </w:pPr>
    </w:p>
    <w:p w:rsidR="006A42F6" w:rsidRPr="0090441D" w:rsidRDefault="006A42F6" w:rsidP="0090441D">
      <w:pPr>
        <w:spacing w:after="0" w:line="240" w:lineRule="auto"/>
        <w:jc w:val="both"/>
        <w:rPr>
          <w:rFonts w:cs="Arial"/>
          <w:sz w:val="22"/>
          <w:lang w:val="en-CA"/>
        </w:rPr>
      </w:pPr>
    </w:p>
    <w:p w:rsidR="0090441D" w:rsidRDefault="0090441D" w:rsidP="0090441D">
      <w:pPr>
        <w:pStyle w:val="Listenabsatz"/>
        <w:numPr>
          <w:ilvl w:val="0"/>
          <w:numId w:val="10"/>
        </w:numPr>
        <w:spacing w:after="0" w:line="240" w:lineRule="auto"/>
        <w:jc w:val="both"/>
        <w:rPr>
          <w:rFonts w:cs="Arial"/>
          <w:sz w:val="22"/>
          <w:lang w:val="en-CA"/>
        </w:rPr>
      </w:pPr>
      <w:r>
        <w:rPr>
          <w:rFonts w:cs="Arial"/>
          <w:sz w:val="22"/>
          <w:lang w:val="en-CA"/>
        </w:rPr>
        <w:t xml:space="preserve">All members agreed hereto, except GFE, which asked for time to align with members and </w:t>
      </w:r>
      <w:r w:rsidR="00A8505D">
        <w:rPr>
          <w:rFonts w:cs="Arial"/>
          <w:sz w:val="22"/>
          <w:lang w:val="en-CA"/>
        </w:rPr>
        <w:t xml:space="preserve">will </w:t>
      </w:r>
      <w:r>
        <w:rPr>
          <w:rFonts w:cs="Arial"/>
          <w:sz w:val="22"/>
          <w:lang w:val="en-CA"/>
        </w:rPr>
        <w:t>answer via email.</w:t>
      </w:r>
    </w:p>
    <w:p w:rsidR="0090441D" w:rsidRDefault="0090441D" w:rsidP="0090441D">
      <w:pPr>
        <w:pStyle w:val="Listenabsatz"/>
        <w:numPr>
          <w:ilvl w:val="0"/>
          <w:numId w:val="10"/>
        </w:numPr>
        <w:spacing w:after="0" w:line="240" w:lineRule="auto"/>
        <w:jc w:val="both"/>
        <w:rPr>
          <w:rFonts w:cs="Arial"/>
          <w:sz w:val="22"/>
          <w:lang w:val="en-CA"/>
        </w:rPr>
      </w:pPr>
      <w:r>
        <w:rPr>
          <w:rFonts w:cs="Arial"/>
          <w:sz w:val="22"/>
          <w:lang w:val="en-CA"/>
        </w:rPr>
        <w:t>It was agreed that no other change proposal existing will be included.</w:t>
      </w:r>
    </w:p>
    <w:p w:rsidR="006F68C0" w:rsidRPr="0090441D" w:rsidRDefault="0090441D" w:rsidP="0090441D">
      <w:pPr>
        <w:pStyle w:val="Listenabsatz"/>
        <w:numPr>
          <w:ilvl w:val="0"/>
          <w:numId w:val="10"/>
        </w:numPr>
        <w:spacing w:after="0" w:line="240" w:lineRule="auto"/>
        <w:jc w:val="both"/>
        <w:rPr>
          <w:rFonts w:cs="Arial"/>
          <w:sz w:val="22"/>
          <w:lang w:val="en-CA"/>
        </w:rPr>
      </w:pPr>
      <w:r>
        <w:rPr>
          <w:rFonts w:cs="Arial"/>
          <w:sz w:val="22"/>
          <w:lang w:val="en-CA"/>
        </w:rPr>
        <w:t>It was generally agreed that more time for research on CPA issues is needed.</w:t>
      </w:r>
    </w:p>
    <w:p w:rsidR="006F68C0" w:rsidRDefault="006F68C0" w:rsidP="006F68C0">
      <w:pPr>
        <w:pStyle w:val="Listenabsatz"/>
        <w:spacing w:after="0" w:line="240" w:lineRule="auto"/>
        <w:ind w:left="360"/>
        <w:jc w:val="both"/>
        <w:rPr>
          <w:rFonts w:cs="Arial"/>
          <w:sz w:val="22"/>
          <w:lang w:val="en-CA"/>
        </w:rPr>
      </w:pPr>
    </w:p>
    <w:p w:rsidR="006F68C0" w:rsidRDefault="006F68C0" w:rsidP="006F68C0">
      <w:pPr>
        <w:pStyle w:val="Listenabsatz"/>
        <w:spacing w:after="0" w:line="240" w:lineRule="auto"/>
        <w:ind w:left="360"/>
        <w:jc w:val="both"/>
        <w:rPr>
          <w:rFonts w:cs="Arial"/>
          <w:sz w:val="22"/>
          <w:lang w:val="en-CA"/>
        </w:rPr>
      </w:pPr>
    </w:p>
    <w:p w:rsidR="006A42F6" w:rsidRDefault="006A42F6" w:rsidP="006F68C0">
      <w:pPr>
        <w:pStyle w:val="Listenabsatz"/>
        <w:spacing w:after="0" w:line="240" w:lineRule="auto"/>
        <w:ind w:left="360"/>
        <w:jc w:val="both"/>
        <w:rPr>
          <w:rFonts w:cs="Arial"/>
          <w:sz w:val="22"/>
          <w:lang w:val="en-CA"/>
        </w:rPr>
      </w:pPr>
    </w:p>
    <w:p w:rsidR="006A42F6" w:rsidRDefault="006A42F6" w:rsidP="006F68C0">
      <w:pPr>
        <w:pStyle w:val="Listenabsatz"/>
        <w:spacing w:after="0" w:line="240" w:lineRule="auto"/>
        <w:ind w:left="360"/>
        <w:jc w:val="both"/>
        <w:rPr>
          <w:rFonts w:cs="Arial"/>
          <w:sz w:val="22"/>
          <w:lang w:val="en-CA"/>
        </w:rPr>
      </w:pPr>
    </w:p>
    <w:p w:rsidR="006A42F6" w:rsidRDefault="006A42F6" w:rsidP="006F68C0">
      <w:pPr>
        <w:pStyle w:val="Listenabsatz"/>
        <w:spacing w:after="0" w:line="240" w:lineRule="auto"/>
        <w:ind w:left="360"/>
        <w:jc w:val="both"/>
        <w:rPr>
          <w:rFonts w:cs="Arial"/>
          <w:sz w:val="22"/>
          <w:lang w:val="en-CA"/>
        </w:rPr>
      </w:pPr>
    </w:p>
    <w:p w:rsidR="006A42F6" w:rsidRDefault="006A42F6" w:rsidP="006F68C0">
      <w:pPr>
        <w:pStyle w:val="Listenabsatz"/>
        <w:spacing w:after="0" w:line="240" w:lineRule="auto"/>
        <w:ind w:left="360"/>
        <w:jc w:val="both"/>
        <w:rPr>
          <w:rFonts w:cs="Arial"/>
          <w:sz w:val="22"/>
          <w:lang w:val="en-CA"/>
        </w:rPr>
      </w:pPr>
    </w:p>
    <w:p w:rsidR="006A42F6" w:rsidRPr="006F68C0" w:rsidRDefault="006A42F6" w:rsidP="006F68C0">
      <w:pPr>
        <w:pStyle w:val="Listenabsatz"/>
        <w:spacing w:after="0" w:line="240" w:lineRule="auto"/>
        <w:ind w:left="360"/>
        <w:jc w:val="both"/>
        <w:rPr>
          <w:rFonts w:cs="Arial"/>
          <w:sz w:val="22"/>
          <w:lang w:val="en-CA"/>
        </w:rPr>
      </w:pPr>
    </w:p>
    <w:p w:rsidR="00E35726" w:rsidRDefault="0090441D" w:rsidP="001C300B">
      <w:pPr>
        <w:pStyle w:val="Listenabsatz"/>
        <w:numPr>
          <w:ilvl w:val="0"/>
          <w:numId w:val="1"/>
        </w:numPr>
        <w:spacing w:after="0" w:line="240" w:lineRule="auto"/>
        <w:jc w:val="both"/>
        <w:rPr>
          <w:rFonts w:cs="Arial"/>
          <w:b/>
          <w:sz w:val="22"/>
          <w:lang w:val="en-CA"/>
        </w:rPr>
      </w:pPr>
      <w:r>
        <w:rPr>
          <w:rFonts w:cs="Arial"/>
          <w:b/>
          <w:sz w:val="22"/>
          <w:lang w:val="en-CA" w:eastAsia="ko-KR"/>
        </w:rPr>
        <w:t>Discussion and Decision of IWG PSG on how to proceed / closing of activities</w:t>
      </w:r>
    </w:p>
    <w:p w:rsidR="00E83AB4" w:rsidRDefault="00E83AB4" w:rsidP="00E83AB4">
      <w:pPr>
        <w:spacing w:after="0" w:line="240" w:lineRule="auto"/>
        <w:jc w:val="both"/>
        <w:rPr>
          <w:rFonts w:cs="Arial"/>
          <w:b/>
          <w:sz w:val="22"/>
          <w:lang w:val="en-CA"/>
        </w:rPr>
      </w:pPr>
    </w:p>
    <w:p w:rsidR="0090441D" w:rsidRDefault="006A42F6" w:rsidP="00E83AB4">
      <w:pPr>
        <w:spacing w:after="0" w:line="240" w:lineRule="auto"/>
        <w:jc w:val="both"/>
        <w:rPr>
          <w:rFonts w:cs="Arial"/>
          <w:sz w:val="22"/>
          <w:lang w:val="en-CA"/>
        </w:rPr>
      </w:pPr>
      <w:r>
        <w:rPr>
          <w:rFonts w:cs="Arial"/>
          <w:sz w:val="22"/>
          <w:lang w:val="en-CA"/>
        </w:rPr>
        <w:t>A</w:t>
      </w:r>
      <w:r w:rsidR="0090441D">
        <w:rPr>
          <w:rFonts w:cs="Arial"/>
          <w:sz w:val="22"/>
          <w:lang w:val="en-CA"/>
        </w:rPr>
        <w:t xml:space="preserve">ll members </w:t>
      </w:r>
      <w:r>
        <w:rPr>
          <w:rFonts w:cs="Arial"/>
          <w:sz w:val="22"/>
          <w:lang w:val="en-CA"/>
        </w:rPr>
        <w:t xml:space="preserve">agreed </w:t>
      </w:r>
      <w:r w:rsidR="0090441D">
        <w:rPr>
          <w:rFonts w:cs="Arial"/>
          <w:sz w:val="22"/>
          <w:lang w:val="en-CA"/>
        </w:rPr>
        <w:t>that the IW</w:t>
      </w:r>
      <w:r>
        <w:rPr>
          <w:rFonts w:cs="Arial"/>
          <w:sz w:val="22"/>
          <w:lang w:val="en-CA"/>
        </w:rPr>
        <w:t>G PSG shall be extended until June 2018.</w:t>
      </w:r>
    </w:p>
    <w:p w:rsidR="006A42F6" w:rsidRDefault="006A42F6" w:rsidP="00E83AB4">
      <w:pPr>
        <w:spacing w:after="0" w:line="240" w:lineRule="auto"/>
        <w:jc w:val="both"/>
        <w:rPr>
          <w:rFonts w:cs="Arial"/>
          <w:sz w:val="22"/>
          <w:lang w:val="en-CA"/>
        </w:rPr>
      </w:pPr>
    </w:p>
    <w:p w:rsidR="006A42F6" w:rsidRDefault="006A42F6" w:rsidP="00E83AB4">
      <w:pPr>
        <w:spacing w:after="0" w:line="240" w:lineRule="auto"/>
        <w:jc w:val="both"/>
        <w:rPr>
          <w:rFonts w:cs="Arial"/>
          <w:sz w:val="22"/>
          <w:lang w:val="en-CA"/>
        </w:rPr>
      </w:pPr>
      <w:r>
        <w:rPr>
          <w:rFonts w:cs="Arial"/>
          <w:sz w:val="22"/>
          <w:lang w:val="en-CA"/>
        </w:rPr>
        <w:t xml:space="preserve">All members agreed that a 2-step approach shall be taken:  </w:t>
      </w:r>
    </w:p>
    <w:p w:rsidR="006A42F6" w:rsidRPr="006A42F6" w:rsidRDefault="006A42F6" w:rsidP="006A42F6">
      <w:pPr>
        <w:pStyle w:val="Listenabsatz"/>
        <w:numPr>
          <w:ilvl w:val="0"/>
          <w:numId w:val="16"/>
        </w:numPr>
        <w:spacing w:after="0" w:line="240" w:lineRule="auto"/>
        <w:jc w:val="both"/>
        <w:rPr>
          <w:rFonts w:cs="Arial"/>
          <w:sz w:val="22"/>
          <w:lang w:val="en-CA"/>
        </w:rPr>
      </w:pPr>
      <w:r w:rsidRPr="006A42F6">
        <w:rPr>
          <w:rFonts w:cs="Arial"/>
          <w:sz w:val="22"/>
          <w:lang w:val="en-CA"/>
        </w:rPr>
        <w:t>Minor important amendments to GTR 6 released in next GRSG meeting in April 2017 (updated CLEPA proposal as in point 4).</w:t>
      </w:r>
    </w:p>
    <w:p w:rsidR="006A42F6" w:rsidRPr="006A42F6" w:rsidRDefault="006A42F6" w:rsidP="006A42F6">
      <w:pPr>
        <w:pStyle w:val="Listenabsatz"/>
        <w:numPr>
          <w:ilvl w:val="0"/>
          <w:numId w:val="16"/>
        </w:numPr>
        <w:spacing w:after="0" w:line="240" w:lineRule="auto"/>
        <w:jc w:val="both"/>
        <w:rPr>
          <w:rFonts w:cs="Arial"/>
          <w:sz w:val="22"/>
          <w:lang w:val="en-CA"/>
        </w:rPr>
      </w:pPr>
      <w:r>
        <w:rPr>
          <w:rFonts w:cs="Arial"/>
          <w:sz w:val="22"/>
          <w:lang w:val="en-CA"/>
        </w:rPr>
        <w:t>Time to do research on CPA issues with extension of Mandate for IWG PSG until June 2018</w:t>
      </w:r>
    </w:p>
    <w:p w:rsidR="006A42F6" w:rsidRDefault="006A42F6" w:rsidP="00E83AB4">
      <w:pPr>
        <w:spacing w:after="0" w:line="240" w:lineRule="auto"/>
        <w:jc w:val="both"/>
        <w:rPr>
          <w:rFonts w:cs="Arial"/>
          <w:sz w:val="22"/>
          <w:lang w:val="en-CA"/>
        </w:rPr>
      </w:pPr>
    </w:p>
    <w:p w:rsidR="006A42F6" w:rsidRDefault="006A42F6" w:rsidP="00E83AB4">
      <w:pPr>
        <w:spacing w:after="0" w:line="240" w:lineRule="auto"/>
        <w:jc w:val="both"/>
        <w:rPr>
          <w:rFonts w:cs="Arial"/>
          <w:sz w:val="22"/>
          <w:lang w:val="en-CA"/>
        </w:rPr>
      </w:pPr>
      <w:r>
        <w:rPr>
          <w:rFonts w:cs="Arial"/>
          <w:sz w:val="22"/>
          <w:lang w:val="en-CA"/>
        </w:rPr>
        <w:t>The Terms of Reference for the IWG PSG will be updated accordingly in positions 4.2.</w:t>
      </w:r>
      <w:r w:rsidR="00B3667E">
        <w:rPr>
          <w:rFonts w:cs="Arial"/>
          <w:sz w:val="22"/>
          <w:lang w:val="en-CA"/>
        </w:rPr>
        <w:t xml:space="preserve"> and 5 as follows:</w:t>
      </w:r>
    </w:p>
    <w:p w:rsidR="00B3667E" w:rsidRDefault="00B3667E" w:rsidP="00E83AB4">
      <w:pPr>
        <w:spacing w:after="0" w:line="240" w:lineRule="auto"/>
        <w:jc w:val="both"/>
        <w:rPr>
          <w:rFonts w:cs="Arial"/>
          <w:sz w:val="22"/>
          <w:lang w:val="en-CA"/>
        </w:rPr>
      </w:pPr>
      <w:r>
        <w:rPr>
          <w:rFonts w:cs="Arial"/>
          <w:sz w:val="22"/>
          <w:lang w:val="en-CA"/>
        </w:rPr>
        <w:t>4.2 update:</w:t>
      </w:r>
    </w:p>
    <w:p w:rsidR="006A42F6" w:rsidRPr="0090441D" w:rsidRDefault="006A42F6" w:rsidP="00E83AB4">
      <w:pPr>
        <w:spacing w:after="0" w:line="240" w:lineRule="auto"/>
        <w:jc w:val="both"/>
        <w:rPr>
          <w:rFonts w:cs="Arial"/>
          <w:sz w:val="22"/>
          <w:lang w:val="en-CA"/>
        </w:rPr>
      </w:pPr>
      <w:r>
        <w:rPr>
          <w:rFonts w:cs="Arial"/>
          <w:noProof/>
          <w:sz w:val="22"/>
          <w:lang w:val="de-DE" w:eastAsia="zh-CN"/>
        </w:rPr>
        <w:drawing>
          <wp:inline distT="0" distB="0" distL="0" distR="0">
            <wp:extent cx="5732145" cy="1434682"/>
            <wp:effectExtent l="76200" t="76200" r="135255" b="127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145" cy="143468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630E4" w:rsidRDefault="00D630E4" w:rsidP="006A42F6">
      <w:pPr>
        <w:spacing w:after="0" w:line="240" w:lineRule="auto"/>
        <w:jc w:val="both"/>
        <w:rPr>
          <w:rFonts w:cs="Arial"/>
          <w:sz w:val="22"/>
          <w:lang w:val="en-CA"/>
        </w:rPr>
      </w:pPr>
    </w:p>
    <w:p w:rsidR="00E36ED9" w:rsidRDefault="00D630E4" w:rsidP="00D630E4">
      <w:pPr>
        <w:pStyle w:val="Listenabsatz"/>
        <w:numPr>
          <w:ilvl w:val="0"/>
          <w:numId w:val="17"/>
        </w:numPr>
        <w:spacing w:after="0" w:line="240" w:lineRule="auto"/>
        <w:jc w:val="both"/>
        <w:rPr>
          <w:rFonts w:cs="Arial"/>
          <w:sz w:val="22"/>
          <w:lang w:val="en-CA"/>
        </w:rPr>
      </w:pPr>
      <w:r>
        <w:rPr>
          <w:rFonts w:cs="Arial"/>
          <w:sz w:val="22"/>
          <w:lang w:val="en-CA"/>
        </w:rPr>
        <w:t>IWG Meetings (depending on data availability) 2016 until J</w:t>
      </w:r>
      <w:r w:rsidR="00E36ED9" w:rsidRPr="00D630E4">
        <w:rPr>
          <w:rFonts w:cs="Arial"/>
          <w:sz w:val="22"/>
          <w:lang w:val="en-CA"/>
        </w:rPr>
        <w:t>une</w:t>
      </w:r>
      <w:r>
        <w:rPr>
          <w:rFonts w:cs="Arial"/>
          <w:sz w:val="22"/>
          <w:lang w:val="en-CA"/>
        </w:rPr>
        <w:t xml:space="preserve"> 2018</w:t>
      </w:r>
    </w:p>
    <w:p w:rsidR="00D630E4" w:rsidRDefault="00D630E4" w:rsidP="00D630E4">
      <w:pPr>
        <w:pStyle w:val="Listenabsatz"/>
        <w:numPr>
          <w:ilvl w:val="0"/>
          <w:numId w:val="17"/>
        </w:numPr>
        <w:spacing w:after="0" w:line="240" w:lineRule="auto"/>
        <w:jc w:val="both"/>
        <w:rPr>
          <w:rFonts w:cs="Arial"/>
          <w:sz w:val="22"/>
          <w:lang w:val="en-CA"/>
        </w:rPr>
      </w:pPr>
      <w:r>
        <w:rPr>
          <w:rFonts w:cs="Arial"/>
          <w:sz w:val="22"/>
          <w:lang w:val="en-CA"/>
        </w:rPr>
        <w:t>June 2018 : Possible adaption of both GTR and UN Regulation</w:t>
      </w:r>
    </w:p>
    <w:p w:rsidR="00E36ED9" w:rsidRDefault="00E36ED9" w:rsidP="00D630E4">
      <w:pPr>
        <w:spacing w:after="0" w:line="240" w:lineRule="auto"/>
        <w:jc w:val="both"/>
        <w:rPr>
          <w:rFonts w:cs="Arial"/>
          <w:b/>
          <w:sz w:val="22"/>
          <w:lang w:val="en-CA"/>
        </w:rPr>
      </w:pPr>
    </w:p>
    <w:p w:rsidR="00B3667E" w:rsidRDefault="00B3667E" w:rsidP="00B3667E">
      <w:pPr>
        <w:spacing w:after="0" w:line="240" w:lineRule="auto"/>
        <w:jc w:val="both"/>
        <w:rPr>
          <w:rFonts w:cs="Arial"/>
          <w:sz w:val="22"/>
          <w:lang w:val="en-CA"/>
        </w:rPr>
      </w:pPr>
      <w:r>
        <w:rPr>
          <w:rFonts w:cs="Arial"/>
          <w:sz w:val="22"/>
          <w:lang w:val="en-CA"/>
        </w:rPr>
        <w:t>5. update:</w:t>
      </w:r>
    </w:p>
    <w:p w:rsidR="00B3667E" w:rsidRDefault="00B3667E" w:rsidP="00D630E4">
      <w:pPr>
        <w:spacing w:after="0" w:line="240" w:lineRule="auto"/>
        <w:jc w:val="both"/>
        <w:rPr>
          <w:rFonts w:cs="Arial"/>
          <w:b/>
          <w:sz w:val="22"/>
          <w:lang w:val="en-CA"/>
        </w:rPr>
      </w:pPr>
      <w:r>
        <w:rPr>
          <w:rFonts w:cs="Arial"/>
          <w:b/>
          <w:noProof/>
          <w:sz w:val="22"/>
          <w:lang w:val="de-DE" w:eastAsia="zh-CN"/>
        </w:rPr>
        <w:drawing>
          <wp:inline distT="0" distB="0" distL="0" distR="0">
            <wp:extent cx="5732145" cy="3549074"/>
            <wp:effectExtent l="76200" t="76200" r="135255" b="127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145" cy="354907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3667E" w:rsidRPr="00CB7D2C" w:rsidRDefault="00CB7D2C" w:rsidP="00CB7D2C">
      <w:pPr>
        <w:pStyle w:val="Listenabsatz"/>
        <w:numPr>
          <w:ilvl w:val="0"/>
          <w:numId w:val="21"/>
        </w:numPr>
        <w:spacing w:after="0" w:line="240" w:lineRule="auto"/>
        <w:jc w:val="both"/>
        <w:rPr>
          <w:rFonts w:cs="Arial"/>
          <w:sz w:val="22"/>
          <w:lang w:val="en-CA"/>
        </w:rPr>
      </w:pPr>
      <w:r w:rsidRPr="00CB7D2C">
        <w:rPr>
          <w:rFonts w:cs="Arial"/>
          <w:sz w:val="22"/>
          <w:lang w:val="en-CA"/>
        </w:rPr>
        <w:lastRenderedPageBreak/>
        <w:t>The update to this position will be shown as part of the Terms of Reference update in GRSG meeting for final discussion and release by all members.</w:t>
      </w:r>
    </w:p>
    <w:p w:rsidR="001D1E74" w:rsidRPr="00EB7968" w:rsidRDefault="001D1E74" w:rsidP="00EB7968">
      <w:pPr>
        <w:pStyle w:val="Listenabsatz"/>
        <w:spacing w:after="0" w:line="240" w:lineRule="auto"/>
        <w:ind w:left="360"/>
        <w:jc w:val="both"/>
        <w:rPr>
          <w:rFonts w:cs="Arial"/>
          <w:b/>
          <w:sz w:val="22"/>
          <w:lang w:val="en-CA"/>
        </w:rPr>
      </w:pPr>
    </w:p>
    <w:p w:rsidR="001316EB" w:rsidRPr="00705087" w:rsidRDefault="00E83AB4" w:rsidP="001C300B">
      <w:pPr>
        <w:pStyle w:val="Listenabsatz"/>
        <w:numPr>
          <w:ilvl w:val="0"/>
          <w:numId w:val="1"/>
        </w:numPr>
        <w:spacing w:after="0" w:line="240" w:lineRule="auto"/>
        <w:jc w:val="both"/>
        <w:rPr>
          <w:rFonts w:cs="Arial"/>
          <w:b/>
          <w:sz w:val="22"/>
          <w:lang w:val="en-CA"/>
        </w:rPr>
      </w:pPr>
      <w:r>
        <w:rPr>
          <w:rFonts w:cs="Arial"/>
          <w:b/>
          <w:sz w:val="22"/>
          <w:lang w:val="en-CA"/>
        </w:rPr>
        <w:t xml:space="preserve">Any other Business </w:t>
      </w:r>
    </w:p>
    <w:p w:rsidR="00BF0CCE" w:rsidRPr="00705087" w:rsidRDefault="00BF0CCE" w:rsidP="001C300B">
      <w:pPr>
        <w:pStyle w:val="Listenabsatz"/>
        <w:spacing w:after="0" w:line="240" w:lineRule="auto"/>
        <w:ind w:left="0"/>
        <w:jc w:val="both"/>
        <w:rPr>
          <w:rFonts w:cs="Arial"/>
          <w:sz w:val="22"/>
          <w:lang w:val="en-CA" w:eastAsia="ko-KR"/>
        </w:rPr>
      </w:pPr>
    </w:p>
    <w:p w:rsidR="00D630E4" w:rsidRPr="00D630E4" w:rsidRDefault="00D630E4" w:rsidP="00D630E4">
      <w:pPr>
        <w:pStyle w:val="Listenabsatz"/>
        <w:numPr>
          <w:ilvl w:val="1"/>
          <w:numId w:val="18"/>
        </w:numPr>
        <w:spacing w:after="0" w:line="240" w:lineRule="auto"/>
        <w:jc w:val="both"/>
        <w:rPr>
          <w:rFonts w:cs="Arial"/>
          <w:b/>
          <w:sz w:val="22"/>
          <w:lang w:val="en-CA"/>
        </w:rPr>
      </w:pPr>
      <w:r w:rsidRPr="00D630E4">
        <w:rPr>
          <w:b/>
          <w:sz w:val="22"/>
          <w:lang w:eastAsia="ko-KR"/>
        </w:rPr>
        <w:t>Continuation of IWG PSG decision for GRSG notification</w:t>
      </w:r>
    </w:p>
    <w:p w:rsidR="001316EB" w:rsidRPr="00D630E4" w:rsidRDefault="001316EB" w:rsidP="00E83AB4">
      <w:pPr>
        <w:pStyle w:val="Listenabsatz"/>
        <w:spacing w:after="0" w:line="240" w:lineRule="auto"/>
        <w:ind w:left="0"/>
        <w:jc w:val="both"/>
        <w:rPr>
          <w:rFonts w:cs="Arial"/>
          <w:b/>
          <w:sz w:val="22"/>
          <w:lang w:val="en-CA"/>
        </w:rPr>
      </w:pPr>
    </w:p>
    <w:p w:rsidR="005F236E" w:rsidRDefault="00D630E4" w:rsidP="001C300B">
      <w:pPr>
        <w:pStyle w:val="Listenabsatz"/>
        <w:spacing w:after="0" w:line="240" w:lineRule="auto"/>
        <w:ind w:left="0"/>
        <w:jc w:val="both"/>
        <w:rPr>
          <w:rFonts w:cs="Arial"/>
          <w:sz w:val="22"/>
          <w:lang w:val="en-CA" w:eastAsia="ko-KR"/>
        </w:rPr>
      </w:pPr>
      <w:r>
        <w:rPr>
          <w:rFonts w:cs="Arial"/>
          <w:sz w:val="22"/>
          <w:lang w:val="en-CA" w:eastAsia="ko-KR"/>
        </w:rPr>
        <w:t>Agreed to extend see point 5</w:t>
      </w:r>
    </w:p>
    <w:p w:rsidR="00C14E06" w:rsidRPr="00705087" w:rsidRDefault="00C14E06" w:rsidP="001C300B">
      <w:pPr>
        <w:pStyle w:val="Listenabsatz"/>
        <w:spacing w:after="0" w:line="240" w:lineRule="auto"/>
        <w:ind w:left="0"/>
        <w:jc w:val="both"/>
        <w:rPr>
          <w:rFonts w:cs="Arial"/>
          <w:sz w:val="22"/>
          <w:lang w:val="en-CA" w:eastAsia="ko-KR"/>
        </w:rPr>
      </w:pPr>
    </w:p>
    <w:p w:rsidR="00A72F00" w:rsidRDefault="00A72F00" w:rsidP="00A72F00">
      <w:pPr>
        <w:pStyle w:val="Listenabsatz"/>
        <w:numPr>
          <w:ilvl w:val="0"/>
          <w:numId w:val="1"/>
        </w:numPr>
        <w:spacing w:after="0" w:line="240" w:lineRule="auto"/>
        <w:jc w:val="both"/>
        <w:rPr>
          <w:rFonts w:cs="Arial"/>
          <w:b/>
          <w:sz w:val="22"/>
          <w:lang w:val="en-CA"/>
        </w:rPr>
      </w:pPr>
      <w:r w:rsidRPr="00705087">
        <w:rPr>
          <w:rFonts w:cs="Arial" w:hint="eastAsia"/>
          <w:b/>
          <w:sz w:val="22"/>
          <w:lang w:val="en-CA" w:eastAsia="ko-KR"/>
        </w:rPr>
        <w:t>Closing remarks and next meeting schedule</w:t>
      </w:r>
    </w:p>
    <w:p w:rsidR="00E36ED9" w:rsidRDefault="00E36ED9" w:rsidP="00E36ED9">
      <w:pPr>
        <w:spacing w:after="0" w:line="240" w:lineRule="auto"/>
        <w:jc w:val="both"/>
        <w:rPr>
          <w:rFonts w:cs="Arial"/>
          <w:b/>
          <w:sz w:val="22"/>
          <w:lang w:val="en-CA"/>
        </w:rPr>
      </w:pPr>
    </w:p>
    <w:p w:rsidR="00E52F7D" w:rsidRDefault="00E52F7D" w:rsidP="00A72F00">
      <w:pPr>
        <w:spacing w:after="0" w:line="240" w:lineRule="auto"/>
        <w:jc w:val="both"/>
        <w:rPr>
          <w:rFonts w:cs="Arial"/>
          <w:sz w:val="22"/>
          <w:lang w:val="en-CA" w:eastAsia="ko-KR"/>
        </w:rPr>
      </w:pPr>
      <w:r>
        <w:rPr>
          <w:rFonts w:cs="Arial"/>
          <w:sz w:val="22"/>
          <w:lang w:val="en-CA" w:eastAsia="ko-KR"/>
        </w:rPr>
        <w:t>The Chairmen thanked the members for a really strong contribution and participation to the 6</w:t>
      </w:r>
      <w:r w:rsidRPr="00E52F7D">
        <w:rPr>
          <w:rFonts w:cs="Arial"/>
          <w:sz w:val="22"/>
          <w:vertAlign w:val="superscript"/>
          <w:lang w:val="en-CA" w:eastAsia="ko-KR"/>
        </w:rPr>
        <w:t>th</w:t>
      </w:r>
      <w:r>
        <w:rPr>
          <w:rFonts w:cs="Arial"/>
          <w:sz w:val="22"/>
          <w:lang w:val="en-CA" w:eastAsia="ko-KR"/>
        </w:rPr>
        <w:t xml:space="preserve"> meeting and results achieved. He hopes that the momentum of IWG PSG team will proceed into the mandate extension.</w:t>
      </w:r>
    </w:p>
    <w:p w:rsidR="00E52F7D" w:rsidRDefault="00E52F7D" w:rsidP="00A72F00">
      <w:pPr>
        <w:spacing w:after="0" w:line="240" w:lineRule="auto"/>
        <w:jc w:val="both"/>
        <w:rPr>
          <w:rFonts w:cs="Arial"/>
          <w:sz w:val="22"/>
          <w:lang w:val="en-CA" w:eastAsia="ko-KR"/>
        </w:rPr>
      </w:pPr>
    </w:p>
    <w:p w:rsidR="00250023" w:rsidRPr="00250023" w:rsidRDefault="00250023" w:rsidP="00A72F00">
      <w:pPr>
        <w:spacing w:after="0" w:line="240" w:lineRule="auto"/>
        <w:jc w:val="both"/>
        <w:rPr>
          <w:rFonts w:cs="Arial"/>
          <w:sz w:val="22"/>
          <w:lang w:val="en-CA" w:eastAsia="ko-KR"/>
        </w:rPr>
      </w:pPr>
      <w:r>
        <w:rPr>
          <w:rFonts w:cs="Arial"/>
          <w:sz w:val="22"/>
          <w:lang w:val="en-CA" w:eastAsia="ko-KR"/>
        </w:rPr>
        <w:t xml:space="preserve">Minutes of meeting </w:t>
      </w:r>
      <w:r w:rsidR="00D630E4">
        <w:rPr>
          <w:rFonts w:cs="Arial"/>
          <w:sz w:val="22"/>
          <w:lang w:val="en-CA" w:eastAsia="ko-KR"/>
        </w:rPr>
        <w:t>5</w:t>
      </w:r>
      <w:r w:rsidR="00D630E4" w:rsidRPr="00D630E4">
        <w:rPr>
          <w:rFonts w:cs="Arial"/>
          <w:sz w:val="22"/>
          <w:vertAlign w:val="superscript"/>
          <w:lang w:val="en-CA" w:eastAsia="ko-KR"/>
        </w:rPr>
        <w:t>th</w:t>
      </w:r>
      <w:r w:rsidR="00D630E4">
        <w:rPr>
          <w:rFonts w:cs="Arial"/>
          <w:sz w:val="22"/>
          <w:lang w:val="en-CA" w:eastAsia="ko-KR"/>
        </w:rPr>
        <w:t xml:space="preserve"> and preview</w:t>
      </w:r>
      <w:r w:rsidR="00395615">
        <w:rPr>
          <w:rFonts w:cs="Arial"/>
          <w:sz w:val="22"/>
          <w:lang w:val="en-CA" w:eastAsia="ko-KR"/>
        </w:rPr>
        <w:t xml:space="preserve"> </w:t>
      </w:r>
      <w:r>
        <w:rPr>
          <w:rFonts w:cs="Arial"/>
          <w:sz w:val="22"/>
          <w:lang w:val="en-CA" w:eastAsia="ko-KR"/>
        </w:rPr>
        <w:t>meeting IWG PSG and all presentations of</w:t>
      </w:r>
      <w:r w:rsidR="00D630E4">
        <w:rPr>
          <w:rFonts w:cs="Arial"/>
          <w:sz w:val="22"/>
          <w:lang w:val="en-CA" w:eastAsia="ko-KR"/>
        </w:rPr>
        <w:t xml:space="preserve"> 6</w:t>
      </w:r>
      <w:r w:rsidR="00395615" w:rsidRPr="00395615">
        <w:rPr>
          <w:rFonts w:cs="Arial"/>
          <w:sz w:val="22"/>
          <w:vertAlign w:val="superscript"/>
          <w:lang w:val="en-CA" w:eastAsia="ko-KR"/>
        </w:rPr>
        <w:t>th</w:t>
      </w:r>
      <w:r w:rsidR="00395615">
        <w:rPr>
          <w:rFonts w:cs="Arial"/>
          <w:sz w:val="22"/>
          <w:lang w:val="en-CA" w:eastAsia="ko-KR"/>
        </w:rPr>
        <w:t xml:space="preserve"> </w:t>
      </w:r>
      <w:r w:rsidR="00D630E4">
        <w:rPr>
          <w:rFonts w:cs="Arial"/>
          <w:sz w:val="22"/>
          <w:lang w:val="en-CA" w:eastAsia="ko-KR"/>
        </w:rPr>
        <w:t>meeting will be</w:t>
      </w:r>
      <w:r>
        <w:rPr>
          <w:rFonts w:cs="Arial"/>
          <w:sz w:val="22"/>
          <w:lang w:val="en-CA" w:eastAsia="ko-KR"/>
        </w:rPr>
        <w:t xml:space="preserve"> uploaded on the Share-point.</w:t>
      </w:r>
    </w:p>
    <w:p w:rsidR="001D1E74" w:rsidRPr="00D630E4" w:rsidRDefault="001D1E74" w:rsidP="00A72F00">
      <w:pPr>
        <w:rPr>
          <w:sz w:val="22"/>
          <w:lang w:val="en-CA" w:eastAsia="ko-KR"/>
        </w:rPr>
      </w:pPr>
    </w:p>
    <w:p w:rsidR="00193A6F" w:rsidRDefault="00D630E4" w:rsidP="00F12D7F">
      <w:pPr>
        <w:pBdr>
          <w:bottom w:val="single" w:sz="12" w:space="1" w:color="auto"/>
        </w:pBdr>
        <w:rPr>
          <w:sz w:val="22"/>
          <w:lang w:eastAsia="ko-KR"/>
        </w:rPr>
      </w:pPr>
      <w:r>
        <w:rPr>
          <w:sz w:val="22"/>
          <w:lang w:eastAsia="ko-KR"/>
        </w:rPr>
        <w:t>Next meeting: Possibly a WEBEX end of November /beginning December 2016 to review GTR 6 amendment and procedure to be released by members – invitation by Secretary mid of November 2016</w:t>
      </w:r>
    </w:p>
    <w:p w:rsidR="00D630E4" w:rsidRDefault="00D630E4" w:rsidP="00F12D7F">
      <w:pPr>
        <w:pBdr>
          <w:bottom w:val="single" w:sz="12" w:space="1" w:color="auto"/>
        </w:pBdr>
        <w:rPr>
          <w:sz w:val="22"/>
          <w:lang w:eastAsia="ko-KR"/>
        </w:rPr>
      </w:pPr>
    </w:p>
    <w:p w:rsidR="00705087" w:rsidRPr="002513CD" w:rsidRDefault="00705087" w:rsidP="002513CD">
      <w:pPr>
        <w:rPr>
          <w:sz w:val="22"/>
          <w:lang w:eastAsia="ko-KR"/>
        </w:rPr>
      </w:pPr>
    </w:p>
    <w:sectPr w:rsidR="00705087" w:rsidRPr="002513CD" w:rsidSect="00277EDD">
      <w:footerReference w:type="default" r:id="rId12"/>
      <w:pgSz w:w="11907" w:h="16839"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orea" w:date="2016-10-10T13:15:00Z" w:initials="Korea">
    <w:p w:rsidR="00D5780D" w:rsidRDefault="00D5780D" w:rsidP="00D5780D">
      <w:pPr>
        <w:pStyle w:val="Kommentartext"/>
        <w:rPr>
          <w:lang w:eastAsia="ko-KR"/>
        </w:rPr>
      </w:pPr>
      <w:bookmarkStart w:id="1" w:name="_GoBack"/>
      <w:r>
        <w:rPr>
          <w:rStyle w:val="Kommentarzeichen"/>
        </w:rPr>
        <w:annotationRef/>
      </w:r>
      <w:r>
        <w:rPr>
          <w:rFonts w:hint="eastAsia"/>
          <w:lang w:eastAsia="ko-KR"/>
        </w:rPr>
        <w:t>I couldn</w:t>
      </w:r>
      <w:r>
        <w:rPr>
          <w:lang w:eastAsia="ko-KR"/>
        </w:rPr>
        <w:t>’</w:t>
      </w:r>
      <w:r>
        <w:rPr>
          <w:rFonts w:hint="eastAsia"/>
          <w:lang w:eastAsia="ko-KR"/>
        </w:rPr>
        <w:t>t hear clearly at this point. But when I ask an expert from glazing manufacturer</w:t>
      </w:r>
      <w:r w:rsidRPr="00791F68">
        <w:rPr>
          <w:rFonts w:hint="eastAsia"/>
          <w:lang w:eastAsia="ko-KR"/>
        </w:rPr>
        <w:t xml:space="preserve"> </w:t>
      </w:r>
      <w:r>
        <w:rPr>
          <w:rFonts w:hint="eastAsia"/>
          <w:lang w:eastAsia="ko-KR"/>
        </w:rPr>
        <w:t>about this paragraph, this theory is correct.</w:t>
      </w:r>
      <w:bookmarkEnd w:id="1"/>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337" w:rsidRDefault="00E12337" w:rsidP="00CA4666">
      <w:pPr>
        <w:spacing w:after="0" w:line="240" w:lineRule="auto"/>
      </w:pPr>
      <w:r>
        <w:separator/>
      </w:r>
    </w:p>
  </w:endnote>
  <w:endnote w:type="continuationSeparator" w:id="0">
    <w:p w:rsidR="00E12337" w:rsidRDefault="00E12337" w:rsidP="00CA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394"/>
      <w:gridCol w:w="1849"/>
    </w:tblGrid>
    <w:sdt>
      <w:sdtPr>
        <w:rPr>
          <w:rFonts w:asciiTheme="majorHAnsi" w:eastAsiaTheme="majorEastAsia" w:hAnsiTheme="majorHAnsi" w:cstheme="majorBidi"/>
          <w:sz w:val="20"/>
          <w:szCs w:val="20"/>
        </w:rPr>
        <w:id w:val="1083956200"/>
        <w:docPartObj>
          <w:docPartGallery w:val="Page Numbers (Bottom of Page)"/>
          <w:docPartUnique/>
        </w:docPartObj>
      </w:sdtPr>
      <w:sdtEndPr>
        <w:rPr>
          <w:rFonts w:ascii="Arial" w:eastAsiaTheme="minorEastAsia" w:hAnsi="Arial" w:cstheme="minorBidi"/>
          <w:sz w:val="24"/>
          <w:szCs w:val="22"/>
        </w:rPr>
      </w:sdtEndPr>
      <w:sdtContent>
        <w:tr w:rsidR="002513CD">
          <w:trPr>
            <w:trHeight w:val="727"/>
          </w:trPr>
          <w:tc>
            <w:tcPr>
              <w:tcW w:w="4000" w:type="pct"/>
              <w:tcBorders>
                <w:right w:val="triple" w:sz="4" w:space="0" w:color="4F81BD" w:themeColor="accent1"/>
              </w:tcBorders>
            </w:tcPr>
            <w:p w:rsidR="002513CD" w:rsidRDefault="002513CD">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2513CD" w:rsidRDefault="00A10464">
              <w:pPr>
                <w:tabs>
                  <w:tab w:val="left" w:pos="1490"/>
                </w:tabs>
                <w:rPr>
                  <w:rFonts w:asciiTheme="majorHAnsi" w:eastAsiaTheme="majorEastAsia" w:hAnsiTheme="majorHAnsi" w:cstheme="majorBidi"/>
                  <w:sz w:val="28"/>
                  <w:szCs w:val="28"/>
                </w:rPr>
              </w:pPr>
              <w:r>
                <w:fldChar w:fldCharType="begin"/>
              </w:r>
              <w:r w:rsidR="002513CD">
                <w:instrText>PAGE    \* MERGEFORMAT</w:instrText>
              </w:r>
              <w:r>
                <w:fldChar w:fldCharType="separate"/>
              </w:r>
              <w:r w:rsidR="00B14FE8" w:rsidRPr="00B14FE8">
                <w:rPr>
                  <w:noProof/>
                  <w:lang w:val="de-DE"/>
                </w:rPr>
                <w:t>4</w:t>
              </w:r>
              <w:r>
                <w:fldChar w:fldCharType="end"/>
              </w:r>
              <w:r w:rsidR="002513CD">
                <w:t>/3</w:t>
              </w:r>
            </w:p>
          </w:tc>
        </w:tr>
      </w:sdtContent>
    </w:sdt>
  </w:tbl>
  <w:p w:rsidR="002513CD" w:rsidRDefault="002513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337" w:rsidRDefault="00E12337" w:rsidP="00CA4666">
      <w:pPr>
        <w:spacing w:after="0" w:line="240" w:lineRule="auto"/>
      </w:pPr>
      <w:r>
        <w:separator/>
      </w:r>
    </w:p>
  </w:footnote>
  <w:footnote w:type="continuationSeparator" w:id="0">
    <w:p w:rsidR="00E12337" w:rsidRDefault="00E12337" w:rsidP="00CA4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76A"/>
    <w:multiLevelType w:val="hybridMultilevel"/>
    <w:tmpl w:val="8968F5BA"/>
    <w:lvl w:ilvl="0" w:tplc="3AE0054C">
      <w:start w:val="3"/>
      <w:numFmt w:val="bullet"/>
      <w:lvlText w:val=""/>
      <w:lvlJc w:val="left"/>
      <w:pPr>
        <w:ind w:left="1080" w:hanging="360"/>
      </w:pPr>
      <w:rPr>
        <w:rFonts w:ascii="Wingdings" w:eastAsiaTheme="minorEastAsia"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5A5470E"/>
    <w:multiLevelType w:val="hybridMultilevel"/>
    <w:tmpl w:val="5D7A842A"/>
    <w:lvl w:ilvl="0" w:tplc="751AD888">
      <w:start w:val="3"/>
      <w:numFmt w:val="bullet"/>
      <w:lvlText w:val="-"/>
      <w:lvlJc w:val="left"/>
      <w:pPr>
        <w:ind w:left="720" w:hanging="360"/>
      </w:pPr>
      <w:rPr>
        <w:rFonts w:ascii="Arial" w:eastAsiaTheme="minorEastAsia" w:hAnsi="Arial" w:cs="Arial"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
    <w:nsid w:val="0D220C44"/>
    <w:multiLevelType w:val="hybridMultilevel"/>
    <w:tmpl w:val="4228522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4119E2"/>
    <w:multiLevelType w:val="multilevel"/>
    <w:tmpl w:val="D25EE7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16B8578A"/>
    <w:multiLevelType w:val="hybridMultilevel"/>
    <w:tmpl w:val="ED7681D4"/>
    <w:lvl w:ilvl="0" w:tplc="D2C8F462">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673525C"/>
    <w:multiLevelType w:val="hybridMultilevel"/>
    <w:tmpl w:val="CF848AF6"/>
    <w:lvl w:ilvl="0" w:tplc="44EA3A66">
      <w:start w:val="19"/>
      <w:numFmt w:val="bullet"/>
      <w:lvlText w:val="-"/>
      <w:lvlJc w:val="left"/>
      <w:pPr>
        <w:ind w:left="2520" w:hanging="360"/>
      </w:pPr>
      <w:rPr>
        <w:rFonts w:ascii="Arial" w:eastAsiaTheme="minorEastAsia" w:hAnsi="Arial" w:cs="Aria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6">
    <w:nsid w:val="31C059FD"/>
    <w:multiLevelType w:val="hybridMultilevel"/>
    <w:tmpl w:val="B3929AEA"/>
    <w:lvl w:ilvl="0" w:tplc="DB12DED2">
      <w:start w:val="4"/>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33CF387D"/>
    <w:multiLevelType w:val="multilevel"/>
    <w:tmpl w:val="80A6F5A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59846BA"/>
    <w:multiLevelType w:val="hybridMultilevel"/>
    <w:tmpl w:val="C2C80E40"/>
    <w:lvl w:ilvl="0" w:tplc="8D20A24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860065F"/>
    <w:multiLevelType w:val="hybridMultilevel"/>
    <w:tmpl w:val="3B1E36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3C8734D6"/>
    <w:multiLevelType w:val="multilevel"/>
    <w:tmpl w:val="5E7291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186659B"/>
    <w:multiLevelType w:val="hybridMultilevel"/>
    <w:tmpl w:val="5EA658F6"/>
    <w:lvl w:ilvl="0" w:tplc="A5C4D7E0">
      <w:start w:val="3"/>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C604115"/>
    <w:multiLevelType w:val="hybridMultilevel"/>
    <w:tmpl w:val="DA0EF9AE"/>
    <w:lvl w:ilvl="0" w:tplc="4678EBB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8EC6FEB"/>
    <w:multiLevelType w:val="hybridMultilevel"/>
    <w:tmpl w:val="17FEEF22"/>
    <w:lvl w:ilvl="0" w:tplc="2D8E2AB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nsid w:val="68F66AA0"/>
    <w:multiLevelType w:val="hybridMultilevel"/>
    <w:tmpl w:val="7D5CA868"/>
    <w:lvl w:ilvl="0" w:tplc="31EC98E8">
      <w:start w:val="19"/>
      <w:numFmt w:val="bullet"/>
      <w:lvlText w:val="-"/>
      <w:lvlJc w:val="left"/>
      <w:pPr>
        <w:ind w:left="2520" w:hanging="360"/>
      </w:pPr>
      <w:rPr>
        <w:rFonts w:ascii="Arial" w:eastAsiaTheme="minorEastAsia" w:hAnsi="Arial" w:cs="Aria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15">
    <w:nsid w:val="6A533DFF"/>
    <w:multiLevelType w:val="hybridMultilevel"/>
    <w:tmpl w:val="8286B9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13D09A6"/>
    <w:multiLevelType w:val="hybridMultilevel"/>
    <w:tmpl w:val="617428D8"/>
    <w:lvl w:ilvl="0" w:tplc="DE18D6D6">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73152FDF"/>
    <w:multiLevelType w:val="hybridMultilevel"/>
    <w:tmpl w:val="DA0EF9AE"/>
    <w:lvl w:ilvl="0" w:tplc="4678EBB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A0B5D87"/>
    <w:multiLevelType w:val="hybridMultilevel"/>
    <w:tmpl w:val="BECE9AD4"/>
    <w:lvl w:ilvl="0" w:tplc="10090001">
      <w:start w:val="1"/>
      <w:numFmt w:val="bullet"/>
      <w:lvlText w:val=""/>
      <w:lvlJc w:val="left"/>
      <w:pPr>
        <w:ind w:left="1520" w:hanging="400"/>
      </w:pPr>
      <w:rPr>
        <w:rFonts w:ascii="Symbol" w:hAnsi="Symbo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9">
    <w:nsid w:val="7A1370AD"/>
    <w:multiLevelType w:val="hybridMultilevel"/>
    <w:tmpl w:val="0F00F86E"/>
    <w:lvl w:ilvl="0" w:tplc="7E365194">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B97198B"/>
    <w:multiLevelType w:val="hybridMultilevel"/>
    <w:tmpl w:val="F3BABE5E"/>
    <w:lvl w:ilvl="0" w:tplc="2C26353E">
      <w:start w:val="3"/>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16"/>
  </w:num>
  <w:num w:numId="4">
    <w:abstractNumId w:val="18"/>
  </w:num>
  <w:num w:numId="5">
    <w:abstractNumId w:val="1"/>
  </w:num>
  <w:num w:numId="6">
    <w:abstractNumId w:val="20"/>
  </w:num>
  <w:num w:numId="7">
    <w:abstractNumId w:val="0"/>
  </w:num>
  <w:num w:numId="8">
    <w:abstractNumId w:val="13"/>
  </w:num>
  <w:num w:numId="9">
    <w:abstractNumId w:val="4"/>
  </w:num>
  <w:num w:numId="10">
    <w:abstractNumId w:val="11"/>
  </w:num>
  <w:num w:numId="11">
    <w:abstractNumId w:val="6"/>
  </w:num>
  <w:num w:numId="12">
    <w:abstractNumId w:val="5"/>
  </w:num>
  <w:num w:numId="13">
    <w:abstractNumId w:val="14"/>
  </w:num>
  <w:num w:numId="14">
    <w:abstractNumId w:val="2"/>
  </w:num>
  <w:num w:numId="15">
    <w:abstractNumId w:val="8"/>
  </w:num>
  <w:num w:numId="16">
    <w:abstractNumId w:val="15"/>
  </w:num>
  <w:num w:numId="17">
    <w:abstractNumId w:val="17"/>
  </w:num>
  <w:num w:numId="18">
    <w:abstractNumId w:val="10"/>
  </w:num>
  <w:num w:numId="19">
    <w:abstractNumId w:val="12"/>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EB"/>
    <w:rsid w:val="00013CAC"/>
    <w:rsid w:val="00016001"/>
    <w:rsid w:val="00036D08"/>
    <w:rsid w:val="00042508"/>
    <w:rsid w:val="0006576F"/>
    <w:rsid w:val="00085654"/>
    <w:rsid w:val="00086A44"/>
    <w:rsid w:val="000908EC"/>
    <w:rsid w:val="0009332F"/>
    <w:rsid w:val="000B1A91"/>
    <w:rsid w:val="000B3EA3"/>
    <w:rsid w:val="000B7377"/>
    <w:rsid w:val="000C08E7"/>
    <w:rsid w:val="000C6C99"/>
    <w:rsid w:val="000D0F2E"/>
    <w:rsid w:val="000E787E"/>
    <w:rsid w:val="000F7051"/>
    <w:rsid w:val="00103AE4"/>
    <w:rsid w:val="00103D51"/>
    <w:rsid w:val="0011202E"/>
    <w:rsid w:val="00112650"/>
    <w:rsid w:val="001316EB"/>
    <w:rsid w:val="001317D2"/>
    <w:rsid w:val="00140697"/>
    <w:rsid w:val="0014136C"/>
    <w:rsid w:val="001520A1"/>
    <w:rsid w:val="00155555"/>
    <w:rsid w:val="00161EA4"/>
    <w:rsid w:val="001647F2"/>
    <w:rsid w:val="00167477"/>
    <w:rsid w:val="00167761"/>
    <w:rsid w:val="00173873"/>
    <w:rsid w:val="00180980"/>
    <w:rsid w:val="0018149C"/>
    <w:rsid w:val="00193A6F"/>
    <w:rsid w:val="001A2CBD"/>
    <w:rsid w:val="001A4618"/>
    <w:rsid w:val="001C1A09"/>
    <w:rsid w:val="001C300B"/>
    <w:rsid w:val="001D172D"/>
    <w:rsid w:val="001D1E74"/>
    <w:rsid w:val="001E3E1A"/>
    <w:rsid w:val="001E48FF"/>
    <w:rsid w:val="002239FE"/>
    <w:rsid w:val="0023461E"/>
    <w:rsid w:val="002351EF"/>
    <w:rsid w:val="00247CE3"/>
    <w:rsid w:val="00250023"/>
    <w:rsid w:val="002513CD"/>
    <w:rsid w:val="00255260"/>
    <w:rsid w:val="002605F8"/>
    <w:rsid w:val="00262801"/>
    <w:rsid w:val="00277EDD"/>
    <w:rsid w:val="002A11B2"/>
    <w:rsid w:val="002B781E"/>
    <w:rsid w:val="002D0166"/>
    <w:rsid w:val="002E1E7C"/>
    <w:rsid w:val="002F4138"/>
    <w:rsid w:val="00310AA8"/>
    <w:rsid w:val="003123EF"/>
    <w:rsid w:val="003258E2"/>
    <w:rsid w:val="00342188"/>
    <w:rsid w:val="00344325"/>
    <w:rsid w:val="003452C4"/>
    <w:rsid w:val="003455A3"/>
    <w:rsid w:val="00351BC5"/>
    <w:rsid w:val="00362554"/>
    <w:rsid w:val="0037002C"/>
    <w:rsid w:val="003832C0"/>
    <w:rsid w:val="003912C7"/>
    <w:rsid w:val="0039209F"/>
    <w:rsid w:val="00395615"/>
    <w:rsid w:val="003B2FBE"/>
    <w:rsid w:val="003B7B01"/>
    <w:rsid w:val="003C6E2D"/>
    <w:rsid w:val="003D029F"/>
    <w:rsid w:val="003D11AE"/>
    <w:rsid w:val="003D2A94"/>
    <w:rsid w:val="003E0D79"/>
    <w:rsid w:val="003F2612"/>
    <w:rsid w:val="004051C6"/>
    <w:rsid w:val="00407A90"/>
    <w:rsid w:val="00426642"/>
    <w:rsid w:val="00427C87"/>
    <w:rsid w:val="00430FBE"/>
    <w:rsid w:val="00435D53"/>
    <w:rsid w:val="004478A6"/>
    <w:rsid w:val="004562EC"/>
    <w:rsid w:val="00464C11"/>
    <w:rsid w:val="00477895"/>
    <w:rsid w:val="00480FA4"/>
    <w:rsid w:val="00485987"/>
    <w:rsid w:val="00496567"/>
    <w:rsid w:val="004B52B9"/>
    <w:rsid w:val="004B7BD5"/>
    <w:rsid w:val="004C0D74"/>
    <w:rsid w:val="004C6538"/>
    <w:rsid w:val="004E35D8"/>
    <w:rsid w:val="004E62F9"/>
    <w:rsid w:val="00523129"/>
    <w:rsid w:val="00530735"/>
    <w:rsid w:val="00533154"/>
    <w:rsid w:val="00536184"/>
    <w:rsid w:val="0053788D"/>
    <w:rsid w:val="005434E7"/>
    <w:rsid w:val="00561E0C"/>
    <w:rsid w:val="005630EB"/>
    <w:rsid w:val="00576AE1"/>
    <w:rsid w:val="005A2531"/>
    <w:rsid w:val="005A4EB3"/>
    <w:rsid w:val="005D012B"/>
    <w:rsid w:val="005D0452"/>
    <w:rsid w:val="005E055B"/>
    <w:rsid w:val="005F07F2"/>
    <w:rsid w:val="005F236E"/>
    <w:rsid w:val="005F2389"/>
    <w:rsid w:val="005F6707"/>
    <w:rsid w:val="00606085"/>
    <w:rsid w:val="006242F4"/>
    <w:rsid w:val="00626DA7"/>
    <w:rsid w:val="00640B4C"/>
    <w:rsid w:val="006720B8"/>
    <w:rsid w:val="006733E9"/>
    <w:rsid w:val="00676E81"/>
    <w:rsid w:val="006A2FA8"/>
    <w:rsid w:val="006A42F6"/>
    <w:rsid w:val="006A6D58"/>
    <w:rsid w:val="006B1B19"/>
    <w:rsid w:val="006B55B1"/>
    <w:rsid w:val="006C1CA0"/>
    <w:rsid w:val="006D51F8"/>
    <w:rsid w:val="006E5D9B"/>
    <w:rsid w:val="006E71B7"/>
    <w:rsid w:val="006F68C0"/>
    <w:rsid w:val="006F7779"/>
    <w:rsid w:val="00700D23"/>
    <w:rsid w:val="00700E00"/>
    <w:rsid w:val="00705087"/>
    <w:rsid w:val="007068AD"/>
    <w:rsid w:val="0072185A"/>
    <w:rsid w:val="00770DA0"/>
    <w:rsid w:val="00772924"/>
    <w:rsid w:val="00783C69"/>
    <w:rsid w:val="007944E1"/>
    <w:rsid w:val="007B1C80"/>
    <w:rsid w:val="007B6DA1"/>
    <w:rsid w:val="007D7DE6"/>
    <w:rsid w:val="007E50C4"/>
    <w:rsid w:val="007F0D02"/>
    <w:rsid w:val="00844042"/>
    <w:rsid w:val="0085557D"/>
    <w:rsid w:val="008604F6"/>
    <w:rsid w:val="00873645"/>
    <w:rsid w:val="008831D0"/>
    <w:rsid w:val="00887318"/>
    <w:rsid w:val="00891D02"/>
    <w:rsid w:val="00892260"/>
    <w:rsid w:val="0089615E"/>
    <w:rsid w:val="008A6576"/>
    <w:rsid w:val="008B0F68"/>
    <w:rsid w:val="008C0269"/>
    <w:rsid w:val="008C3099"/>
    <w:rsid w:val="008C5916"/>
    <w:rsid w:val="008D3D7A"/>
    <w:rsid w:val="008E7F78"/>
    <w:rsid w:val="00900660"/>
    <w:rsid w:val="00904239"/>
    <w:rsid w:val="0090441D"/>
    <w:rsid w:val="00906D6E"/>
    <w:rsid w:val="009128FD"/>
    <w:rsid w:val="009129E6"/>
    <w:rsid w:val="00927A83"/>
    <w:rsid w:val="00944BBE"/>
    <w:rsid w:val="00952944"/>
    <w:rsid w:val="00954EAE"/>
    <w:rsid w:val="00957611"/>
    <w:rsid w:val="0097313A"/>
    <w:rsid w:val="009754D2"/>
    <w:rsid w:val="00986238"/>
    <w:rsid w:val="00990155"/>
    <w:rsid w:val="009A5985"/>
    <w:rsid w:val="009D287B"/>
    <w:rsid w:val="009D49C3"/>
    <w:rsid w:val="009D7425"/>
    <w:rsid w:val="009E0BEB"/>
    <w:rsid w:val="009F7CD1"/>
    <w:rsid w:val="00A03B39"/>
    <w:rsid w:val="00A04539"/>
    <w:rsid w:val="00A10464"/>
    <w:rsid w:val="00A10B0A"/>
    <w:rsid w:val="00A11038"/>
    <w:rsid w:val="00A16AF9"/>
    <w:rsid w:val="00A301CE"/>
    <w:rsid w:val="00A31FF1"/>
    <w:rsid w:val="00A36102"/>
    <w:rsid w:val="00A45A52"/>
    <w:rsid w:val="00A467A5"/>
    <w:rsid w:val="00A533BD"/>
    <w:rsid w:val="00A61552"/>
    <w:rsid w:val="00A636FF"/>
    <w:rsid w:val="00A67A0C"/>
    <w:rsid w:val="00A72F00"/>
    <w:rsid w:val="00A736B0"/>
    <w:rsid w:val="00A77C9B"/>
    <w:rsid w:val="00A8505D"/>
    <w:rsid w:val="00A90961"/>
    <w:rsid w:val="00A976E6"/>
    <w:rsid w:val="00AB1C0E"/>
    <w:rsid w:val="00AF4A55"/>
    <w:rsid w:val="00AF53E0"/>
    <w:rsid w:val="00B14FE8"/>
    <w:rsid w:val="00B15327"/>
    <w:rsid w:val="00B23CD9"/>
    <w:rsid w:val="00B27999"/>
    <w:rsid w:val="00B3600A"/>
    <w:rsid w:val="00B3667E"/>
    <w:rsid w:val="00B50B9C"/>
    <w:rsid w:val="00B56DD4"/>
    <w:rsid w:val="00B84BD9"/>
    <w:rsid w:val="00B95DA9"/>
    <w:rsid w:val="00B972F0"/>
    <w:rsid w:val="00B97D4F"/>
    <w:rsid w:val="00BA5332"/>
    <w:rsid w:val="00BA6A16"/>
    <w:rsid w:val="00BD53CE"/>
    <w:rsid w:val="00BE483B"/>
    <w:rsid w:val="00BF0CCE"/>
    <w:rsid w:val="00BF2503"/>
    <w:rsid w:val="00BF3CF9"/>
    <w:rsid w:val="00C14E06"/>
    <w:rsid w:val="00C40A04"/>
    <w:rsid w:val="00C61896"/>
    <w:rsid w:val="00C76E5F"/>
    <w:rsid w:val="00C8062D"/>
    <w:rsid w:val="00CA4666"/>
    <w:rsid w:val="00CA55EE"/>
    <w:rsid w:val="00CB6826"/>
    <w:rsid w:val="00CB7D2C"/>
    <w:rsid w:val="00D00EA9"/>
    <w:rsid w:val="00D0489F"/>
    <w:rsid w:val="00D05A0D"/>
    <w:rsid w:val="00D113A2"/>
    <w:rsid w:val="00D22F18"/>
    <w:rsid w:val="00D378D6"/>
    <w:rsid w:val="00D5780D"/>
    <w:rsid w:val="00D61DBC"/>
    <w:rsid w:val="00D630E4"/>
    <w:rsid w:val="00D73D09"/>
    <w:rsid w:val="00D86014"/>
    <w:rsid w:val="00D86603"/>
    <w:rsid w:val="00D97BDD"/>
    <w:rsid w:val="00DA0029"/>
    <w:rsid w:val="00DA4C1A"/>
    <w:rsid w:val="00DC2ED5"/>
    <w:rsid w:val="00E03FE3"/>
    <w:rsid w:val="00E12337"/>
    <w:rsid w:val="00E1398A"/>
    <w:rsid w:val="00E173BD"/>
    <w:rsid w:val="00E2284E"/>
    <w:rsid w:val="00E30615"/>
    <w:rsid w:val="00E35726"/>
    <w:rsid w:val="00E36ED9"/>
    <w:rsid w:val="00E4023C"/>
    <w:rsid w:val="00E51BBE"/>
    <w:rsid w:val="00E52F7D"/>
    <w:rsid w:val="00E6670D"/>
    <w:rsid w:val="00E83AB4"/>
    <w:rsid w:val="00E9606D"/>
    <w:rsid w:val="00EA41D9"/>
    <w:rsid w:val="00EB7968"/>
    <w:rsid w:val="00EC39B6"/>
    <w:rsid w:val="00EC4ACF"/>
    <w:rsid w:val="00EF5333"/>
    <w:rsid w:val="00F02627"/>
    <w:rsid w:val="00F04BD1"/>
    <w:rsid w:val="00F12D7F"/>
    <w:rsid w:val="00F303F2"/>
    <w:rsid w:val="00F362A5"/>
    <w:rsid w:val="00F37096"/>
    <w:rsid w:val="00F562BE"/>
    <w:rsid w:val="00F570C7"/>
    <w:rsid w:val="00F8796F"/>
    <w:rsid w:val="00F91CEB"/>
    <w:rsid w:val="00FA7511"/>
    <w:rsid w:val="00FB13FD"/>
    <w:rsid w:val="00FB2601"/>
    <w:rsid w:val="00FB46D3"/>
    <w:rsid w:val="00FB6295"/>
    <w:rsid w:val="00FC67DB"/>
    <w:rsid w:val="00FE24DF"/>
    <w:rsid w:val="00FE60BE"/>
    <w:rsid w:val="00FE6C1B"/>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08EC"/>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16EB"/>
    <w:pPr>
      <w:ind w:left="720"/>
      <w:contextualSpacing/>
    </w:pPr>
  </w:style>
  <w:style w:type="paragraph" w:styleId="Kopfzeile">
    <w:name w:val="header"/>
    <w:basedOn w:val="Standard"/>
    <w:link w:val="KopfzeileZchn"/>
    <w:uiPriority w:val="99"/>
    <w:unhideWhenUsed/>
    <w:rsid w:val="00CA4666"/>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CA4666"/>
    <w:rPr>
      <w:rFonts w:ascii="Arial" w:hAnsi="Arial"/>
      <w:sz w:val="24"/>
    </w:rPr>
  </w:style>
  <w:style w:type="paragraph" w:styleId="Fuzeile">
    <w:name w:val="footer"/>
    <w:basedOn w:val="Standard"/>
    <w:link w:val="FuzeileZchn"/>
    <w:uiPriority w:val="99"/>
    <w:unhideWhenUsed/>
    <w:rsid w:val="00CA4666"/>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CA4666"/>
    <w:rPr>
      <w:rFonts w:ascii="Arial" w:hAnsi="Arial"/>
      <w:sz w:val="24"/>
    </w:rPr>
  </w:style>
  <w:style w:type="paragraph" w:styleId="Dokumentstruktur">
    <w:name w:val="Document Map"/>
    <w:basedOn w:val="Standard"/>
    <w:link w:val="DokumentstrukturZchn"/>
    <w:uiPriority w:val="99"/>
    <w:semiHidden/>
    <w:unhideWhenUsed/>
    <w:rsid w:val="00BE483B"/>
    <w:rPr>
      <w:rFonts w:ascii="Gulim" w:eastAsia="Gulim"/>
      <w:sz w:val="18"/>
      <w:szCs w:val="18"/>
    </w:rPr>
  </w:style>
  <w:style w:type="character" w:customStyle="1" w:styleId="DokumentstrukturZchn">
    <w:name w:val="Dokumentstruktur Zchn"/>
    <w:basedOn w:val="Absatz-Standardschriftart"/>
    <w:link w:val="Dokumentstruktur"/>
    <w:uiPriority w:val="99"/>
    <w:semiHidden/>
    <w:rsid w:val="00BE483B"/>
    <w:rPr>
      <w:rFonts w:ascii="Gulim" w:eastAsia="Gulim" w:hAnsi="Arial"/>
      <w:sz w:val="18"/>
      <w:szCs w:val="18"/>
    </w:rPr>
  </w:style>
  <w:style w:type="paragraph" w:styleId="Sprechblasentext">
    <w:name w:val="Balloon Text"/>
    <w:basedOn w:val="Standard"/>
    <w:link w:val="SprechblasentextZchn"/>
    <w:uiPriority w:val="99"/>
    <w:semiHidden/>
    <w:unhideWhenUsed/>
    <w:rsid w:val="003D029F"/>
    <w:pPr>
      <w:spacing w:after="0" w:line="240" w:lineRule="auto"/>
    </w:pPr>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3D029F"/>
    <w:rPr>
      <w:rFonts w:asciiTheme="majorHAnsi" w:eastAsiaTheme="majorEastAsia" w:hAnsiTheme="majorHAnsi" w:cstheme="majorBidi"/>
      <w:sz w:val="18"/>
      <w:szCs w:val="18"/>
    </w:rPr>
  </w:style>
  <w:style w:type="character" w:customStyle="1" w:styleId="SingleTxtGChar">
    <w:name w:val="_ Single Txt_G Char"/>
    <w:link w:val="SingleTxtG"/>
    <w:rsid w:val="00FB46D3"/>
    <w:rPr>
      <w:lang w:val="en-GB"/>
    </w:rPr>
  </w:style>
  <w:style w:type="paragraph" w:customStyle="1" w:styleId="SingleTxtG">
    <w:name w:val="_ Single Txt_G"/>
    <w:basedOn w:val="Standard"/>
    <w:link w:val="SingleTxtGChar"/>
    <w:rsid w:val="00FB46D3"/>
    <w:pPr>
      <w:suppressAutoHyphens/>
      <w:spacing w:after="120" w:line="240" w:lineRule="atLeast"/>
      <w:ind w:left="1134" w:right="1134"/>
      <w:jc w:val="both"/>
    </w:pPr>
    <w:rPr>
      <w:rFonts w:asciiTheme="minorHAnsi" w:hAnsiTheme="minorHAnsi"/>
      <w:sz w:val="22"/>
      <w:lang w:val="en-GB"/>
    </w:rPr>
  </w:style>
  <w:style w:type="character" w:styleId="Kommentarzeichen">
    <w:name w:val="annotation reference"/>
    <w:basedOn w:val="Absatz-Standardschriftart"/>
    <w:uiPriority w:val="99"/>
    <w:semiHidden/>
    <w:unhideWhenUsed/>
    <w:rsid w:val="00D5780D"/>
    <w:rPr>
      <w:sz w:val="18"/>
      <w:szCs w:val="18"/>
    </w:rPr>
  </w:style>
  <w:style w:type="paragraph" w:styleId="Kommentartext">
    <w:name w:val="annotation text"/>
    <w:basedOn w:val="Standard"/>
    <w:link w:val="KommentartextZchn"/>
    <w:uiPriority w:val="99"/>
    <w:semiHidden/>
    <w:unhideWhenUsed/>
    <w:rsid w:val="00D5780D"/>
  </w:style>
  <w:style w:type="character" w:customStyle="1" w:styleId="KommentartextZchn">
    <w:name w:val="Kommentartext Zchn"/>
    <w:basedOn w:val="Absatz-Standardschriftart"/>
    <w:link w:val="Kommentartext"/>
    <w:uiPriority w:val="99"/>
    <w:semiHidden/>
    <w:rsid w:val="00D5780D"/>
    <w:rPr>
      <w:rFonts w:ascii="Arial" w:hAnsi="Arial"/>
      <w:sz w:val="24"/>
    </w:rPr>
  </w:style>
  <w:style w:type="paragraph" w:customStyle="1" w:styleId="HChG">
    <w:name w:val="_ H _Ch_G"/>
    <w:basedOn w:val="Standard"/>
    <w:next w:val="Standard"/>
    <w:link w:val="HChGChar"/>
    <w:rsid w:val="0090441D"/>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90441D"/>
    <w:rPr>
      <w:rFonts w:ascii="Times New Roman" w:eastAsia="Times New Roman" w:hAnsi="Times New Roman" w:cs="Times New Roman"/>
      <w:b/>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08EC"/>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16EB"/>
    <w:pPr>
      <w:ind w:left="720"/>
      <w:contextualSpacing/>
    </w:pPr>
  </w:style>
  <w:style w:type="paragraph" w:styleId="Kopfzeile">
    <w:name w:val="header"/>
    <w:basedOn w:val="Standard"/>
    <w:link w:val="KopfzeileZchn"/>
    <w:uiPriority w:val="99"/>
    <w:unhideWhenUsed/>
    <w:rsid w:val="00CA4666"/>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CA4666"/>
    <w:rPr>
      <w:rFonts w:ascii="Arial" w:hAnsi="Arial"/>
      <w:sz w:val="24"/>
    </w:rPr>
  </w:style>
  <w:style w:type="paragraph" w:styleId="Fuzeile">
    <w:name w:val="footer"/>
    <w:basedOn w:val="Standard"/>
    <w:link w:val="FuzeileZchn"/>
    <w:uiPriority w:val="99"/>
    <w:unhideWhenUsed/>
    <w:rsid w:val="00CA4666"/>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CA4666"/>
    <w:rPr>
      <w:rFonts w:ascii="Arial" w:hAnsi="Arial"/>
      <w:sz w:val="24"/>
    </w:rPr>
  </w:style>
  <w:style w:type="paragraph" w:styleId="Dokumentstruktur">
    <w:name w:val="Document Map"/>
    <w:basedOn w:val="Standard"/>
    <w:link w:val="DokumentstrukturZchn"/>
    <w:uiPriority w:val="99"/>
    <w:semiHidden/>
    <w:unhideWhenUsed/>
    <w:rsid w:val="00BE483B"/>
    <w:rPr>
      <w:rFonts w:ascii="Gulim" w:eastAsia="Gulim"/>
      <w:sz w:val="18"/>
      <w:szCs w:val="18"/>
    </w:rPr>
  </w:style>
  <w:style w:type="character" w:customStyle="1" w:styleId="DokumentstrukturZchn">
    <w:name w:val="Dokumentstruktur Zchn"/>
    <w:basedOn w:val="Absatz-Standardschriftart"/>
    <w:link w:val="Dokumentstruktur"/>
    <w:uiPriority w:val="99"/>
    <w:semiHidden/>
    <w:rsid w:val="00BE483B"/>
    <w:rPr>
      <w:rFonts w:ascii="Gulim" w:eastAsia="Gulim" w:hAnsi="Arial"/>
      <w:sz w:val="18"/>
      <w:szCs w:val="18"/>
    </w:rPr>
  </w:style>
  <w:style w:type="paragraph" w:styleId="Sprechblasentext">
    <w:name w:val="Balloon Text"/>
    <w:basedOn w:val="Standard"/>
    <w:link w:val="SprechblasentextZchn"/>
    <w:uiPriority w:val="99"/>
    <w:semiHidden/>
    <w:unhideWhenUsed/>
    <w:rsid w:val="003D029F"/>
    <w:pPr>
      <w:spacing w:after="0" w:line="240" w:lineRule="auto"/>
    </w:pPr>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3D029F"/>
    <w:rPr>
      <w:rFonts w:asciiTheme="majorHAnsi" w:eastAsiaTheme="majorEastAsia" w:hAnsiTheme="majorHAnsi" w:cstheme="majorBidi"/>
      <w:sz w:val="18"/>
      <w:szCs w:val="18"/>
    </w:rPr>
  </w:style>
  <w:style w:type="character" w:customStyle="1" w:styleId="SingleTxtGChar">
    <w:name w:val="_ Single Txt_G Char"/>
    <w:link w:val="SingleTxtG"/>
    <w:rsid w:val="00FB46D3"/>
    <w:rPr>
      <w:lang w:val="en-GB"/>
    </w:rPr>
  </w:style>
  <w:style w:type="paragraph" w:customStyle="1" w:styleId="SingleTxtG">
    <w:name w:val="_ Single Txt_G"/>
    <w:basedOn w:val="Standard"/>
    <w:link w:val="SingleTxtGChar"/>
    <w:rsid w:val="00FB46D3"/>
    <w:pPr>
      <w:suppressAutoHyphens/>
      <w:spacing w:after="120" w:line="240" w:lineRule="atLeast"/>
      <w:ind w:left="1134" w:right="1134"/>
      <w:jc w:val="both"/>
    </w:pPr>
    <w:rPr>
      <w:rFonts w:asciiTheme="minorHAnsi" w:hAnsiTheme="minorHAnsi"/>
      <w:sz w:val="22"/>
      <w:lang w:val="en-GB"/>
    </w:rPr>
  </w:style>
  <w:style w:type="character" w:styleId="Kommentarzeichen">
    <w:name w:val="annotation reference"/>
    <w:basedOn w:val="Absatz-Standardschriftart"/>
    <w:uiPriority w:val="99"/>
    <w:semiHidden/>
    <w:unhideWhenUsed/>
    <w:rsid w:val="00D5780D"/>
    <w:rPr>
      <w:sz w:val="18"/>
      <w:szCs w:val="18"/>
    </w:rPr>
  </w:style>
  <w:style w:type="paragraph" w:styleId="Kommentartext">
    <w:name w:val="annotation text"/>
    <w:basedOn w:val="Standard"/>
    <w:link w:val="KommentartextZchn"/>
    <w:uiPriority w:val="99"/>
    <w:semiHidden/>
    <w:unhideWhenUsed/>
    <w:rsid w:val="00D5780D"/>
  </w:style>
  <w:style w:type="character" w:customStyle="1" w:styleId="KommentartextZchn">
    <w:name w:val="Kommentartext Zchn"/>
    <w:basedOn w:val="Absatz-Standardschriftart"/>
    <w:link w:val="Kommentartext"/>
    <w:uiPriority w:val="99"/>
    <w:semiHidden/>
    <w:rsid w:val="00D5780D"/>
    <w:rPr>
      <w:rFonts w:ascii="Arial" w:hAnsi="Arial"/>
      <w:sz w:val="24"/>
    </w:rPr>
  </w:style>
  <w:style w:type="paragraph" w:customStyle="1" w:styleId="HChG">
    <w:name w:val="_ H _Ch_G"/>
    <w:basedOn w:val="Standard"/>
    <w:next w:val="Standard"/>
    <w:link w:val="HChGChar"/>
    <w:rsid w:val="0090441D"/>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90441D"/>
    <w:rPr>
      <w:rFonts w:ascii="Times New Roman" w:eastAsia="Times New Roman" w:hAnsi="Times New Roman"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343737">
      <w:bodyDiv w:val="1"/>
      <w:marLeft w:val="0"/>
      <w:marRight w:val="0"/>
      <w:marTop w:val="0"/>
      <w:marBottom w:val="0"/>
      <w:divBdr>
        <w:top w:val="none" w:sz="0" w:space="0" w:color="auto"/>
        <w:left w:val="none" w:sz="0" w:space="0" w:color="auto"/>
        <w:bottom w:val="none" w:sz="0" w:space="0" w:color="auto"/>
        <w:right w:val="none" w:sz="0" w:space="0" w:color="auto"/>
      </w:divBdr>
      <w:divsChild>
        <w:div w:id="1323311992">
          <w:marLeft w:val="0"/>
          <w:marRight w:val="0"/>
          <w:marTop w:val="0"/>
          <w:marBottom w:val="0"/>
          <w:divBdr>
            <w:top w:val="none" w:sz="0" w:space="0" w:color="auto"/>
            <w:left w:val="none" w:sz="0" w:space="0" w:color="auto"/>
            <w:bottom w:val="none" w:sz="0" w:space="0" w:color="auto"/>
            <w:right w:val="none" w:sz="0" w:space="0" w:color="auto"/>
          </w:divBdr>
          <w:divsChild>
            <w:div w:id="2030451791">
              <w:marLeft w:val="0"/>
              <w:marRight w:val="0"/>
              <w:marTop w:val="0"/>
              <w:marBottom w:val="0"/>
              <w:divBdr>
                <w:top w:val="none" w:sz="0" w:space="0" w:color="auto"/>
                <w:left w:val="none" w:sz="0" w:space="0" w:color="auto"/>
                <w:bottom w:val="none" w:sz="0" w:space="0" w:color="auto"/>
                <w:right w:val="none" w:sz="0" w:space="0" w:color="auto"/>
              </w:divBdr>
              <w:divsChild>
                <w:div w:id="1958753320">
                  <w:marLeft w:val="0"/>
                  <w:marRight w:val="0"/>
                  <w:marTop w:val="0"/>
                  <w:marBottom w:val="0"/>
                  <w:divBdr>
                    <w:top w:val="none" w:sz="0" w:space="0" w:color="auto"/>
                    <w:left w:val="none" w:sz="0" w:space="0" w:color="auto"/>
                    <w:bottom w:val="none" w:sz="0" w:space="0" w:color="auto"/>
                    <w:right w:val="none" w:sz="0" w:space="0" w:color="auto"/>
                  </w:divBdr>
                  <w:divsChild>
                    <w:div w:id="1126775041">
                      <w:marLeft w:val="0"/>
                      <w:marRight w:val="0"/>
                      <w:marTop w:val="0"/>
                      <w:marBottom w:val="0"/>
                      <w:divBdr>
                        <w:top w:val="single" w:sz="6" w:space="0" w:color="CCCCCC"/>
                        <w:left w:val="single" w:sz="2" w:space="0" w:color="CCCCCC"/>
                        <w:bottom w:val="single" w:sz="6" w:space="0" w:color="CCCCCC"/>
                        <w:right w:val="single" w:sz="2" w:space="0" w:color="CCCCCC"/>
                      </w:divBdr>
                      <w:divsChild>
                        <w:div w:id="1447433699">
                          <w:marLeft w:val="0"/>
                          <w:marRight w:val="0"/>
                          <w:marTop w:val="0"/>
                          <w:marBottom w:val="300"/>
                          <w:divBdr>
                            <w:top w:val="none" w:sz="0" w:space="0" w:color="auto"/>
                            <w:left w:val="none" w:sz="0" w:space="0" w:color="auto"/>
                            <w:bottom w:val="none" w:sz="0" w:space="0" w:color="auto"/>
                            <w:right w:val="none" w:sz="0" w:space="0" w:color="auto"/>
                          </w:divBdr>
                          <w:divsChild>
                            <w:div w:id="729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347CB-F6DE-44FE-B881-2E169F84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5511</Characters>
  <Application>Microsoft Office Word</Application>
  <DocSecurity>4</DocSecurity>
  <Lines>45</Lines>
  <Paragraphs>12</Paragraphs>
  <ScaleCrop>false</ScaleCrop>
  <HeadingPairs>
    <vt:vector size="6" baseType="variant">
      <vt:variant>
        <vt:lpstr>Titel</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KATRI, KOREA</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Retr Bianca</cp:lastModifiedBy>
  <cp:revision>2</cp:revision>
  <cp:lastPrinted>2015-10-02T14:07:00Z</cp:lastPrinted>
  <dcterms:created xsi:type="dcterms:W3CDTF">2017-04-25T07:32:00Z</dcterms:created>
  <dcterms:modified xsi:type="dcterms:W3CDTF">2017-04-25T07:32:00Z</dcterms:modified>
</cp:coreProperties>
</file>