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06686B" w14:textId="77777777" w:rsidR="00D30274" w:rsidRPr="00486386" w:rsidRDefault="00D30274" w:rsidP="00D30274">
      <w:pPr>
        <w:pStyle w:val="HChG"/>
        <w:rPr>
          <w:b w:val="0"/>
          <w:bCs/>
          <w:color w:val="0070C0"/>
          <w:sz w:val="20"/>
        </w:rPr>
      </w:pPr>
      <w:r w:rsidRPr="00486386">
        <w:rPr>
          <w:color w:val="0070C0"/>
        </w:rPr>
        <w:t xml:space="preserve">Annex 3 – </w:t>
      </w:r>
      <w:r w:rsidRPr="00486386">
        <w:rPr>
          <w:rStyle w:val="normaltextrun"/>
          <w:bCs/>
          <w:color w:val="0070C0"/>
          <w:szCs w:val="28"/>
        </w:rPr>
        <w:t>Appendix 2 – Thermal Runaway Initiation Method with an Internal Heater (Method 1)</w:t>
      </w:r>
    </w:p>
    <w:p w14:paraId="71E0AF21" w14:textId="4D4C47D3" w:rsidR="00D30274" w:rsidRPr="00486386" w:rsidRDefault="00D30274" w:rsidP="00D30274">
      <w:pPr>
        <w:spacing w:line="240" w:lineRule="auto"/>
        <w:ind w:left="1275" w:right="1125"/>
        <w:jc w:val="both"/>
        <w:textAlignment w:val="baseline"/>
        <w:rPr>
          <w:rFonts w:eastAsia="Times New Roman"/>
          <w:strike/>
          <w:color w:val="0070C0"/>
          <w:lang w:val="en-CA" w:eastAsia="en-CA"/>
        </w:rPr>
      </w:pPr>
      <w:r w:rsidRPr="00486386">
        <w:rPr>
          <w:rFonts w:eastAsia="Times New Roman"/>
          <w:color w:val="0070C0"/>
          <w:lang w:eastAsia="en-CA"/>
        </w:rPr>
        <w:t xml:space="preserve">This test method is </w:t>
      </w:r>
      <w:proofErr w:type="gramStart"/>
      <w:r w:rsidRPr="00486386">
        <w:rPr>
          <w:rFonts w:eastAsia="Times New Roman"/>
          <w:color w:val="0070C0"/>
          <w:lang w:eastAsia="en-CA"/>
        </w:rPr>
        <w:t>similar to</w:t>
      </w:r>
      <w:proofErr w:type="gramEnd"/>
      <w:r w:rsidRPr="00486386">
        <w:rPr>
          <w:rFonts w:eastAsia="Times New Roman"/>
          <w:color w:val="0070C0"/>
          <w:lang w:eastAsia="en-CA"/>
        </w:rPr>
        <w:t xml:space="preserve"> the localised fast external heating method except it relies on an internal, localized short circuit inside the cell created by a heater.</w:t>
      </w:r>
      <w:r w:rsidR="00EE755F" w:rsidRPr="00EE755F">
        <w:rPr>
          <w:b/>
          <w:bCs/>
        </w:rPr>
        <w:t xml:space="preserve"> </w:t>
      </w:r>
      <w:commentRangeStart w:id="0"/>
      <w:r w:rsidR="00EE755F" w:rsidRPr="00C8385B">
        <w:rPr>
          <w:b/>
          <w:bCs/>
        </w:rPr>
        <w:t>The concept of this trigger method is to create an internal short circuit by creating a hole in the separator of the initiation cell. The hole comes from the local melting of the separator induced by the local heater.</w:t>
      </w:r>
      <w:commentRangeEnd w:id="0"/>
      <w:r w:rsidR="00EE755F">
        <w:rPr>
          <w:rStyle w:val="CommentReference"/>
        </w:rPr>
        <w:commentReference w:id="0"/>
      </w:r>
    </w:p>
    <w:p w14:paraId="53AB7228" w14:textId="77777777" w:rsidR="00D30274"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The initiation method applies a high-power heat pulse, locally, to the jellyroll surface of one initiation cell within the REESS via an internal heater with minimal increase in temperature of the adjacent battery cell(s) prior to thermal runaway in the initiation cell. The temperature of adjacent cell(s), prior to thermal runaway in the initiation cell, shall remain below the maximum operating temperature.</w:t>
      </w:r>
      <w:r w:rsidRPr="00486386">
        <w:rPr>
          <w:rFonts w:eastAsia="Times New Roman"/>
          <w:color w:val="0070C0"/>
          <w:lang w:val="en-CA" w:eastAsia="en-CA"/>
        </w:rPr>
        <w:t> </w:t>
      </w:r>
    </w:p>
    <w:p w14:paraId="73475B65"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eastAsia="en-CA"/>
        </w:rPr>
        <w:t xml:space="preserve">1. </w:t>
      </w:r>
      <w:r w:rsidRPr="00486386">
        <w:rPr>
          <w:color w:val="0070C0"/>
        </w:rPr>
        <w:tab/>
      </w:r>
      <w:r w:rsidRPr="00486386">
        <w:rPr>
          <w:rFonts w:eastAsia="Times New Roman"/>
          <w:color w:val="0070C0"/>
          <w:lang w:eastAsia="en-CA"/>
        </w:rPr>
        <w:t>Description of the Initiation Method </w:t>
      </w:r>
      <w:r w:rsidRPr="00486386">
        <w:rPr>
          <w:rFonts w:eastAsia="Times New Roman"/>
          <w:color w:val="0070C0"/>
          <w:lang w:val="en-CA" w:eastAsia="en-CA"/>
        </w:rPr>
        <w:t> </w:t>
      </w:r>
    </w:p>
    <w:p w14:paraId="138A1CFE"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The heating device shall be a resistive heating element, or other suitable heating device/technology capable of delivering the target parameters. Target parameters for the heating element are listed in Table 1.</w:t>
      </w:r>
      <w:r w:rsidRPr="00486386">
        <w:rPr>
          <w:rFonts w:eastAsia="Times New Roman"/>
          <w:color w:val="0070C0"/>
          <w:lang w:val="en-CA" w:eastAsia="en-CA"/>
        </w:rPr>
        <w:t> </w:t>
      </w:r>
    </w:p>
    <w:p w14:paraId="3486F3F2"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The resistance, power and duration shall be adjusted according to the electrochemistry and the size of the cell.</w:t>
      </w:r>
      <w:r w:rsidRPr="00486386">
        <w:rPr>
          <w:rFonts w:eastAsia="Times New Roman"/>
          <w:color w:val="0070C0"/>
          <w:lang w:val="en-CA" w:eastAsia="en-CA"/>
        </w:rPr>
        <w:t> </w:t>
      </w:r>
    </w:p>
    <w:p w14:paraId="3849632E"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p>
    <w:p w14:paraId="726EB480" w14:textId="77777777" w:rsidR="00D30274" w:rsidRPr="00486386" w:rsidRDefault="00D30274" w:rsidP="00D30274">
      <w:pPr>
        <w:spacing w:line="240" w:lineRule="auto"/>
        <w:ind w:left="1125" w:right="1125"/>
        <w:textAlignment w:val="baseline"/>
        <w:rPr>
          <w:rFonts w:eastAsia="Times New Roman"/>
          <w:color w:val="0070C0"/>
          <w:lang w:val="en-CA" w:eastAsia="en-CA"/>
        </w:rPr>
      </w:pPr>
      <w:r w:rsidRPr="00486386">
        <w:rPr>
          <w:rFonts w:eastAsia="Times New Roman"/>
          <w:color w:val="0070C0"/>
          <w:lang w:eastAsia="en-CA"/>
        </w:rPr>
        <w:t>Figure 1</w:t>
      </w:r>
      <w:r w:rsidRPr="00486386">
        <w:rPr>
          <w:rFonts w:eastAsia="Times New Roman"/>
          <w:color w:val="0070C0"/>
          <w:lang w:val="en-CA" w:eastAsia="en-CA"/>
        </w:rPr>
        <w:t> </w:t>
      </w:r>
      <w:r w:rsidRPr="00486386">
        <w:rPr>
          <w:color w:val="0070C0"/>
        </w:rPr>
        <w:br/>
      </w:r>
      <w:r w:rsidRPr="00486386">
        <w:rPr>
          <w:rFonts w:eastAsia="Times New Roman"/>
          <w:b/>
          <w:bCs/>
          <w:color w:val="0070C0"/>
          <w:lang w:eastAsia="en-CA"/>
        </w:rPr>
        <w:t>Example of an internal heater flat spiral </w:t>
      </w:r>
      <w:r w:rsidRPr="00486386">
        <w:rPr>
          <w:color w:val="0070C0"/>
        </w:rPr>
        <w:br/>
      </w:r>
      <w:r w:rsidRPr="00486386">
        <w:rPr>
          <w:rFonts w:eastAsia="Times New Roman"/>
          <w:color w:val="0070C0"/>
          <w:sz w:val="16"/>
          <w:szCs w:val="16"/>
          <w:lang w:eastAsia="en-CA"/>
        </w:rPr>
        <w:t>(Dimensions in millimetres)</w:t>
      </w:r>
      <w:r w:rsidRPr="00486386">
        <w:rPr>
          <w:rFonts w:eastAsia="Times New Roman"/>
          <w:color w:val="0070C0"/>
          <w:sz w:val="16"/>
          <w:szCs w:val="16"/>
          <w:lang w:val="en-CA" w:eastAsia="en-CA"/>
        </w:rPr>
        <w:t> </w:t>
      </w:r>
    </w:p>
    <w:p w14:paraId="1C0F75B5" w14:textId="77777777" w:rsidR="00D30274" w:rsidRPr="00486386" w:rsidRDefault="00D30274" w:rsidP="00D30274">
      <w:pPr>
        <w:spacing w:line="240" w:lineRule="auto"/>
        <w:ind w:left="3255" w:right="1125" w:hanging="1125"/>
        <w:jc w:val="both"/>
        <w:textAlignment w:val="baseline"/>
        <w:rPr>
          <w:rFonts w:eastAsia="Times New Roman"/>
          <w:color w:val="0070C0"/>
          <w:lang w:val="en-CA" w:eastAsia="en-CA"/>
        </w:rPr>
      </w:pPr>
      <w:r w:rsidRPr="00486386">
        <w:rPr>
          <w:rFonts w:eastAsia="Times New Roman"/>
          <w:b/>
          <w:bCs/>
          <w:color w:val="0070C0"/>
          <w:lang w:eastAsia="en-CA"/>
        </w:rPr>
        <w:t> </w:t>
      </w:r>
      <w:r w:rsidRPr="00486386">
        <w:rPr>
          <w:noProof/>
          <w:color w:val="0070C0"/>
          <w:lang w:eastAsia="zh-CN"/>
        </w:rPr>
        <w:drawing>
          <wp:inline distT="0" distB="0" distL="0" distR="0" wp14:anchorId="57799260" wp14:editId="6DF16356">
            <wp:extent cx="1695450" cy="1752600"/>
            <wp:effectExtent l="0" t="0" r="0" b="0"/>
            <wp:docPr id="35073426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9">
                      <a:extLst>
                        <a:ext uri="{28A0092B-C50C-407E-A947-70E740481C1C}">
                          <a14:useLocalDpi xmlns:a14="http://schemas.microsoft.com/office/drawing/2010/main" val="0"/>
                        </a:ext>
                      </a:extLst>
                    </a:blip>
                    <a:stretch>
                      <a:fillRect/>
                    </a:stretch>
                  </pic:blipFill>
                  <pic:spPr>
                    <a:xfrm>
                      <a:off x="0" y="0"/>
                      <a:ext cx="1695450" cy="1752600"/>
                    </a:xfrm>
                    <a:prstGeom prst="rect">
                      <a:avLst/>
                    </a:prstGeom>
                  </pic:spPr>
                </pic:pic>
              </a:graphicData>
            </a:graphic>
          </wp:inline>
        </w:drawing>
      </w:r>
      <w:r w:rsidRPr="00486386">
        <w:rPr>
          <w:rFonts w:eastAsia="Times New Roman"/>
          <w:b/>
          <w:bCs/>
          <w:color w:val="0070C0"/>
          <w:lang w:eastAsia="en-CA"/>
        </w:rPr>
        <w:t>  </w:t>
      </w:r>
      <w:r w:rsidRPr="00486386">
        <w:rPr>
          <w:rFonts w:eastAsia="Times New Roman"/>
          <w:color w:val="0070C0"/>
          <w:lang w:val="en-CA" w:eastAsia="en-CA"/>
        </w:rPr>
        <w:t> </w:t>
      </w:r>
    </w:p>
    <w:p w14:paraId="1823671D" w14:textId="77777777" w:rsidR="00D30274" w:rsidRPr="00486386" w:rsidRDefault="00D30274" w:rsidP="00D30274">
      <w:pPr>
        <w:spacing w:line="240" w:lineRule="auto"/>
        <w:ind w:right="1125"/>
        <w:jc w:val="both"/>
        <w:textAlignment w:val="baseline"/>
        <w:rPr>
          <w:rFonts w:eastAsia="Times New Roman"/>
          <w:color w:val="0070C0"/>
          <w:lang w:eastAsia="en-CA"/>
        </w:rPr>
      </w:pPr>
    </w:p>
    <w:p w14:paraId="21378C84" w14:textId="77777777" w:rsidR="00D30274" w:rsidRPr="00486386" w:rsidRDefault="00D30274" w:rsidP="00D30274">
      <w:pPr>
        <w:spacing w:line="240" w:lineRule="auto"/>
        <w:ind w:left="1125" w:right="1125"/>
        <w:textAlignment w:val="baseline"/>
        <w:rPr>
          <w:rFonts w:eastAsia="Times New Roman"/>
          <w:color w:val="0070C0"/>
          <w:lang w:val="en-CA" w:eastAsia="en-CA"/>
        </w:rPr>
      </w:pPr>
      <w:r w:rsidRPr="00486386">
        <w:rPr>
          <w:rFonts w:eastAsia="Times New Roman"/>
          <w:color w:val="0070C0"/>
          <w:lang w:eastAsia="en-CA"/>
        </w:rPr>
        <w:t>Table 1</w:t>
      </w:r>
      <w:r w:rsidRPr="00486386">
        <w:rPr>
          <w:rFonts w:eastAsia="Times New Roman"/>
          <w:color w:val="0070C0"/>
          <w:lang w:val="en-CA" w:eastAsia="en-CA"/>
        </w:rPr>
        <w:t> </w:t>
      </w:r>
      <w:r w:rsidRPr="00486386">
        <w:rPr>
          <w:color w:val="0070C0"/>
        </w:rPr>
        <w:br/>
      </w:r>
      <w:r w:rsidRPr="00486386">
        <w:rPr>
          <w:rFonts w:eastAsia="Times New Roman"/>
          <w:b/>
          <w:bCs/>
          <w:color w:val="0070C0"/>
          <w:lang w:eastAsia="en-CA"/>
        </w:rPr>
        <w:t>Heating Element Selection Guide: Target Parameters</w:t>
      </w:r>
      <w:r w:rsidRPr="00486386">
        <w:rPr>
          <w:rFonts w:eastAsia="Times New Roman"/>
          <w:color w:val="0070C0"/>
          <w:lang w:val="en-CA" w:eastAsia="en-CA"/>
        </w:rPr>
        <w:t> </w:t>
      </w:r>
    </w:p>
    <w:tbl>
      <w:tblPr>
        <w:tblW w:w="0" w:type="dxa"/>
        <w:tblInd w:w="11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55"/>
        <w:gridCol w:w="1545"/>
        <w:gridCol w:w="3735"/>
      </w:tblGrid>
      <w:tr w:rsidR="00D30274" w:rsidRPr="00486386" w14:paraId="27B0200D" w14:textId="77777777" w:rsidTr="006F4566">
        <w:trPr>
          <w:trHeight w:val="90"/>
        </w:trPr>
        <w:tc>
          <w:tcPr>
            <w:tcW w:w="2055" w:type="dxa"/>
            <w:tcBorders>
              <w:top w:val="single" w:sz="6" w:space="0" w:color="auto"/>
              <w:left w:val="single" w:sz="6" w:space="0" w:color="auto"/>
              <w:bottom w:val="single" w:sz="12" w:space="0" w:color="auto"/>
              <w:right w:val="single" w:sz="6" w:space="0" w:color="auto"/>
            </w:tcBorders>
            <w:shd w:val="clear" w:color="auto" w:fill="auto"/>
            <w:hideMark/>
          </w:tcPr>
          <w:p w14:paraId="6B167AA5" w14:textId="77777777" w:rsidR="00D30274" w:rsidRPr="00486386" w:rsidRDefault="00D30274" w:rsidP="006F4566">
            <w:pPr>
              <w:spacing w:line="240" w:lineRule="auto"/>
              <w:textAlignment w:val="baseline"/>
              <w:rPr>
                <w:rFonts w:eastAsia="Times New Roman"/>
                <w:color w:val="0070C0"/>
                <w:sz w:val="28"/>
                <w:szCs w:val="28"/>
                <w:lang w:val="en-CA" w:eastAsia="en-CA"/>
              </w:rPr>
            </w:pPr>
            <w:r w:rsidRPr="00486386">
              <w:rPr>
                <w:rFonts w:eastAsia="Times New Roman"/>
                <w:i/>
                <w:iCs/>
                <w:color w:val="0070C0"/>
                <w:sz w:val="16"/>
                <w:szCs w:val="16"/>
                <w:lang w:eastAsia="en-CA"/>
              </w:rPr>
              <w:t>Parameter</w:t>
            </w:r>
            <w:r w:rsidRPr="00486386">
              <w:rPr>
                <w:rFonts w:eastAsia="Times New Roman"/>
                <w:color w:val="0070C0"/>
                <w:sz w:val="16"/>
                <w:szCs w:val="16"/>
                <w:lang w:val="en-CA" w:eastAsia="en-CA"/>
              </w:rPr>
              <w:t> </w:t>
            </w:r>
          </w:p>
        </w:tc>
        <w:tc>
          <w:tcPr>
            <w:tcW w:w="1545" w:type="dxa"/>
            <w:tcBorders>
              <w:top w:val="single" w:sz="6" w:space="0" w:color="auto"/>
              <w:left w:val="single" w:sz="6" w:space="0" w:color="auto"/>
              <w:bottom w:val="single" w:sz="12" w:space="0" w:color="auto"/>
              <w:right w:val="single" w:sz="6" w:space="0" w:color="auto"/>
            </w:tcBorders>
            <w:shd w:val="clear" w:color="auto" w:fill="auto"/>
            <w:hideMark/>
          </w:tcPr>
          <w:p w14:paraId="586BEBD9" w14:textId="77777777" w:rsidR="00D30274" w:rsidRPr="00486386" w:rsidRDefault="00D30274" w:rsidP="006F4566">
            <w:pPr>
              <w:spacing w:line="240" w:lineRule="auto"/>
              <w:textAlignment w:val="baseline"/>
              <w:rPr>
                <w:rFonts w:eastAsia="Times New Roman"/>
                <w:color w:val="0070C0"/>
                <w:sz w:val="28"/>
                <w:szCs w:val="28"/>
                <w:lang w:val="en-CA" w:eastAsia="en-CA"/>
              </w:rPr>
            </w:pPr>
            <w:r w:rsidRPr="00486386">
              <w:rPr>
                <w:rFonts w:eastAsia="Times New Roman"/>
                <w:i/>
                <w:iCs/>
                <w:color w:val="0070C0"/>
                <w:sz w:val="16"/>
                <w:szCs w:val="16"/>
                <w:lang w:eastAsia="en-CA"/>
              </w:rPr>
              <w:t>Value </w:t>
            </w:r>
            <w:r w:rsidRPr="00486386">
              <w:rPr>
                <w:rFonts w:eastAsia="Times New Roman"/>
                <w:color w:val="0070C0"/>
                <w:sz w:val="16"/>
                <w:szCs w:val="16"/>
                <w:lang w:val="en-CA" w:eastAsia="en-CA"/>
              </w:rPr>
              <w:t> </w:t>
            </w:r>
          </w:p>
        </w:tc>
        <w:tc>
          <w:tcPr>
            <w:tcW w:w="3735" w:type="dxa"/>
            <w:tcBorders>
              <w:top w:val="single" w:sz="6" w:space="0" w:color="auto"/>
              <w:left w:val="single" w:sz="6" w:space="0" w:color="auto"/>
              <w:bottom w:val="single" w:sz="12" w:space="0" w:color="auto"/>
              <w:right w:val="single" w:sz="6" w:space="0" w:color="auto"/>
            </w:tcBorders>
            <w:shd w:val="clear" w:color="auto" w:fill="auto"/>
            <w:hideMark/>
          </w:tcPr>
          <w:p w14:paraId="3F43D0DA" w14:textId="77777777" w:rsidR="00D30274" w:rsidRPr="00486386" w:rsidRDefault="00D30274" w:rsidP="006F4566">
            <w:pPr>
              <w:spacing w:line="240" w:lineRule="auto"/>
              <w:textAlignment w:val="baseline"/>
              <w:rPr>
                <w:rFonts w:eastAsia="Times New Roman"/>
                <w:color w:val="0070C0"/>
                <w:sz w:val="28"/>
                <w:szCs w:val="28"/>
                <w:lang w:val="en-CA" w:eastAsia="en-CA"/>
              </w:rPr>
            </w:pPr>
            <w:r w:rsidRPr="00486386">
              <w:rPr>
                <w:rFonts w:eastAsia="Times New Roman"/>
                <w:i/>
                <w:iCs/>
                <w:color w:val="0070C0"/>
                <w:sz w:val="16"/>
                <w:szCs w:val="16"/>
                <w:lang w:eastAsia="en-CA"/>
              </w:rPr>
              <w:t>Reasoning</w:t>
            </w:r>
            <w:r w:rsidRPr="00486386">
              <w:rPr>
                <w:rFonts w:eastAsia="Times New Roman"/>
                <w:color w:val="0070C0"/>
                <w:sz w:val="16"/>
                <w:szCs w:val="16"/>
                <w:lang w:val="en-CA" w:eastAsia="en-CA"/>
              </w:rPr>
              <w:t> </w:t>
            </w:r>
          </w:p>
        </w:tc>
      </w:tr>
      <w:tr w:rsidR="00D30274" w:rsidRPr="00486386" w14:paraId="2B87C54A" w14:textId="77777777" w:rsidTr="006F4566">
        <w:trPr>
          <w:trHeight w:val="90"/>
        </w:trPr>
        <w:tc>
          <w:tcPr>
            <w:tcW w:w="2055" w:type="dxa"/>
            <w:tcBorders>
              <w:top w:val="single" w:sz="12" w:space="0" w:color="auto"/>
              <w:left w:val="single" w:sz="6" w:space="0" w:color="auto"/>
              <w:bottom w:val="single" w:sz="6" w:space="0" w:color="auto"/>
              <w:right w:val="single" w:sz="6" w:space="0" w:color="auto"/>
            </w:tcBorders>
            <w:shd w:val="clear" w:color="auto" w:fill="auto"/>
            <w:hideMark/>
          </w:tcPr>
          <w:p w14:paraId="2ACA58EF" w14:textId="77777777" w:rsidR="00D30274" w:rsidRPr="00486386" w:rsidRDefault="00D30274" w:rsidP="006F4566">
            <w:pPr>
              <w:spacing w:line="240" w:lineRule="auto"/>
              <w:ind w:right="105"/>
              <w:textAlignment w:val="baseline"/>
              <w:rPr>
                <w:rFonts w:eastAsia="Times New Roman"/>
                <w:color w:val="0070C0"/>
                <w:sz w:val="28"/>
                <w:szCs w:val="28"/>
                <w:lang w:val="en-CA" w:eastAsia="en-CA"/>
              </w:rPr>
            </w:pPr>
            <w:r w:rsidRPr="00486386">
              <w:rPr>
                <w:rFonts w:eastAsia="Times New Roman"/>
                <w:color w:val="0070C0"/>
                <w:lang w:eastAsia="en-CA"/>
              </w:rPr>
              <w:t>Heating element material </w:t>
            </w:r>
            <w:r w:rsidRPr="00486386">
              <w:rPr>
                <w:rFonts w:eastAsia="Times New Roman"/>
                <w:color w:val="0070C0"/>
                <w:lang w:val="en-CA" w:eastAsia="en-CA"/>
              </w:rPr>
              <w:t> </w:t>
            </w:r>
          </w:p>
        </w:tc>
        <w:tc>
          <w:tcPr>
            <w:tcW w:w="1545" w:type="dxa"/>
            <w:tcBorders>
              <w:top w:val="single" w:sz="12" w:space="0" w:color="auto"/>
              <w:left w:val="single" w:sz="6" w:space="0" w:color="auto"/>
              <w:bottom w:val="single" w:sz="6" w:space="0" w:color="auto"/>
              <w:right w:val="single" w:sz="6" w:space="0" w:color="auto"/>
            </w:tcBorders>
            <w:shd w:val="clear" w:color="auto" w:fill="auto"/>
            <w:hideMark/>
          </w:tcPr>
          <w:p w14:paraId="2FC283DE" w14:textId="77777777" w:rsidR="00D30274" w:rsidRPr="00486386" w:rsidRDefault="00D30274" w:rsidP="006F4566">
            <w:pPr>
              <w:spacing w:line="240" w:lineRule="auto"/>
              <w:ind w:right="105"/>
              <w:textAlignment w:val="baseline"/>
              <w:rPr>
                <w:rFonts w:eastAsia="Times New Roman"/>
                <w:color w:val="0070C0"/>
                <w:sz w:val="28"/>
                <w:szCs w:val="28"/>
                <w:lang w:val="en-CA" w:eastAsia="en-CA"/>
              </w:rPr>
            </w:pPr>
            <w:r w:rsidRPr="00486386">
              <w:rPr>
                <w:rFonts w:eastAsia="Times New Roman"/>
                <w:color w:val="0070C0"/>
                <w:lang w:eastAsia="en-CA"/>
              </w:rPr>
              <w:t>A suitable resistive heating material with an insulating barrier, e.g. copper or tungsten</w:t>
            </w:r>
            <w:r w:rsidRPr="00486386">
              <w:rPr>
                <w:rFonts w:eastAsia="Times New Roman"/>
                <w:color w:val="0070C0"/>
                <w:lang w:val="en-CA" w:eastAsia="en-CA"/>
              </w:rPr>
              <w:t> </w:t>
            </w:r>
          </w:p>
        </w:tc>
        <w:tc>
          <w:tcPr>
            <w:tcW w:w="3735" w:type="dxa"/>
            <w:tcBorders>
              <w:top w:val="single" w:sz="12" w:space="0" w:color="auto"/>
              <w:left w:val="single" w:sz="6" w:space="0" w:color="auto"/>
              <w:bottom w:val="single" w:sz="6" w:space="0" w:color="auto"/>
              <w:right w:val="single" w:sz="6" w:space="0" w:color="auto"/>
            </w:tcBorders>
            <w:shd w:val="clear" w:color="auto" w:fill="auto"/>
            <w:hideMark/>
          </w:tcPr>
          <w:p w14:paraId="5449BA95" w14:textId="77777777" w:rsidR="00D30274" w:rsidRPr="00486386" w:rsidRDefault="00D30274" w:rsidP="006F4566">
            <w:pPr>
              <w:spacing w:line="240" w:lineRule="auto"/>
              <w:ind w:right="105"/>
              <w:textAlignment w:val="baseline"/>
              <w:rPr>
                <w:rFonts w:eastAsia="Times New Roman"/>
                <w:color w:val="0070C0"/>
                <w:sz w:val="28"/>
                <w:szCs w:val="28"/>
                <w:lang w:val="en-CA" w:eastAsia="en-CA"/>
              </w:rPr>
            </w:pPr>
            <w:r w:rsidRPr="00486386">
              <w:rPr>
                <w:rFonts w:eastAsia="Times New Roman"/>
                <w:color w:val="0070C0"/>
                <w:lang w:eastAsia="en-CA"/>
              </w:rPr>
              <w:t>Achieve high temperatures and prevent element failures. Isolating material may include polyimide or other heat-resisting material. </w:t>
            </w:r>
            <w:r w:rsidRPr="00486386">
              <w:rPr>
                <w:rFonts w:eastAsia="Times New Roman"/>
                <w:color w:val="0070C0"/>
                <w:lang w:val="en-CA" w:eastAsia="en-CA"/>
              </w:rPr>
              <w:t> </w:t>
            </w:r>
          </w:p>
        </w:tc>
      </w:tr>
      <w:tr w:rsidR="00D30274" w:rsidRPr="00486386" w14:paraId="5A008B5D" w14:textId="77777777" w:rsidTr="006F4566">
        <w:trPr>
          <w:trHeight w:val="90"/>
        </w:trPr>
        <w:tc>
          <w:tcPr>
            <w:tcW w:w="2055" w:type="dxa"/>
            <w:tcBorders>
              <w:top w:val="single" w:sz="6" w:space="0" w:color="auto"/>
              <w:left w:val="single" w:sz="6" w:space="0" w:color="auto"/>
              <w:bottom w:val="single" w:sz="6" w:space="0" w:color="auto"/>
              <w:right w:val="single" w:sz="6" w:space="0" w:color="auto"/>
            </w:tcBorders>
            <w:shd w:val="clear" w:color="auto" w:fill="auto"/>
            <w:hideMark/>
          </w:tcPr>
          <w:p w14:paraId="12A87596" w14:textId="77777777" w:rsidR="00D30274" w:rsidRPr="00486386" w:rsidRDefault="00D30274" w:rsidP="006F4566">
            <w:pPr>
              <w:spacing w:line="240" w:lineRule="auto"/>
              <w:ind w:right="105"/>
              <w:textAlignment w:val="baseline"/>
              <w:rPr>
                <w:rFonts w:eastAsia="Times New Roman"/>
                <w:color w:val="0070C0"/>
                <w:sz w:val="28"/>
                <w:szCs w:val="28"/>
                <w:lang w:val="en-CA" w:eastAsia="en-CA"/>
              </w:rPr>
            </w:pPr>
            <w:r w:rsidRPr="00486386">
              <w:rPr>
                <w:rFonts w:eastAsia="Times New Roman"/>
                <w:color w:val="0070C0"/>
                <w:lang w:eastAsia="en-CA"/>
              </w:rPr>
              <w:t>Thickness (mm)</w:t>
            </w:r>
            <w:r w:rsidRPr="00486386">
              <w:rPr>
                <w:rFonts w:eastAsia="Times New Roman"/>
                <w:color w:val="0070C0"/>
                <w:lang w:val="en-CA" w:eastAsia="en-CA"/>
              </w:rPr>
              <w:t> </w:t>
            </w:r>
          </w:p>
        </w:tc>
        <w:tc>
          <w:tcPr>
            <w:tcW w:w="1545" w:type="dxa"/>
            <w:tcBorders>
              <w:top w:val="single" w:sz="6" w:space="0" w:color="auto"/>
              <w:left w:val="single" w:sz="6" w:space="0" w:color="auto"/>
              <w:bottom w:val="single" w:sz="6" w:space="0" w:color="auto"/>
              <w:right w:val="single" w:sz="6" w:space="0" w:color="auto"/>
            </w:tcBorders>
            <w:shd w:val="clear" w:color="auto" w:fill="auto"/>
            <w:hideMark/>
          </w:tcPr>
          <w:p w14:paraId="63B3BCD4" w14:textId="77777777" w:rsidR="00D30274" w:rsidRPr="00486386" w:rsidRDefault="00D30274" w:rsidP="006F4566">
            <w:pPr>
              <w:spacing w:line="240" w:lineRule="auto"/>
              <w:ind w:right="105"/>
              <w:textAlignment w:val="baseline"/>
              <w:rPr>
                <w:rFonts w:eastAsia="Times New Roman"/>
                <w:color w:val="0070C0"/>
                <w:sz w:val="28"/>
                <w:szCs w:val="28"/>
                <w:lang w:val="en-CA" w:eastAsia="en-CA"/>
              </w:rPr>
            </w:pPr>
            <w:r w:rsidRPr="00486386">
              <w:rPr>
                <w:rFonts w:eastAsia="Times New Roman"/>
                <w:color w:val="0070C0"/>
                <w:lang w:eastAsia="en-CA"/>
              </w:rPr>
              <w:t>≤ 0.5</w:t>
            </w:r>
            <w:r w:rsidRPr="00486386">
              <w:rPr>
                <w:rFonts w:eastAsia="Times New Roman"/>
                <w:color w:val="0070C0"/>
                <w:lang w:val="en-CA" w:eastAsia="en-CA"/>
              </w:rPr>
              <w:t> </w:t>
            </w:r>
          </w:p>
        </w:tc>
        <w:tc>
          <w:tcPr>
            <w:tcW w:w="3735" w:type="dxa"/>
            <w:tcBorders>
              <w:top w:val="single" w:sz="6" w:space="0" w:color="auto"/>
              <w:left w:val="single" w:sz="6" w:space="0" w:color="auto"/>
              <w:bottom w:val="single" w:sz="6" w:space="0" w:color="auto"/>
              <w:right w:val="single" w:sz="6" w:space="0" w:color="auto"/>
            </w:tcBorders>
            <w:shd w:val="clear" w:color="auto" w:fill="auto"/>
            <w:hideMark/>
          </w:tcPr>
          <w:p w14:paraId="015FF9D8" w14:textId="77777777" w:rsidR="00D30274" w:rsidRPr="00486386" w:rsidRDefault="00D30274" w:rsidP="006F4566">
            <w:pPr>
              <w:spacing w:line="240" w:lineRule="auto"/>
              <w:ind w:right="105"/>
              <w:textAlignment w:val="baseline"/>
              <w:rPr>
                <w:rFonts w:eastAsia="Times New Roman"/>
                <w:color w:val="0070C0"/>
                <w:sz w:val="28"/>
                <w:szCs w:val="28"/>
                <w:lang w:val="en-CA" w:eastAsia="en-CA"/>
              </w:rPr>
            </w:pPr>
            <w:r w:rsidRPr="00486386">
              <w:rPr>
                <w:rFonts w:eastAsia="Times New Roman"/>
                <w:color w:val="0070C0"/>
                <w:lang w:eastAsia="en-CA"/>
              </w:rPr>
              <w:t>As the heater needs to be placed inside of a cell, thickness of heater should be minimized.</w:t>
            </w:r>
            <w:r w:rsidRPr="00486386">
              <w:rPr>
                <w:rFonts w:eastAsia="Times New Roman"/>
                <w:color w:val="0070C0"/>
                <w:lang w:val="en-CA" w:eastAsia="en-CA"/>
              </w:rPr>
              <w:t> </w:t>
            </w:r>
          </w:p>
        </w:tc>
      </w:tr>
      <w:tr w:rsidR="00D30274" w:rsidRPr="00486386" w14:paraId="4774C44F" w14:textId="77777777" w:rsidTr="006F4566">
        <w:trPr>
          <w:trHeight w:val="90"/>
        </w:trPr>
        <w:tc>
          <w:tcPr>
            <w:tcW w:w="2055" w:type="dxa"/>
            <w:tcBorders>
              <w:top w:val="single" w:sz="6" w:space="0" w:color="auto"/>
              <w:left w:val="single" w:sz="6" w:space="0" w:color="auto"/>
              <w:bottom w:val="single" w:sz="6" w:space="0" w:color="auto"/>
              <w:right w:val="single" w:sz="6" w:space="0" w:color="auto"/>
            </w:tcBorders>
            <w:shd w:val="clear" w:color="auto" w:fill="auto"/>
            <w:hideMark/>
          </w:tcPr>
          <w:p w14:paraId="61EF5BF5" w14:textId="77777777" w:rsidR="00D30274" w:rsidRPr="00486386" w:rsidRDefault="00D30274" w:rsidP="006F4566">
            <w:pPr>
              <w:spacing w:line="240" w:lineRule="auto"/>
              <w:ind w:right="105"/>
              <w:textAlignment w:val="baseline"/>
              <w:rPr>
                <w:rFonts w:eastAsia="Times New Roman"/>
                <w:color w:val="0070C0"/>
                <w:sz w:val="28"/>
                <w:szCs w:val="28"/>
                <w:lang w:val="en-CA" w:eastAsia="en-CA"/>
              </w:rPr>
            </w:pPr>
            <w:r w:rsidRPr="00486386">
              <w:rPr>
                <w:rFonts w:eastAsia="Times New Roman"/>
                <w:color w:val="0070C0"/>
                <w:lang w:eastAsia="en-CA"/>
              </w:rPr>
              <w:t>Area (mm</w:t>
            </w:r>
            <w:r w:rsidRPr="00486386">
              <w:rPr>
                <w:rFonts w:eastAsia="Times New Roman"/>
                <w:color w:val="0070C0"/>
                <w:sz w:val="16"/>
                <w:szCs w:val="16"/>
                <w:vertAlign w:val="superscript"/>
                <w:lang w:eastAsia="en-CA"/>
              </w:rPr>
              <w:t>2</w:t>
            </w:r>
            <w:r w:rsidRPr="00486386">
              <w:rPr>
                <w:rFonts w:eastAsia="Times New Roman"/>
                <w:color w:val="0070C0"/>
                <w:lang w:eastAsia="en-CA"/>
              </w:rPr>
              <w:t>)</w:t>
            </w:r>
            <w:r w:rsidRPr="00486386">
              <w:rPr>
                <w:rFonts w:eastAsia="Times New Roman"/>
                <w:color w:val="0070C0"/>
                <w:lang w:val="en-CA" w:eastAsia="en-CA"/>
              </w:rPr>
              <w:t> </w:t>
            </w:r>
          </w:p>
        </w:tc>
        <w:tc>
          <w:tcPr>
            <w:tcW w:w="1545" w:type="dxa"/>
            <w:tcBorders>
              <w:top w:val="single" w:sz="6" w:space="0" w:color="auto"/>
              <w:left w:val="single" w:sz="6" w:space="0" w:color="auto"/>
              <w:bottom w:val="single" w:sz="6" w:space="0" w:color="auto"/>
              <w:right w:val="single" w:sz="6" w:space="0" w:color="auto"/>
            </w:tcBorders>
            <w:shd w:val="clear" w:color="auto" w:fill="auto"/>
            <w:hideMark/>
          </w:tcPr>
          <w:p w14:paraId="36A79DE5" w14:textId="77777777" w:rsidR="00D30274" w:rsidRPr="00486386" w:rsidRDefault="00D30274" w:rsidP="006F4566">
            <w:pPr>
              <w:spacing w:line="240" w:lineRule="auto"/>
              <w:ind w:right="105"/>
              <w:textAlignment w:val="baseline"/>
              <w:rPr>
                <w:rFonts w:eastAsia="Times New Roman"/>
                <w:color w:val="0070C0"/>
                <w:lang w:eastAsia="en-CA"/>
              </w:rPr>
            </w:pPr>
            <w:r w:rsidRPr="00486386">
              <w:rPr>
                <w:rFonts w:eastAsia="Times New Roman"/>
                <w:color w:val="0070C0"/>
                <w:lang w:eastAsia="en-CA"/>
              </w:rPr>
              <w:t>225 - 500  </w:t>
            </w:r>
          </w:p>
        </w:tc>
        <w:tc>
          <w:tcPr>
            <w:tcW w:w="3735" w:type="dxa"/>
            <w:tcBorders>
              <w:top w:val="single" w:sz="6" w:space="0" w:color="auto"/>
              <w:left w:val="single" w:sz="6" w:space="0" w:color="auto"/>
              <w:bottom w:val="single" w:sz="6" w:space="0" w:color="auto"/>
              <w:right w:val="single" w:sz="6" w:space="0" w:color="auto"/>
            </w:tcBorders>
            <w:shd w:val="clear" w:color="auto" w:fill="auto"/>
            <w:hideMark/>
          </w:tcPr>
          <w:p w14:paraId="57613681" w14:textId="77777777" w:rsidR="00D30274" w:rsidRPr="00486386" w:rsidRDefault="00D30274" w:rsidP="006F4566">
            <w:pPr>
              <w:spacing w:line="240" w:lineRule="auto"/>
              <w:ind w:right="105"/>
              <w:textAlignment w:val="baseline"/>
              <w:rPr>
                <w:rFonts w:eastAsia="Times New Roman"/>
                <w:color w:val="0070C0"/>
                <w:sz w:val="28"/>
                <w:szCs w:val="28"/>
                <w:lang w:val="en-CA" w:eastAsia="en-CA"/>
              </w:rPr>
            </w:pPr>
            <w:r w:rsidRPr="00486386">
              <w:rPr>
                <w:rFonts w:eastAsia="Times New Roman"/>
                <w:color w:val="0070C0"/>
                <w:lang w:eastAsia="en-CA"/>
              </w:rPr>
              <w:t>Concentrate heat to the smallest feasible area on the jellyroll surface.</w:t>
            </w:r>
            <w:r w:rsidRPr="00486386">
              <w:rPr>
                <w:rFonts w:eastAsia="Times New Roman"/>
                <w:color w:val="0070C0"/>
                <w:lang w:val="en-CA" w:eastAsia="en-CA"/>
              </w:rPr>
              <w:t> </w:t>
            </w:r>
          </w:p>
        </w:tc>
      </w:tr>
      <w:tr w:rsidR="00D30274" w:rsidRPr="00486386" w14:paraId="5F2DA052" w14:textId="77777777" w:rsidTr="006F4566">
        <w:trPr>
          <w:trHeight w:val="90"/>
        </w:trPr>
        <w:tc>
          <w:tcPr>
            <w:tcW w:w="2055" w:type="dxa"/>
            <w:tcBorders>
              <w:top w:val="single" w:sz="6" w:space="0" w:color="auto"/>
              <w:left w:val="single" w:sz="6" w:space="0" w:color="auto"/>
              <w:bottom w:val="single" w:sz="12" w:space="0" w:color="auto"/>
              <w:right w:val="single" w:sz="6" w:space="0" w:color="auto"/>
            </w:tcBorders>
            <w:shd w:val="clear" w:color="auto" w:fill="auto"/>
            <w:hideMark/>
          </w:tcPr>
          <w:p w14:paraId="659BF58C" w14:textId="77777777" w:rsidR="00D30274" w:rsidRPr="00486386" w:rsidRDefault="00D30274" w:rsidP="006F4566">
            <w:pPr>
              <w:spacing w:line="240" w:lineRule="auto"/>
              <w:ind w:right="30"/>
              <w:textAlignment w:val="baseline"/>
              <w:rPr>
                <w:rFonts w:eastAsia="Times New Roman"/>
                <w:color w:val="0070C0"/>
                <w:sz w:val="28"/>
                <w:szCs w:val="28"/>
                <w:lang w:val="en-CA" w:eastAsia="en-CA"/>
              </w:rPr>
            </w:pPr>
            <w:r w:rsidRPr="00486386">
              <w:rPr>
                <w:rFonts w:eastAsia="Times New Roman"/>
                <w:color w:val="0070C0"/>
                <w:lang w:eastAsia="en-CA"/>
              </w:rPr>
              <w:t>Power of heater (W)</w:t>
            </w:r>
            <w:r w:rsidRPr="00486386">
              <w:rPr>
                <w:rFonts w:eastAsia="Times New Roman"/>
                <w:color w:val="0070C0"/>
                <w:lang w:val="en-CA" w:eastAsia="en-CA"/>
              </w:rPr>
              <w:t> </w:t>
            </w:r>
          </w:p>
        </w:tc>
        <w:tc>
          <w:tcPr>
            <w:tcW w:w="1545" w:type="dxa"/>
            <w:tcBorders>
              <w:top w:val="single" w:sz="6" w:space="0" w:color="auto"/>
              <w:left w:val="single" w:sz="6" w:space="0" w:color="auto"/>
              <w:bottom w:val="single" w:sz="12" w:space="0" w:color="auto"/>
              <w:right w:val="single" w:sz="6" w:space="0" w:color="auto"/>
            </w:tcBorders>
            <w:shd w:val="clear" w:color="auto" w:fill="auto"/>
            <w:hideMark/>
          </w:tcPr>
          <w:p w14:paraId="2B27D673" w14:textId="77777777" w:rsidR="00D30274" w:rsidRPr="00486386" w:rsidRDefault="00D30274" w:rsidP="006F4566">
            <w:pPr>
              <w:spacing w:line="240" w:lineRule="auto"/>
              <w:ind w:right="105"/>
              <w:textAlignment w:val="baseline"/>
              <w:rPr>
                <w:rFonts w:eastAsia="Times New Roman"/>
                <w:color w:val="0070C0"/>
                <w:lang w:eastAsia="en-CA"/>
              </w:rPr>
            </w:pPr>
            <w:r w:rsidRPr="00486386">
              <w:rPr>
                <w:rFonts w:eastAsia="Times New Roman"/>
                <w:color w:val="0070C0"/>
                <w:lang w:eastAsia="en-CA"/>
              </w:rPr>
              <w:t>150~700 </w:t>
            </w:r>
          </w:p>
        </w:tc>
        <w:tc>
          <w:tcPr>
            <w:tcW w:w="3735" w:type="dxa"/>
            <w:tcBorders>
              <w:top w:val="single" w:sz="6" w:space="0" w:color="auto"/>
              <w:left w:val="single" w:sz="6" w:space="0" w:color="auto"/>
              <w:bottom w:val="single" w:sz="12" w:space="0" w:color="auto"/>
              <w:right w:val="single" w:sz="6" w:space="0" w:color="auto"/>
            </w:tcBorders>
            <w:shd w:val="clear" w:color="auto" w:fill="auto"/>
            <w:hideMark/>
          </w:tcPr>
          <w:p w14:paraId="325AC468" w14:textId="77777777" w:rsidR="00D30274" w:rsidRPr="00486386" w:rsidRDefault="00D30274" w:rsidP="006F4566">
            <w:pPr>
              <w:spacing w:line="240" w:lineRule="auto"/>
              <w:ind w:right="105"/>
              <w:textAlignment w:val="baseline"/>
              <w:rPr>
                <w:rFonts w:eastAsia="Times New Roman"/>
                <w:color w:val="0070C0"/>
                <w:sz w:val="28"/>
                <w:szCs w:val="28"/>
                <w:lang w:val="en-CA" w:eastAsia="en-CA"/>
              </w:rPr>
            </w:pPr>
            <w:r w:rsidRPr="00486386">
              <w:rPr>
                <w:rFonts w:eastAsia="Times New Roman"/>
                <w:color w:val="0070C0"/>
                <w:lang w:eastAsia="en-CA"/>
              </w:rPr>
              <w:t>Provide enough heat to enable initiation of cell thermal runaway.</w:t>
            </w:r>
            <w:r w:rsidRPr="00486386">
              <w:rPr>
                <w:rFonts w:eastAsia="Times New Roman"/>
                <w:color w:val="0070C0"/>
                <w:lang w:val="en-CA" w:eastAsia="en-CA"/>
              </w:rPr>
              <w:t> </w:t>
            </w:r>
          </w:p>
        </w:tc>
      </w:tr>
    </w:tbl>
    <w:p w14:paraId="746C621F" w14:textId="77777777" w:rsidR="00D30274" w:rsidRPr="00486386" w:rsidRDefault="00D30274" w:rsidP="00D30274">
      <w:pPr>
        <w:spacing w:line="240" w:lineRule="auto"/>
        <w:ind w:left="1275" w:right="1125" w:hanging="1275"/>
        <w:jc w:val="both"/>
        <w:textAlignment w:val="baseline"/>
        <w:rPr>
          <w:rFonts w:eastAsia="Times New Roman"/>
          <w:color w:val="0070C0"/>
          <w:lang w:eastAsia="en-CA"/>
        </w:rPr>
      </w:pPr>
    </w:p>
    <w:p w14:paraId="7CFD3485"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eastAsia="en-CA"/>
        </w:rPr>
        <w:lastRenderedPageBreak/>
        <w:t>2.</w:t>
      </w:r>
      <w:r w:rsidRPr="00486386">
        <w:rPr>
          <w:color w:val="0070C0"/>
        </w:rPr>
        <w:tab/>
      </w:r>
      <w:r w:rsidRPr="00486386">
        <w:rPr>
          <w:rFonts w:eastAsia="Times New Roman"/>
          <w:color w:val="0070C0"/>
          <w:lang w:eastAsia="en-CA"/>
        </w:rPr>
        <w:t>Initiation Cell/Cell Block Preparation</w:t>
      </w:r>
      <w:r w:rsidRPr="00486386">
        <w:rPr>
          <w:rFonts w:eastAsia="Times New Roman"/>
          <w:color w:val="0070C0"/>
          <w:lang w:val="en-CA" w:eastAsia="en-CA"/>
        </w:rPr>
        <w:t> </w:t>
      </w:r>
    </w:p>
    <w:p w14:paraId="18D4DCDD"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The heater shall be inserted in the connected electrode stack or jellyroll before cell sealing. The applied method is dependent on the REESS or REESS subsystem design and manufacturing process. Here is an example of the manufacturing process for this special cell.</w:t>
      </w:r>
      <w:r w:rsidRPr="00486386">
        <w:rPr>
          <w:rFonts w:eastAsia="Times New Roman"/>
          <w:color w:val="0070C0"/>
          <w:lang w:val="en-CA" w:eastAsia="en-CA"/>
        </w:rPr>
        <w:t> </w:t>
      </w:r>
    </w:p>
    <w:p w14:paraId="3929B838"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eastAsia="en-CA"/>
        </w:rPr>
        <w:t>2.1.</w:t>
      </w:r>
      <w:r w:rsidRPr="00486386">
        <w:rPr>
          <w:color w:val="0070C0"/>
        </w:rPr>
        <w:tab/>
      </w:r>
      <w:r w:rsidRPr="00486386">
        <w:rPr>
          <w:rFonts w:eastAsia="Times New Roman"/>
          <w:color w:val="0070C0"/>
          <w:lang w:eastAsia="en-CA"/>
        </w:rPr>
        <w:t>Step 1: </w:t>
      </w:r>
      <w:r w:rsidRPr="00486386">
        <w:rPr>
          <w:rFonts w:eastAsia="Times New Roman"/>
          <w:color w:val="0070C0"/>
          <w:lang w:val="en-CA" w:eastAsia="en-CA"/>
        </w:rPr>
        <w:t> </w:t>
      </w:r>
    </w:p>
    <w:p w14:paraId="108CFD16" w14:textId="77777777" w:rsidR="00D30274" w:rsidRPr="00486386" w:rsidRDefault="00D30274" w:rsidP="00D30274">
      <w:pPr>
        <w:spacing w:line="240" w:lineRule="auto"/>
        <w:ind w:left="1275" w:right="1125" w:hanging="141"/>
        <w:jc w:val="both"/>
        <w:textAlignment w:val="baseline"/>
        <w:rPr>
          <w:rFonts w:eastAsia="Times New Roman"/>
          <w:color w:val="0070C0"/>
          <w:lang w:val="en-CA" w:eastAsia="en-CA"/>
        </w:rPr>
      </w:pPr>
      <w:r w:rsidRPr="00486386">
        <w:rPr>
          <w:rFonts w:eastAsia="Times New Roman"/>
          <w:color w:val="0070C0"/>
          <w:lang w:eastAsia="en-CA"/>
        </w:rPr>
        <w:t>One or two hole(s) are drilled into the cover to allow the electrical feedthrough of the heater from inside the cell to the outside (Figure 2).</w:t>
      </w:r>
      <w:r w:rsidRPr="00486386">
        <w:rPr>
          <w:rFonts w:eastAsia="Times New Roman"/>
          <w:color w:val="0070C0"/>
          <w:lang w:val="en-CA" w:eastAsia="en-CA"/>
        </w:rPr>
        <w:t> </w:t>
      </w:r>
    </w:p>
    <w:p w14:paraId="0BD5E613" w14:textId="77777777" w:rsidR="00D30274" w:rsidRPr="00486386" w:rsidRDefault="00D30274" w:rsidP="00D30274">
      <w:pPr>
        <w:spacing w:line="240" w:lineRule="auto"/>
        <w:ind w:left="1125" w:right="1125"/>
        <w:textAlignment w:val="baseline"/>
        <w:rPr>
          <w:rFonts w:eastAsia="Times New Roman"/>
          <w:color w:val="0070C0"/>
          <w:lang w:val="en-CA" w:eastAsia="en-CA"/>
        </w:rPr>
      </w:pPr>
      <w:r w:rsidRPr="00486386">
        <w:rPr>
          <w:rFonts w:eastAsia="Times New Roman"/>
          <w:color w:val="0070C0"/>
          <w:lang w:eastAsia="en-CA"/>
        </w:rPr>
        <w:t>Figure 2</w:t>
      </w:r>
      <w:r w:rsidRPr="00486386">
        <w:rPr>
          <w:rFonts w:eastAsia="Times New Roman"/>
          <w:color w:val="0070C0"/>
          <w:lang w:val="en-CA" w:eastAsia="en-CA"/>
        </w:rPr>
        <w:t> </w:t>
      </w:r>
      <w:r w:rsidRPr="00486386">
        <w:rPr>
          <w:color w:val="0070C0"/>
        </w:rPr>
        <w:br/>
      </w:r>
      <w:r w:rsidRPr="00486386">
        <w:rPr>
          <w:rFonts w:eastAsia="Times New Roman"/>
          <w:b/>
          <w:bCs/>
          <w:color w:val="0070C0"/>
          <w:lang w:eastAsia="en-CA"/>
        </w:rPr>
        <w:t>Example of specific holes in cover for heater connection </w:t>
      </w:r>
      <w:r w:rsidRPr="00486386">
        <w:rPr>
          <w:rFonts w:eastAsia="Times New Roman"/>
          <w:color w:val="0070C0"/>
          <w:lang w:val="en-CA" w:eastAsia="en-CA"/>
        </w:rPr>
        <w:t> </w:t>
      </w:r>
    </w:p>
    <w:p w14:paraId="27E81968"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noProof/>
          <w:color w:val="0070C0"/>
          <w:lang w:eastAsia="zh-CN"/>
        </w:rPr>
        <w:drawing>
          <wp:inline distT="0" distB="0" distL="0" distR="0" wp14:anchorId="607CBAC0" wp14:editId="2C152FCB">
            <wp:extent cx="2124075" cy="1104900"/>
            <wp:effectExtent l="0" t="0" r="9525" b="0"/>
            <wp:docPr id="177491516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10">
                      <a:extLst>
                        <a:ext uri="{28A0092B-C50C-407E-A947-70E740481C1C}">
                          <a14:useLocalDpi xmlns:a14="http://schemas.microsoft.com/office/drawing/2010/main" val="0"/>
                        </a:ext>
                      </a:extLst>
                    </a:blip>
                    <a:stretch>
                      <a:fillRect/>
                    </a:stretch>
                  </pic:blipFill>
                  <pic:spPr>
                    <a:xfrm>
                      <a:off x="0" y="0"/>
                      <a:ext cx="2124075" cy="1104900"/>
                    </a:xfrm>
                    <a:prstGeom prst="rect">
                      <a:avLst/>
                    </a:prstGeom>
                  </pic:spPr>
                </pic:pic>
              </a:graphicData>
            </a:graphic>
          </wp:inline>
        </w:drawing>
      </w:r>
      <w:r w:rsidRPr="00486386">
        <w:rPr>
          <w:rFonts w:eastAsia="Times New Roman"/>
          <w:color w:val="0070C0"/>
          <w:lang w:val="en-CA" w:eastAsia="en-CA"/>
        </w:rPr>
        <w:t> </w:t>
      </w:r>
    </w:p>
    <w:p w14:paraId="0E236E98"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eastAsia="en-CA"/>
        </w:rPr>
        <w:t>2.2.</w:t>
      </w:r>
      <w:r w:rsidRPr="00486386">
        <w:rPr>
          <w:color w:val="0070C0"/>
        </w:rPr>
        <w:tab/>
      </w:r>
      <w:r w:rsidRPr="00486386">
        <w:rPr>
          <w:rFonts w:eastAsia="Times New Roman"/>
          <w:color w:val="0070C0"/>
          <w:lang w:eastAsia="en-CA"/>
        </w:rPr>
        <w:t>Step 2: </w:t>
      </w:r>
      <w:r w:rsidRPr="00486386">
        <w:rPr>
          <w:rFonts w:eastAsia="Times New Roman"/>
          <w:color w:val="0070C0"/>
          <w:lang w:val="en-CA" w:eastAsia="en-CA"/>
        </w:rPr>
        <w:t> </w:t>
      </w:r>
    </w:p>
    <w:p w14:paraId="00567F76"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Unroll the separators and the electrodes to insert the heater.</w:t>
      </w:r>
      <w:r w:rsidRPr="00486386">
        <w:rPr>
          <w:rFonts w:eastAsia="Times New Roman"/>
          <w:color w:val="0070C0"/>
          <w:lang w:val="en-CA" w:eastAsia="en-CA"/>
        </w:rPr>
        <w:t> </w:t>
      </w:r>
    </w:p>
    <w:p w14:paraId="116474DD"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eastAsia="en-CA"/>
        </w:rPr>
        <w:t>2.3.</w:t>
      </w:r>
      <w:r w:rsidRPr="00486386">
        <w:rPr>
          <w:rFonts w:ascii="Calibri" w:eastAsia="Times New Roman" w:hAnsi="Calibri" w:cs="Calibri"/>
          <w:color w:val="0070C0"/>
          <w:lang w:val="en-CA" w:eastAsia="en-CA"/>
        </w:rPr>
        <w:tab/>
      </w:r>
      <w:r w:rsidRPr="0002792E">
        <w:rPr>
          <w:rFonts w:eastAsia="Times New Roman"/>
          <w:color w:val="0070C0"/>
          <w:lang w:eastAsia="en-CA"/>
        </w:rPr>
        <w:t>Step 3:</w:t>
      </w:r>
    </w:p>
    <w:p w14:paraId="55E3EF18"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Locate the heater on the last wrap of electrode. The heater is placed between the outermost negative and positive electrodes for the cell (see Figures 3a, 4a and 5). </w:t>
      </w:r>
      <w:r w:rsidRPr="00486386">
        <w:rPr>
          <w:rFonts w:eastAsia="Times New Roman"/>
          <w:color w:val="0070C0"/>
          <w:lang w:val="en-CA" w:eastAsia="en-CA"/>
        </w:rPr>
        <w:t> </w:t>
      </w:r>
    </w:p>
    <w:p w14:paraId="24584564"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Avoid unrolling a larger part of the jelly roll, since this can lead to damage of the jelly roll. Use an outer stack in case of stacked layers.</w:t>
      </w:r>
      <w:r w:rsidRPr="00486386">
        <w:rPr>
          <w:rFonts w:eastAsia="Times New Roman"/>
          <w:color w:val="0070C0"/>
          <w:lang w:val="en-CA" w:eastAsia="en-CA"/>
        </w:rPr>
        <w:t> </w:t>
      </w:r>
    </w:p>
    <w:p w14:paraId="696AD8EE" w14:textId="77777777" w:rsidR="00D30274" w:rsidRPr="00486386" w:rsidRDefault="00D30274" w:rsidP="00D30274">
      <w:pPr>
        <w:spacing w:line="240" w:lineRule="auto"/>
        <w:ind w:left="1275" w:right="1125" w:hanging="1275"/>
        <w:jc w:val="both"/>
        <w:textAlignment w:val="baseline"/>
        <w:rPr>
          <w:rFonts w:eastAsia="Times New Roman"/>
          <w:color w:val="0070C0"/>
          <w:lang w:eastAsia="en-CA"/>
        </w:rPr>
      </w:pPr>
    </w:p>
    <w:p w14:paraId="431106DD" w14:textId="77777777" w:rsidR="00D30274" w:rsidRPr="00486386" w:rsidRDefault="00D30274" w:rsidP="00D30274">
      <w:pPr>
        <w:spacing w:line="240" w:lineRule="auto"/>
        <w:ind w:left="1125" w:right="1125"/>
        <w:textAlignment w:val="baseline"/>
        <w:rPr>
          <w:rFonts w:eastAsia="Times New Roman"/>
          <w:color w:val="0070C0"/>
          <w:lang w:val="en-CA" w:eastAsia="en-CA"/>
        </w:rPr>
      </w:pPr>
      <w:r w:rsidRPr="00486386">
        <w:rPr>
          <w:rFonts w:eastAsia="Times New Roman"/>
          <w:color w:val="0070C0"/>
          <w:lang w:eastAsia="en-CA"/>
        </w:rPr>
        <w:t>Figure 3</w:t>
      </w:r>
      <w:r w:rsidRPr="00486386">
        <w:rPr>
          <w:rFonts w:eastAsia="Times New Roman"/>
          <w:color w:val="0070C0"/>
          <w:lang w:val="en-CA" w:eastAsia="en-CA"/>
        </w:rPr>
        <w:t> </w:t>
      </w:r>
      <w:r w:rsidRPr="00486386">
        <w:rPr>
          <w:color w:val="0070C0"/>
        </w:rPr>
        <w:br/>
      </w:r>
      <w:r w:rsidRPr="00486386">
        <w:rPr>
          <w:rFonts w:eastAsia="Times New Roman"/>
          <w:b/>
          <w:bCs/>
          <w:color w:val="0070C0"/>
          <w:lang w:eastAsia="en-CA"/>
        </w:rPr>
        <w:t>Example of heater location inside the cylindrical cell</w:t>
      </w:r>
      <w:r w:rsidRPr="00486386">
        <w:rPr>
          <w:rFonts w:eastAsia="Times New Roman"/>
          <w:color w:val="0070C0"/>
          <w:lang w:val="en-CA" w:eastAsia="en-CA"/>
        </w:rPr>
        <w:t> </w:t>
      </w:r>
    </w:p>
    <w:p w14:paraId="7F413568"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noProof/>
          <w:color w:val="0070C0"/>
          <w:lang w:eastAsia="zh-CN"/>
        </w:rPr>
        <w:drawing>
          <wp:inline distT="0" distB="0" distL="0" distR="0" wp14:anchorId="43D742A2" wp14:editId="34240A0F">
            <wp:extent cx="4829175" cy="2114550"/>
            <wp:effectExtent l="0" t="0" r="9525" b="0"/>
            <wp:docPr id="53843678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11">
                      <a:extLst>
                        <a:ext uri="{28A0092B-C50C-407E-A947-70E740481C1C}">
                          <a14:useLocalDpi xmlns:a14="http://schemas.microsoft.com/office/drawing/2010/main" val="0"/>
                        </a:ext>
                      </a:extLst>
                    </a:blip>
                    <a:stretch>
                      <a:fillRect/>
                    </a:stretch>
                  </pic:blipFill>
                  <pic:spPr>
                    <a:xfrm>
                      <a:off x="0" y="0"/>
                      <a:ext cx="4829175" cy="2114550"/>
                    </a:xfrm>
                    <a:prstGeom prst="rect">
                      <a:avLst/>
                    </a:prstGeom>
                  </pic:spPr>
                </pic:pic>
              </a:graphicData>
            </a:graphic>
          </wp:inline>
        </w:drawing>
      </w:r>
      <w:r w:rsidRPr="00486386">
        <w:rPr>
          <w:rFonts w:eastAsia="Times New Roman"/>
          <w:color w:val="0070C0"/>
          <w:lang w:val="en-CA" w:eastAsia="en-CA"/>
        </w:rPr>
        <w:t> </w:t>
      </w:r>
    </w:p>
    <w:p w14:paraId="03AAD0EB" w14:textId="77777777" w:rsidR="00D30274" w:rsidRPr="00486386" w:rsidRDefault="00D30274" w:rsidP="00D30274">
      <w:pPr>
        <w:spacing w:line="240" w:lineRule="auto"/>
        <w:ind w:right="1125"/>
        <w:jc w:val="both"/>
        <w:textAlignment w:val="baseline"/>
        <w:rPr>
          <w:rFonts w:eastAsia="Times New Roman"/>
          <w:color w:val="0070C0"/>
          <w:lang w:eastAsia="en-CA"/>
        </w:rPr>
      </w:pPr>
    </w:p>
    <w:p w14:paraId="4B1D7DD8"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Key</w:t>
      </w:r>
      <w:r w:rsidRPr="00486386">
        <w:rPr>
          <w:rFonts w:eastAsia="Times New Roman"/>
          <w:color w:val="0070C0"/>
          <w:sz w:val="18"/>
          <w:szCs w:val="18"/>
          <w:lang w:val="en-CA" w:eastAsia="en-CA"/>
        </w:rPr>
        <w:t> </w:t>
      </w:r>
    </w:p>
    <w:p w14:paraId="4571A355"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1</w:t>
      </w:r>
      <w:r w:rsidRPr="00486386">
        <w:rPr>
          <w:color w:val="0070C0"/>
        </w:rPr>
        <w:tab/>
      </w:r>
      <w:r w:rsidRPr="00486386">
        <w:rPr>
          <w:rFonts w:eastAsia="Times New Roman"/>
          <w:color w:val="0070C0"/>
          <w:sz w:val="18"/>
          <w:szCs w:val="18"/>
          <w:lang w:eastAsia="en-CA"/>
        </w:rPr>
        <w:t>positive electrode</w:t>
      </w:r>
      <w:r w:rsidRPr="00486386">
        <w:rPr>
          <w:rFonts w:eastAsia="Times New Roman"/>
          <w:color w:val="0070C0"/>
          <w:sz w:val="18"/>
          <w:szCs w:val="18"/>
          <w:lang w:val="en-CA" w:eastAsia="en-CA"/>
        </w:rPr>
        <w:t> </w:t>
      </w:r>
    </w:p>
    <w:p w14:paraId="3393C1E1"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2</w:t>
      </w:r>
      <w:r w:rsidRPr="00486386">
        <w:rPr>
          <w:color w:val="0070C0"/>
        </w:rPr>
        <w:tab/>
      </w:r>
      <w:proofErr w:type="gramStart"/>
      <w:r w:rsidRPr="00486386">
        <w:rPr>
          <w:rFonts w:eastAsia="Times New Roman"/>
          <w:color w:val="0070C0"/>
          <w:sz w:val="18"/>
          <w:szCs w:val="18"/>
          <w:lang w:eastAsia="en-CA"/>
        </w:rPr>
        <w:t>separator</w:t>
      </w:r>
      <w:proofErr w:type="gramEnd"/>
      <w:r w:rsidRPr="00486386">
        <w:rPr>
          <w:rFonts w:eastAsia="Times New Roman"/>
          <w:color w:val="0070C0"/>
          <w:sz w:val="18"/>
          <w:szCs w:val="18"/>
          <w:lang w:val="en-CA" w:eastAsia="en-CA"/>
        </w:rPr>
        <w:t> </w:t>
      </w:r>
    </w:p>
    <w:p w14:paraId="4681B1F3"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3</w:t>
      </w:r>
      <w:r w:rsidRPr="00486386">
        <w:rPr>
          <w:color w:val="0070C0"/>
        </w:rPr>
        <w:tab/>
      </w:r>
      <w:r w:rsidRPr="00486386">
        <w:rPr>
          <w:rFonts w:eastAsia="Times New Roman"/>
          <w:color w:val="0070C0"/>
          <w:sz w:val="18"/>
          <w:szCs w:val="18"/>
          <w:lang w:eastAsia="en-CA"/>
        </w:rPr>
        <w:t xml:space="preserve">negative </w:t>
      </w:r>
      <w:proofErr w:type="gramStart"/>
      <w:r w:rsidRPr="00486386">
        <w:rPr>
          <w:rFonts w:eastAsia="Times New Roman"/>
          <w:color w:val="0070C0"/>
          <w:sz w:val="18"/>
          <w:szCs w:val="18"/>
          <w:lang w:eastAsia="en-CA"/>
        </w:rPr>
        <w:t>electrode</w:t>
      </w:r>
      <w:proofErr w:type="gramEnd"/>
      <w:r w:rsidRPr="00486386">
        <w:rPr>
          <w:rFonts w:eastAsia="Times New Roman"/>
          <w:color w:val="0070C0"/>
          <w:sz w:val="18"/>
          <w:szCs w:val="18"/>
          <w:lang w:val="en-CA" w:eastAsia="en-CA"/>
        </w:rPr>
        <w:t> </w:t>
      </w:r>
    </w:p>
    <w:p w14:paraId="78948F9D"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a</w:t>
      </w:r>
      <w:r w:rsidRPr="00486386">
        <w:rPr>
          <w:color w:val="0070C0"/>
        </w:rPr>
        <w:tab/>
      </w:r>
      <w:r w:rsidRPr="00486386">
        <w:rPr>
          <w:rFonts w:eastAsia="Times New Roman"/>
          <w:color w:val="0070C0"/>
          <w:sz w:val="18"/>
          <w:szCs w:val="18"/>
          <w:lang w:eastAsia="en-CA"/>
        </w:rPr>
        <w:t>180 mm from end of positive electrode and 15 mm from end of negative electrode, tolerance ±5 mm</w:t>
      </w:r>
      <w:r w:rsidRPr="00486386">
        <w:rPr>
          <w:rFonts w:eastAsia="Times New Roman"/>
          <w:color w:val="0070C0"/>
          <w:sz w:val="18"/>
          <w:szCs w:val="18"/>
          <w:lang w:val="en-CA" w:eastAsia="en-CA"/>
        </w:rPr>
        <w:t> </w:t>
      </w:r>
    </w:p>
    <w:p w14:paraId="76568027"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val="en-CA" w:eastAsia="en-CA"/>
        </w:rPr>
        <w:t> </w:t>
      </w:r>
    </w:p>
    <w:p w14:paraId="6F7F5DC3" w14:textId="77777777" w:rsidR="00D30274" w:rsidRPr="00486386" w:rsidRDefault="00D30274" w:rsidP="00D30274">
      <w:pPr>
        <w:spacing w:line="240" w:lineRule="auto"/>
        <w:ind w:left="1125" w:right="1125"/>
        <w:textAlignment w:val="baseline"/>
        <w:rPr>
          <w:rFonts w:eastAsia="Times New Roman"/>
          <w:color w:val="0070C0"/>
          <w:lang w:val="en-CA" w:eastAsia="en-CA"/>
        </w:rPr>
      </w:pPr>
      <w:r w:rsidRPr="00486386">
        <w:rPr>
          <w:rFonts w:eastAsia="Times New Roman"/>
          <w:color w:val="0070C0"/>
          <w:lang w:eastAsia="en-CA"/>
        </w:rPr>
        <w:t>Figure 4</w:t>
      </w:r>
      <w:r w:rsidRPr="00486386">
        <w:rPr>
          <w:rFonts w:eastAsia="Times New Roman"/>
          <w:color w:val="0070C0"/>
          <w:lang w:val="en-CA" w:eastAsia="en-CA"/>
        </w:rPr>
        <w:t> </w:t>
      </w:r>
      <w:r w:rsidRPr="00486386">
        <w:rPr>
          <w:color w:val="0070C0"/>
        </w:rPr>
        <w:br/>
      </w:r>
      <w:r w:rsidRPr="00486386">
        <w:rPr>
          <w:rFonts w:eastAsia="Times New Roman"/>
          <w:b/>
          <w:bCs/>
          <w:color w:val="0070C0"/>
          <w:lang w:eastAsia="en-CA"/>
        </w:rPr>
        <w:t>Example of heater location inside the prismatic cell</w:t>
      </w:r>
      <w:r w:rsidRPr="00486386">
        <w:rPr>
          <w:rFonts w:eastAsia="Times New Roman"/>
          <w:color w:val="0070C0"/>
          <w:lang w:val="en-CA" w:eastAsia="en-CA"/>
        </w:rPr>
        <w:t> </w:t>
      </w:r>
    </w:p>
    <w:p w14:paraId="043CFCF3"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noProof/>
          <w:color w:val="0070C0"/>
          <w:lang w:eastAsia="zh-CN"/>
        </w:rPr>
        <w:lastRenderedPageBreak/>
        <w:drawing>
          <wp:inline distT="0" distB="0" distL="0" distR="0" wp14:anchorId="65A2A6AE" wp14:editId="2BE15B1F">
            <wp:extent cx="4714875" cy="2438400"/>
            <wp:effectExtent l="0" t="0" r="9525" b="0"/>
            <wp:docPr id="78165359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12">
                      <a:extLst>
                        <a:ext uri="{28A0092B-C50C-407E-A947-70E740481C1C}">
                          <a14:useLocalDpi xmlns:a14="http://schemas.microsoft.com/office/drawing/2010/main" val="0"/>
                        </a:ext>
                      </a:extLst>
                    </a:blip>
                    <a:stretch>
                      <a:fillRect/>
                    </a:stretch>
                  </pic:blipFill>
                  <pic:spPr>
                    <a:xfrm>
                      <a:off x="0" y="0"/>
                      <a:ext cx="4714875" cy="2438400"/>
                    </a:xfrm>
                    <a:prstGeom prst="rect">
                      <a:avLst/>
                    </a:prstGeom>
                  </pic:spPr>
                </pic:pic>
              </a:graphicData>
            </a:graphic>
          </wp:inline>
        </w:drawing>
      </w:r>
      <w:r w:rsidRPr="00486386">
        <w:rPr>
          <w:rFonts w:eastAsia="Times New Roman"/>
          <w:color w:val="0070C0"/>
          <w:lang w:val="en-CA" w:eastAsia="en-CA"/>
        </w:rPr>
        <w:t> </w:t>
      </w:r>
    </w:p>
    <w:p w14:paraId="32C0BA8A" w14:textId="77777777" w:rsidR="00D30274" w:rsidRPr="00486386" w:rsidRDefault="00D30274" w:rsidP="00D30274">
      <w:pPr>
        <w:spacing w:line="240" w:lineRule="auto"/>
        <w:ind w:left="1275" w:right="1125" w:hanging="1275"/>
        <w:jc w:val="both"/>
        <w:textAlignment w:val="baseline"/>
        <w:rPr>
          <w:rFonts w:eastAsia="Times New Roman"/>
          <w:color w:val="0070C0"/>
          <w:lang w:eastAsia="en-CA"/>
        </w:rPr>
      </w:pPr>
    </w:p>
    <w:p w14:paraId="26C105D1"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Key</w:t>
      </w:r>
      <w:r w:rsidRPr="00486386">
        <w:rPr>
          <w:rFonts w:eastAsia="Times New Roman"/>
          <w:color w:val="0070C0"/>
          <w:sz w:val="18"/>
          <w:szCs w:val="18"/>
          <w:lang w:val="en-CA" w:eastAsia="en-CA"/>
        </w:rPr>
        <w:t> </w:t>
      </w:r>
    </w:p>
    <w:p w14:paraId="5608F9EB"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1</w:t>
      </w:r>
      <w:r w:rsidRPr="00486386">
        <w:rPr>
          <w:color w:val="0070C0"/>
        </w:rPr>
        <w:tab/>
      </w:r>
      <w:r w:rsidRPr="00486386">
        <w:rPr>
          <w:rFonts w:eastAsia="Times New Roman"/>
          <w:color w:val="0070C0"/>
          <w:sz w:val="18"/>
          <w:szCs w:val="18"/>
          <w:lang w:eastAsia="en-CA"/>
        </w:rPr>
        <w:t>positive electrode</w:t>
      </w:r>
      <w:r w:rsidRPr="00486386">
        <w:rPr>
          <w:rFonts w:eastAsia="Times New Roman"/>
          <w:color w:val="0070C0"/>
          <w:sz w:val="18"/>
          <w:szCs w:val="18"/>
          <w:lang w:val="en-CA" w:eastAsia="en-CA"/>
        </w:rPr>
        <w:t> </w:t>
      </w:r>
    </w:p>
    <w:p w14:paraId="316881CA"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2</w:t>
      </w:r>
      <w:r w:rsidRPr="00486386">
        <w:rPr>
          <w:color w:val="0070C0"/>
        </w:rPr>
        <w:tab/>
      </w:r>
      <w:proofErr w:type="gramStart"/>
      <w:r w:rsidRPr="00486386">
        <w:rPr>
          <w:rFonts w:eastAsia="Times New Roman"/>
          <w:color w:val="0070C0"/>
          <w:sz w:val="18"/>
          <w:szCs w:val="18"/>
          <w:lang w:eastAsia="en-CA"/>
        </w:rPr>
        <w:t>separator</w:t>
      </w:r>
      <w:proofErr w:type="gramEnd"/>
      <w:r w:rsidRPr="00486386">
        <w:rPr>
          <w:rFonts w:eastAsia="Times New Roman"/>
          <w:color w:val="0070C0"/>
          <w:sz w:val="18"/>
          <w:szCs w:val="18"/>
          <w:lang w:val="en-CA" w:eastAsia="en-CA"/>
        </w:rPr>
        <w:t> </w:t>
      </w:r>
    </w:p>
    <w:p w14:paraId="1147FEEC"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3</w:t>
      </w:r>
      <w:r w:rsidRPr="00486386">
        <w:rPr>
          <w:color w:val="0070C0"/>
        </w:rPr>
        <w:tab/>
      </w:r>
      <w:r w:rsidRPr="00486386">
        <w:rPr>
          <w:rFonts w:eastAsia="Times New Roman"/>
          <w:color w:val="0070C0"/>
          <w:sz w:val="18"/>
          <w:szCs w:val="18"/>
          <w:lang w:eastAsia="en-CA"/>
        </w:rPr>
        <w:t xml:space="preserve">negative </w:t>
      </w:r>
      <w:proofErr w:type="gramStart"/>
      <w:r w:rsidRPr="00486386">
        <w:rPr>
          <w:rFonts w:eastAsia="Times New Roman"/>
          <w:color w:val="0070C0"/>
          <w:sz w:val="18"/>
          <w:szCs w:val="18"/>
          <w:lang w:eastAsia="en-CA"/>
        </w:rPr>
        <w:t>electrode</w:t>
      </w:r>
      <w:proofErr w:type="gramEnd"/>
      <w:r w:rsidRPr="00486386">
        <w:rPr>
          <w:rFonts w:eastAsia="Times New Roman"/>
          <w:color w:val="0070C0"/>
          <w:sz w:val="18"/>
          <w:szCs w:val="18"/>
          <w:lang w:val="en-CA" w:eastAsia="en-CA"/>
        </w:rPr>
        <w:t> </w:t>
      </w:r>
    </w:p>
    <w:p w14:paraId="120B63BA"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a</w:t>
      </w:r>
      <w:r w:rsidRPr="00486386">
        <w:rPr>
          <w:color w:val="0070C0"/>
        </w:rPr>
        <w:tab/>
      </w:r>
      <w:r w:rsidRPr="00486386">
        <w:rPr>
          <w:rFonts w:eastAsia="Times New Roman"/>
          <w:color w:val="0070C0"/>
          <w:sz w:val="18"/>
          <w:szCs w:val="18"/>
          <w:lang w:eastAsia="en-CA"/>
        </w:rPr>
        <w:t>180 mm from end of positive electrode and 15 mm from end of negative electrode, tolerance ±5 mm</w:t>
      </w:r>
      <w:r w:rsidRPr="00486386">
        <w:rPr>
          <w:rFonts w:eastAsia="Times New Roman"/>
          <w:color w:val="0070C0"/>
          <w:sz w:val="18"/>
          <w:szCs w:val="18"/>
          <w:lang w:val="en-CA" w:eastAsia="en-CA"/>
        </w:rPr>
        <w:t> </w:t>
      </w:r>
    </w:p>
    <w:p w14:paraId="59FD8EB1"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val="en-CA" w:eastAsia="en-CA"/>
        </w:rPr>
        <w:t> </w:t>
      </w:r>
    </w:p>
    <w:p w14:paraId="6F57F803" w14:textId="77777777" w:rsidR="00D30274" w:rsidRPr="00486386" w:rsidRDefault="00D30274" w:rsidP="00D30274">
      <w:pPr>
        <w:spacing w:line="240" w:lineRule="auto"/>
        <w:ind w:left="1125" w:right="1125"/>
        <w:textAlignment w:val="baseline"/>
        <w:rPr>
          <w:rFonts w:eastAsia="Times New Roman"/>
          <w:color w:val="0070C0"/>
          <w:lang w:val="en-CA" w:eastAsia="en-CA"/>
        </w:rPr>
      </w:pPr>
      <w:r w:rsidRPr="00486386">
        <w:rPr>
          <w:rFonts w:eastAsia="Times New Roman"/>
          <w:color w:val="0070C0"/>
          <w:lang w:eastAsia="en-CA"/>
        </w:rPr>
        <w:t>Figure 5</w:t>
      </w:r>
      <w:r w:rsidRPr="00486386">
        <w:rPr>
          <w:rFonts w:eastAsia="Times New Roman"/>
          <w:color w:val="0070C0"/>
          <w:lang w:val="en-CA" w:eastAsia="en-CA"/>
        </w:rPr>
        <w:t> </w:t>
      </w:r>
      <w:r w:rsidRPr="00486386">
        <w:rPr>
          <w:color w:val="0070C0"/>
        </w:rPr>
        <w:br/>
      </w:r>
      <w:r w:rsidRPr="00486386">
        <w:rPr>
          <w:rFonts w:eastAsia="Times New Roman"/>
          <w:b/>
          <w:bCs/>
          <w:color w:val="0070C0"/>
          <w:lang w:eastAsia="en-CA"/>
        </w:rPr>
        <w:t>Example of located on the last lap of negative electrode</w:t>
      </w:r>
      <w:r w:rsidRPr="00486386">
        <w:rPr>
          <w:rFonts w:eastAsia="Times New Roman"/>
          <w:color w:val="0070C0"/>
          <w:lang w:val="en-CA" w:eastAsia="en-CA"/>
        </w:rPr>
        <w:t> </w:t>
      </w:r>
    </w:p>
    <w:p w14:paraId="1CD27185" w14:textId="77777777" w:rsidR="00D30274" w:rsidRPr="00486386" w:rsidRDefault="00D30274" w:rsidP="00D30274">
      <w:pPr>
        <w:spacing w:line="240" w:lineRule="auto"/>
        <w:ind w:left="1125" w:right="1125"/>
        <w:textAlignment w:val="baseline"/>
        <w:rPr>
          <w:rFonts w:eastAsia="Times New Roman"/>
          <w:color w:val="0070C0"/>
          <w:lang w:val="en-CA" w:eastAsia="en-CA"/>
        </w:rPr>
      </w:pPr>
      <w:r w:rsidRPr="00486386">
        <w:rPr>
          <w:noProof/>
          <w:color w:val="0070C0"/>
          <w:lang w:eastAsia="zh-CN"/>
        </w:rPr>
        <w:drawing>
          <wp:inline distT="0" distB="0" distL="0" distR="0" wp14:anchorId="7F717C0A" wp14:editId="3FB08C49">
            <wp:extent cx="1428750" cy="1066800"/>
            <wp:effectExtent l="0" t="0" r="0" b="0"/>
            <wp:docPr id="189670236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13">
                      <a:extLst>
                        <a:ext uri="{28A0092B-C50C-407E-A947-70E740481C1C}">
                          <a14:useLocalDpi xmlns:a14="http://schemas.microsoft.com/office/drawing/2010/main" val="0"/>
                        </a:ext>
                      </a:extLst>
                    </a:blip>
                    <a:stretch>
                      <a:fillRect/>
                    </a:stretch>
                  </pic:blipFill>
                  <pic:spPr>
                    <a:xfrm>
                      <a:off x="0" y="0"/>
                      <a:ext cx="1428750" cy="1066800"/>
                    </a:xfrm>
                    <a:prstGeom prst="rect">
                      <a:avLst/>
                    </a:prstGeom>
                  </pic:spPr>
                </pic:pic>
              </a:graphicData>
            </a:graphic>
          </wp:inline>
        </w:drawing>
      </w:r>
      <w:r w:rsidRPr="00486386">
        <w:rPr>
          <w:rFonts w:eastAsia="Times New Roman"/>
          <w:color w:val="0070C0"/>
          <w:lang w:val="en-CA" w:eastAsia="en-CA"/>
        </w:rPr>
        <w:t> </w:t>
      </w:r>
    </w:p>
    <w:p w14:paraId="5059BA7B"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eastAsia="en-CA"/>
        </w:rPr>
        <w:t>2.4.</w:t>
      </w:r>
      <w:r w:rsidRPr="00486386">
        <w:rPr>
          <w:color w:val="0070C0"/>
        </w:rPr>
        <w:tab/>
      </w:r>
      <w:r w:rsidRPr="00486386">
        <w:rPr>
          <w:rFonts w:eastAsia="Times New Roman"/>
          <w:color w:val="0070C0"/>
          <w:lang w:eastAsia="en-CA"/>
        </w:rPr>
        <w:t>Step 4:</w:t>
      </w:r>
      <w:r w:rsidRPr="00486386">
        <w:rPr>
          <w:rFonts w:eastAsia="Times New Roman"/>
          <w:color w:val="0070C0"/>
          <w:lang w:val="en-CA" w:eastAsia="en-CA"/>
        </w:rPr>
        <w:t> </w:t>
      </w:r>
    </w:p>
    <w:p w14:paraId="1D53DF3F" w14:textId="77777777" w:rsidR="00D30274" w:rsidRPr="00486386" w:rsidRDefault="00D30274" w:rsidP="00D30274">
      <w:pPr>
        <w:spacing w:line="240" w:lineRule="auto"/>
        <w:ind w:left="1275" w:right="1125" w:hanging="150"/>
        <w:jc w:val="both"/>
        <w:textAlignment w:val="baseline"/>
        <w:rPr>
          <w:rFonts w:eastAsia="Times New Roman"/>
          <w:color w:val="0070C0"/>
          <w:lang w:val="en-CA" w:eastAsia="en-CA"/>
        </w:rPr>
      </w:pPr>
      <w:r w:rsidRPr="00486386">
        <w:rPr>
          <w:rFonts w:eastAsia="Times New Roman"/>
          <w:color w:val="0070C0"/>
          <w:lang w:eastAsia="en-CA"/>
        </w:rPr>
        <w:t>Wind the jelly roll with the heater (see Figure 6).</w:t>
      </w:r>
      <w:r w:rsidRPr="00486386">
        <w:rPr>
          <w:rFonts w:eastAsia="Times New Roman"/>
          <w:color w:val="0070C0"/>
          <w:lang w:val="en-CA" w:eastAsia="en-CA"/>
        </w:rPr>
        <w:t> </w:t>
      </w:r>
    </w:p>
    <w:p w14:paraId="35A83034" w14:textId="77777777" w:rsidR="00D30274" w:rsidRPr="00486386" w:rsidRDefault="00D30274" w:rsidP="00D30274">
      <w:pPr>
        <w:spacing w:line="240" w:lineRule="auto"/>
        <w:ind w:left="1125" w:right="1125"/>
        <w:textAlignment w:val="baseline"/>
        <w:rPr>
          <w:rFonts w:eastAsia="Times New Roman"/>
          <w:color w:val="0070C0"/>
          <w:lang w:val="en-CA" w:eastAsia="en-CA"/>
        </w:rPr>
      </w:pPr>
      <w:r w:rsidRPr="00486386">
        <w:rPr>
          <w:rFonts w:eastAsia="Times New Roman"/>
          <w:color w:val="0070C0"/>
          <w:lang w:eastAsia="en-CA"/>
        </w:rPr>
        <w:t>Figure 6</w:t>
      </w:r>
      <w:r w:rsidRPr="00486386">
        <w:rPr>
          <w:rFonts w:eastAsia="Times New Roman"/>
          <w:color w:val="0070C0"/>
          <w:lang w:val="en-CA" w:eastAsia="en-CA"/>
        </w:rPr>
        <w:t> </w:t>
      </w:r>
      <w:r w:rsidRPr="00486386">
        <w:rPr>
          <w:color w:val="0070C0"/>
        </w:rPr>
        <w:br/>
      </w:r>
      <w:r w:rsidRPr="00486386">
        <w:rPr>
          <w:rFonts w:eastAsia="Times New Roman"/>
          <w:b/>
          <w:bCs/>
          <w:color w:val="0070C0"/>
          <w:lang w:eastAsia="en-CA"/>
        </w:rPr>
        <w:t>Example of jelly roll equipped with heater</w:t>
      </w:r>
      <w:r w:rsidRPr="00486386">
        <w:rPr>
          <w:rFonts w:eastAsia="Times New Roman"/>
          <w:color w:val="0070C0"/>
          <w:lang w:val="en-CA" w:eastAsia="en-CA"/>
        </w:rPr>
        <w:t> </w:t>
      </w:r>
    </w:p>
    <w:p w14:paraId="104E1D33"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noProof/>
          <w:color w:val="0070C0"/>
          <w:lang w:eastAsia="zh-CN"/>
        </w:rPr>
        <w:drawing>
          <wp:inline distT="0" distB="0" distL="0" distR="0" wp14:anchorId="7302A1B6" wp14:editId="4702B11D">
            <wp:extent cx="3905250" cy="1000125"/>
            <wp:effectExtent l="0" t="0" r="0" b="9525"/>
            <wp:docPr id="197771067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14">
                      <a:extLst>
                        <a:ext uri="{28A0092B-C50C-407E-A947-70E740481C1C}">
                          <a14:useLocalDpi xmlns:a14="http://schemas.microsoft.com/office/drawing/2010/main" val="0"/>
                        </a:ext>
                      </a:extLst>
                    </a:blip>
                    <a:stretch>
                      <a:fillRect/>
                    </a:stretch>
                  </pic:blipFill>
                  <pic:spPr>
                    <a:xfrm>
                      <a:off x="0" y="0"/>
                      <a:ext cx="3905250" cy="1000125"/>
                    </a:xfrm>
                    <a:prstGeom prst="rect">
                      <a:avLst/>
                    </a:prstGeom>
                  </pic:spPr>
                </pic:pic>
              </a:graphicData>
            </a:graphic>
          </wp:inline>
        </w:drawing>
      </w:r>
      <w:r w:rsidRPr="00486386">
        <w:rPr>
          <w:rFonts w:eastAsia="Times New Roman"/>
          <w:color w:val="0070C0"/>
          <w:lang w:val="en-CA" w:eastAsia="en-CA"/>
        </w:rPr>
        <w:t> </w:t>
      </w:r>
    </w:p>
    <w:p w14:paraId="1FC2ECFE"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eastAsia="en-CA"/>
        </w:rPr>
        <w:t>2.5.</w:t>
      </w:r>
      <w:r w:rsidRPr="00486386">
        <w:rPr>
          <w:color w:val="0070C0"/>
        </w:rPr>
        <w:tab/>
      </w:r>
      <w:r w:rsidRPr="00486386">
        <w:rPr>
          <w:rFonts w:eastAsia="Times New Roman"/>
          <w:color w:val="0070C0"/>
          <w:lang w:eastAsia="en-CA"/>
        </w:rPr>
        <w:t>Step 5: </w:t>
      </w:r>
      <w:r w:rsidRPr="00486386">
        <w:rPr>
          <w:rFonts w:eastAsia="Times New Roman"/>
          <w:color w:val="0070C0"/>
          <w:lang w:val="en-CA" w:eastAsia="en-CA"/>
        </w:rPr>
        <w:t> </w:t>
      </w:r>
    </w:p>
    <w:p w14:paraId="140AA059"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All wires used in the REESS or REESS subsystem shall be electrically isolated.</w:t>
      </w:r>
      <w:r w:rsidRPr="00486386">
        <w:rPr>
          <w:rFonts w:eastAsia="Times New Roman"/>
          <w:color w:val="0070C0"/>
          <w:lang w:val="en-CA" w:eastAsia="en-CA"/>
        </w:rPr>
        <w:t> </w:t>
      </w:r>
    </w:p>
    <w:p w14:paraId="76B62229"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The cell shall be assembled according to standard manufacturing processes (e.g. electrolyte filling, cover welding), ensuring no electrolyte or gases can leak out through the space between the wire strand and the wire insulator.</w:t>
      </w:r>
      <w:r w:rsidRPr="00486386">
        <w:rPr>
          <w:rFonts w:eastAsia="Times New Roman"/>
          <w:color w:val="0070C0"/>
          <w:lang w:val="en-CA" w:eastAsia="en-CA"/>
        </w:rPr>
        <w:t> </w:t>
      </w:r>
    </w:p>
    <w:p w14:paraId="44498910"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Selection of resin is critical as the strength of seal shall be greater than any installed vent of the cell. </w:t>
      </w:r>
      <w:r w:rsidRPr="00486386">
        <w:rPr>
          <w:rFonts w:eastAsia="Times New Roman"/>
          <w:color w:val="0070C0"/>
          <w:lang w:val="en-CA" w:eastAsia="en-CA"/>
        </w:rPr>
        <w:t> </w:t>
      </w:r>
    </w:p>
    <w:p w14:paraId="541C028D"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After the resin is completely dry, carry out a helium test to check the sealing before filling the cell with electrolyte.</w:t>
      </w:r>
      <w:r w:rsidRPr="00486386">
        <w:rPr>
          <w:rFonts w:eastAsia="Times New Roman"/>
          <w:color w:val="0070C0"/>
          <w:lang w:val="en-CA" w:eastAsia="en-CA"/>
        </w:rPr>
        <w:t> </w:t>
      </w:r>
    </w:p>
    <w:p w14:paraId="519ACFF6" w14:textId="77777777" w:rsidR="00D30274" w:rsidRPr="00486386" w:rsidRDefault="00D30274" w:rsidP="00D30274">
      <w:pPr>
        <w:spacing w:line="240" w:lineRule="auto"/>
        <w:ind w:left="1125" w:right="1125"/>
        <w:textAlignment w:val="baseline"/>
        <w:rPr>
          <w:rFonts w:eastAsia="Times New Roman"/>
          <w:color w:val="0070C0"/>
          <w:lang w:val="en-CA" w:eastAsia="en-CA"/>
        </w:rPr>
      </w:pPr>
      <w:r w:rsidRPr="00486386">
        <w:rPr>
          <w:rFonts w:eastAsia="Times New Roman"/>
          <w:color w:val="0070C0"/>
          <w:lang w:eastAsia="en-CA"/>
        </w:rPr>
        <w:t>Figure 7</w:t>
      </w:r>
      <w:r w:rsidRPr="00486386">
        <w:rPr>
          <w:rFonts w:eastAsia="Times New Roman"/>
          <w:color w:val="0070C0"/>
          <w:lang w:val="en-CA" w:eastAsia="en-CA"/>
        </w:rPr>
        <w:t> </w:t>
      </w:r>
      <w:r w:rsidRPr="00486386">
        <w:rPr>
          <w:color w:val="0070C0"/>
        </w:rPr>
        <w:br/>
      </w:r>
      <w:r w:rsidRPr="00486386">
        <w:rPr>
          <w:rFonts w:eastAsia="Times New Roman"/>
          <w:b/>
          <w:bCs/>
          <w:color w:val="0070C0"/>
          <w:lang w:eastAsia="en-CA"/>
        </w:rPr>
        <w:t>Example of finished cell with heater</w:t>
      </w:r>
      <w:r w:rsidRPr="00486386">
        <w:rPr>
          <w:rFonts w:eastAsia="Times New Roman"/>
          <w:color w:val="0070C0"/>
          <w:lang w:val="en-CA" w:eastAsia="en-CA"/>
        </w:rPr>
        <w:t> </w:t>
      </w:r>
    </w:p>
    <w:p w14:paraId="3B28EA0F"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noProof/>
          <w:color w:val="0070C0"/>
          <w:lang w:eastAsia="zh-CN"/>
        </w:rPr>
        <w:lastRenderedPageBreak/>
        <w:drawing>
          <wp:inline distT="0" distB="0" distL="0" distR="0" wp14:anchorId="4D5171E3" wp14:editId="488AEED3">
            <wp:extent cx="1676400" cy="1590675"/>
            <wp:effectExtent l="0" t="0" r="0" b="9525"/>
            <wp:docPr id="38694324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15">
                      <a:extLst>
                        <a:ext uri="{28A0092B-C50C-407E-A947-70E740481C1C}">
                          <a14:useLocalDpi xmlns:a14="http://schemas.microsoft.com/office/drawing/2010/main" val="0"/>
                        </a:ext>
                      </a:extLst>
                    </a:blip>
                    <a:stretch>
                      <a:fillRect/>
                    </a:stretch>
                  </pic:blipFill>
                  <pic:spPr>
                    <a:xfrm>
                      <a:off x="0" y="0"/>
                      <a:ext cx="1676400" cy="1590675"/>
                    </a:xfrm>
                    <a:prstGeom prst="rect">
                      <a:avLst/>
                    </a:prstGeom>
                  </pic:spPr>
                </pic:pic>
              </a:graphicData>
            </a:graphic>
          </wp:inline>
        </w:drawing>
      </w:r>
      <w:r w:rsidRPr="00486386">
        <w:rPr>
          <w:rFonts w:eastAsia="Times New Roman"/>
          <w:color w:val="0070C0"/>
          <w:lang w:val="en-CA" w:eastAsia="en-CA"/>
        </w:rPr>
        <w:t> </w:t>
      </w:r>
    </w:p>
    <w:p w14:paraId="2BA80530"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Key</w:t>
      </w:r>
      <w:r w:rsidRPr="00486386">
        <w:rPr>
          <w:rFonts w:eastAsia="Times New Roman"/>
          <w:color w:val="0070C0"/>
          <w:sz w:val="18"/>
          <w:szCs w:val="18"/>
          <w:lang w:val="en-CA" w:eastAsia="en-CA"/>
        </w:rPr>
        <w:t> </w:t>
      </w:r>
    </w:p>
    <w:p w14:paraId="67DBBDB4"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1</w:t>
      </w:r>
      <w:r w:rsidRPr="00486386">
        <w:rPr>
          <w:color w:val="0070C0"/>
        </w:rPr>
        <w:tab/>
      </w:r>
      <w:r w:rsidRPr="00486386">
        <w:rPr>
          <w:rFonts w:eastAsia="Times New Roman"/>
          <w:color w:val="0070C0"/>
          <w:sz w:val="18"/>
          <w:szCs w:val="18"/>
          <w:lang w:eastAsia="en-CA"/>
        </w:rPr>
        <w:t>resin for sealing the heater supply</w:t>
      </w:r>
      <w:r w:rsidRPr="00486386">
        <w:rPr>
          <w:rFonts w:eastAsia="Times New Roman"/>
          <w:color w:val="0070C0"/>
          <w:sz w:val="18"/>
          <w:szCs w:val="18"/>
          <w:lang w:val="en-CA" w:eastAsia="en-CA"/>
        </w:rPr>
        <w:t> </w:t>
      </w:r>
    </w:p>
    <w:p w14:paraId="7409963A" w14:textId="77777777" w:rsidR="00D30274" w:rsidRPr="00486386" w:rsidRDefault="00D30274" w:rsidP="00D30274">
      <w:pPr>
        <w:spacing w:line="240" w:lineRule="auto"/>
        <w:ind w:left="1275" w:right="1125" w:hanging="315"/>
        <w:jc w:val="both"/>
        <w:textAlignment w:val="baseline"/>
        <w:rPr>
          <w:rFonts w:eastAsia="Times New Roman"/>
          <w:color w:val="0070C0"/>
          <w:lang w:val="en-CA" w:eastAsia="en-CA"/>
        </w:rPr>
      </w:pPr>
      <w:r w:rsidRPr="00486386">
        <w:rPr>
          <w:rFonts w:eastAsia="Times New Roman"/>
          <w:color w:val="0070C0"/>
          <w:sz w:val="18"/>
          <w:szCs w:val="18"/>
          <w:lang w:eastAsia="en-CA"/>
        </w:rPr>
        <w:t>2</w:t>
      </w:r>
      <w:r w:rsidRPr="00486386">
        <w:rPr>
          <w:color w:val="0070C0"/>
        </w:rPr>
        <w:tab/>
      </w:r>
      <w:r w:rsidRPr="00486386">
        <w:rPr>
          <w:rFonts w:eastAsia="Times New Roman"/>
          <w:color w:val="0070C0"/>
          <w:sz w:val="18"/>
          <w:szCs w:val="18"/>
          <w:lang w:eastAsia="en-CA"/>
        </w:rPr>
        <w:t>supply wires of the heater</w:t>
      </w:r>
      <w:r w:rsidRPr="00486386">
        <w:rPr>
          <w:rFonts w:eastAsia="Times New Roman"/>
          <w:color w:val="0070C0"/>
          <w:sz w:val="18"/>
          <w:szCs w:val="18"/>
          <w:lang w:val="en-CA" w:eastAsia="en-CA"/>
        </w:rPr>
        <w:t> </w:t>
      </w:r>
    </w:p>
    <w:p w14:paraId="2ED5283B"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val="en-CA" w:eastAsia="en-CA"/>
        </w:rPr>
        <w:t> </w:t>
      </w:r>
    </w:p>
    <w:p w14:paraId="42752E55" w14:textId="77777777" w:rsidR="00D30274" w:rsidRPr="00486386" w:rsidRDefault="00D30274" w:rsidP="00D30274">
      <w:pPr>
        <w:spacing w:line="240" w:lineRule="auto"/>
        <w:ind w:left="1125" w:right="1125"/>
        <w:textAlignment w:val="baseline"/>
        <w:rPr>
          <w:rFonts w:eastAsia="Times New Roman"/>
          <w:color w:val="0070C0"/>
          <w:lang w:val="en-CA" w:eastAsia="en-CA"/>
        </w:rPr>
      </w:pPr>
      <w:r w:rsidRPr="00486386">
        <w:rPr>
          <w:rFonts w:eastAsia="Times New Roman"/>
          <w:color w:val="0070C0"/>
          <w:lang w:eastAsia="en-CA"/>
        </w:rPr>
        <w:t>Figure 8</w:t>
      </w:r>
      <w:r w:rsidRPr="00486386">
        <w:rPr>
          <w:rFonts w:eastAsia="Times New Roman"/>
          <w:color w:val="0070C0"/>
          <w:lang w:val="en-CA" w:eastAsia="en-CA"/>
        </w:rPr>
        <w:t> </w:t>
      </w:r>
      <w:r w:rsidRPr="00486386">
        <w:rPr>
          <w:color w:val="0070C0"/>
        </w:rPr>
        <w:br/>
      </w:r>
      <w:r w:rsidRPr="00486386">
        <w:rPr>
          <w:rFonts w:eastAsia="Times New Roman"/>
          <w:b/>
          <w:bCs/>
          <w:color w:val="0070C0"/>
          <w:lang w:eastAsia="en-CA"/>
        </w:rPr>
        <w:t>Example of cell before filling with electrolyte</w:t>
      </w:r>
      <w:r w:rsidRPr="00486386">
        <w:rPr>
          <w:rFonts w:eastAsia="Times New Roman"/>
          <w:color w:val="0070C0"/>
          <w:lang w:val="en-CA" w:eastAsia="en-CA"/>
        </w:rPr>
        <w:t> </w:t>
      </w:r>
    </w:p>
    <w:p w14:paraId="247F56FC"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noProof/>
          <w:color w:val="0070C0"/>
          <w:lang w:eastAsia="zh-CN"/>
        </w:rPr>
        <w:drawing>
          <wp:inline distT="0" distB="0" distL="0" distR="0" wp14:anchorId="14F8FAEF" wp14:editId="2EBF53FB">
            <wp:extent cx="2647950" cy="1866900"/>
            <wp:effectExtent l="0" t="0" r="0" b="0"/>
            <wp:docPr id="164616880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16">
                      <a:extLst>
                        <a:ext uri="{28A0092B-C50C-407E-A947-70E740481C1C}">
                          <a14:useLocalDpi xmlns:a14="http://schemas.microsoft.com/office/drawing/2010/main" val="0"/>
                        </a:ext>
                      </a:extLst>
                    </a:blip>
                    <a:stretch>
                      <a:fillRect/>
                    </a:stretch>
                  </pic:blipFill>
                  <pic:spPr>
                    <a:xfrm>
                      <a:off x="0" y="0"/>
                      <a:ext cx="2647950" cy="1866900"/>
                    </a:xfrm>
                    <a:prstGeom prst="rect">
                      <a:avLst/>
                    </a:prstGeom>
                  </pic:spPr>
                </pic:pic>
              </a:graphicData>
            </a:graphic>
          </wp:inline>
        </w:drawing>
      </w:r>
      <w:r w:rsidRPr="00486386">
        <w:rPr>
          <w:rFonts w:eastAsia="Times New Roman"/>
          <w:color w:val="0070C0"/>
          <w:lang w:val="en-CA" w:eastAsia="en-CA"/>
        </w:rPr>
        <w:t> </w:t>
      </w:r>
    </w:p>
    <w:p w14:paraId="4438CECC"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val="en-CA" w:eastAsia="en-CA"/>
        </w:rPr>
        <w:t> </w:t>
      </w:r>
    </w:p>
    <w:p w14:paraId="52624C5D"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eastAsia="en-CA"/>
        </w:rPr>
        <w:t>2.6.</w:t>
      </w:r>
      <w:r w:rsidRPr="00486386">
        <w:rPr>
          <w:color w:val="0070C0"/>
        </w:rPr>
        <w:tab/>
      </w:r>
      <w:r w:rsidRPr="00486386">
        <w:rPr>
          <w:rFonts w:eastAsia="Times New Roman"/>
          <w:color w:val="0070C0"/>
          <w:lang w:eastAsia="en-CA"/>
        </w:rPr>
        <w:t>Step 6:</w:t>
      </w:r>
      <w:r w:rsidRPr="00486386">
        <w:rPr>
          <w:rFonts w:eastAsia="Times New Roman"/>
          <w:color w:val="0070C0"/>
          <w:lang w:val="en-CA" w:eastAsia="en-CA"/>
        </w:rPr>
        <w:t> </w:t>
      </w:r>
    </w:p>
    <w:p w14:paraId="201866FA"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The initiation cell shall be assembled inside the REESS or REESS subsystem, which could be modified to make sure the electrical feedthrough of the heater can come out of cell block.</w:t>
      </w:r>
    </w:p>
    <w:p w14:paraId="63333A78"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r w:rsidRPr="00486386">
        <w:rPr>
          <w:rFonts w:eastAsia="Times New Roman"/>
          <w:color w:val="0070C0"/>
          <w:lang w:val="en-CA" w:eastAsia="en-CA"/>
        </w:rPr>
        <w:t> </w:t>
      </w:r>
    </w:p>
    <w:p w14:paraId="3F56E988"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For a vehicle level test, mount the REESS on the vehicle, according to manufacturer’s specifications.</w:t>
      </w:r>
      <w:r w:rsidRPr="00486386">
        <w:rPr>
          <w:rFonts w:eastAsia="Times New Roman"/>
          <w:color w:val="0070C0"/>
          <w:lang w:val="en-CA" w:eastAsia="en-CA"/>
        </w:rPr>
        <w:t> </w:t>
      </w:r>
    </w:p>
    <w:p w14:paraId="0449DB61"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eastAsia="en-CA"/>
        </w:rPr>
        <w:t>3.</w:t>
      </w:r>
      <w:r w:rsidRPr="00486386">
        <w:rPr>
          <w:color w:val="0070C0"/>
        </w:rPr>
        <w:tab/>
      </w:r>
      <w:r w:rsidRPr="00486386">
        <w:rPr>
          <w:rFonts w:eastAsia="Times New Roman"/>
          <w:color w:val="0070C0"/>
          <w:lang w:eastAsia="en-CA"/>
        </w:rPr>
        <w:t>Test Procedure for the Vehicle-Based Test</w:t>
      </w:r>
      <w:r w:rsidRPr="00486386">
        <w:rPr>
          <w:rFonts w:eastAsia="Times New Roman"/>
          <w:color w:val="0070C0"/>
          <w:lang w:val="en-CA" w:eastAsia="en-CA"/>
        </w:rPr>
        <w:t> </w:t>
      </w:r>
    </w:p>
    <w:p w14:paraId="2071CAF8"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The general conditions in Annex 3, paragraph 3. shall be satisfied when the method is implemented with the vehicle.</w:t>
      </w:r>
      <w:r w:rsidRPr="00486386">
        <w:rPr>
          <w:rFonts w:eastAsia="Times New Roman"/>
          <w:color w:val="0070C0"/>
          <w:lang w:val="en-CA" w:eastAsia="en-CA"/>
        </w:rPr>
        <w:t> </w:t>
      </w:r>
    </w:p>
    <w:p w14:paraId="48843E72"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lang w:eastAsia="en-CA"/>
        </w:rPr>
        <w:t>(a)</w:t>
      </w:r>
      <w:r w:rsidRPr="00486386">
        <w:rPr>
          <w:color w:val="0070C0"/>
        </w:rPr>
        <w:tab/>
      </w:r>
      <w:r w:rsidRPr="00486386">
        <w:rPr>
          <w:rFonts w:eastAsia="Times New Roman"/>
          <w:color w:val="0070C0"/>
          <w:lang w:eastAsia="en-CA"/>
        </w:rPr>
        <w:t>Instrument the REESS and the vehicle as outlined above and place the vehicle in the active-driving possible mode. Make sure that the cooling and communication system operate as intended.</w:t>
      </w:r>
      <w:r w:rsidRPr="00486386">
        <w:rPr>
          <w:rFonts w:eastAsia="Times New Roman"/>
          <w:color w:val="0070C0"/>
          <w:lang w:val="en-CA" w:eastAsia="en-CA"/>
        </w:rPr>
        <w:t> </w:t>
      </w:r>
    </w:p>
    <w:p w14:paraId="145C77A7"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lang w:eastAsia="en-CA"/>
        </w:rPr>
        <w:t>(b)</w:t>
      </w:r>
      <w:r w:rsidRPr="00486386">
        <w:rPr>
          <w:color w:val="0070C0"/>
        </w:rPr>
        <w:tab/>
      </w:r>
      <w:r w:rsidRPr="00486386">
        <w:rPr>
          <w:rFonts w:eastAsia="Times New Roman"/>
          <w:color w:val="0070C0"/>
          <w:lang w:eastAsia="en-CA"/>
        </w:rPr>
        <w:t>Start recording the data that are needed to determine if thermal runaway and/or thermal propagation occur. Verify that fault codes or failures relevant for the outcome of the test are not in the system. </w:t>
      </w:r>
      <w:r w:rsidRPr="00486386">
        <w:rPr>
          <w:rFonts w:eastAsia="Times New Roman"/>
          <w:color w:val="0070C0"/>
          <w:lang w:val="en-CA" w:eastAsia="en-CA"/>
        </w:rPr>
        <w:t> </w:t>
      </w:r>
    </w:p>
    <w:p w14:paraId="3A670C26"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lang w:eastAsia="en-CA"/>
        </w:rPr>
        <w:t>(c)</w:t>
      </w:r>
      <w:r w:rsidRPr="00486386">
        <w:rPr>
          <w:color w:val="0070C0"/>
        </w:rPr>
        <w:tab/>
      </w:r>
      <w:r w:rsidRPr="00486386">
        <w:rPr>
          <w:rFonts w:eastAsia="Times New Roman"/>
          <w:color w:val="0070C0"/>
          <w:lang w:eastAsia="en-CA"/>
        </w:rPr>
        <w:t>Begin sending power to the heating element.</w:t>
      </w:r>
      <w:r w:rsidRPr="00486386">
        <w:rPr>
          <w:rFonts w:eastAsia="Times New Roman"/>
          <w:color w:val="0070C0"/>
          <w:lang w:val="en-CA" w:eastAsia="en-CA"/>
        </w:rPr>
        <w:t> </w:t>
      </w:r>
    </w:p>
    <w:p w14:paraId="1E49D66A"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lang w:eastAsia="en-CA"/>
        </w:rPr>
        <w:t>(d)</w:t>
      </w:r>
      <w:r w:rsidRPr="00486386">
        <w:rPr>
          <w:color w:val="0070C0"/>
        </w:rPr>
        <w:tab/>
      </w:r>
      <w:r w:rsidRPr="00486386">
        <w:rPr>
          <w:rFonts w:eastAsia="Times New Roman"/>
          <w:color w:val="0070C0"/>
          <w:lang w:eastAsia="en-CA"/>
        </w:rPr>
        <w:t>Switch off the heater immediately when thermal runaway is confirmed or after a total energy input to the heater reaches 20 % of initiation cell electric energy. </w:t>
      </w:r>
      <w:r w:rsidRPr="00486386">
        <w:rPr>
          <w:rFonts w:eastAsia="Times New Roman"/>
          <w:color w:val="0070C0"/>
          <w:lang w:val="en-CA" w:eastAsia="en-CA"/>
        </w:rPr>
        <w:t> </w:t>
      </w:r>
    </w:p>
    <w:p w14:paraId="11B3545D"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lang w:eastAsia="en-CA"/>
        </w:rPr>
        <w:t>(e)</w:t>
      </w:r>
      <w:r w:rsidRPr="00486386">
        <w:rPr>
          <w:color w:val="0070C0"/>
        </w:rPr>
        <w:tab/>
      </w:r>
      <w:r w:rsidRPr="00486386">
        <w:rPr>
          <w:rFonts w:eastAsia="Times New Roman"/>
          <w:color w:val="0070C0"/>
          <w:lang w:eastAsia="en-CA"/>
        </w:rPr>
        <w:t xml:space="preserve">If (d) is satisfied, but no thermal runaway has occurred in the initiation cell during the observation period of 1 hour after the opening of the </w:t>
      </w:r>
      <w:r w:rsidRPr="00486386">
        <w:rPr>
          <w:rFonts w:eastAsia="Times New Roman"/>
          <w:color w:val="0070C0"/>
          <w:lang w:eastAsia="en-CA"/>
        </w:rPr>
        <w:lastRenderedPageBreak/>
        <w:t>heater relay, the REESS type is considered to comply with this requirement.</w:t>
      </w:r>
      <w:r w:rsidRPr="00486386">
        <w:rPr>
          <w:rFonts w:eastAsia="Times New Roman"/>
          <w:color w:val="0070C0"/>
          <w:lang w:val="en-CA" w:eastAsia="en-CA"/>
        </w:rPr>
        <w:t> </w:t>
      </w:r>
    </w:p>
    <w:p w14:paraId="27B81B93"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lang w:eastAsia="en-CA"/>
        </w:rPr>
        <w:t>(f)</w:t>
      </w:r>
      <w:r w:rsidRPr="00486386">
        <w:rPr>
          <w:color w:val="0070C0"/>
        </w:rPr>
        <w:tab/>
      </w:r>
      <w:r w:rsidRPr="00486386">
        <w:rPr>
          <w:rFonts w:eastAsia="Times New Roman"/>
          <w:color w:val="0070C0"/>
          <w:lang w:eastAsia="en-CA"/>
        </w:rPr>
        <w:t>The test ends when one of the conditions specified below is met:</w:t>
      </w:r>
      <w:r w:rsidRPr="00486386">
        <w:rPr>
          <w:rFonts w:eastAsia="Times New Roman"/>
          <w:color w:val="0070C0"/>
          <w:lang w:val="en-CA" w:eastAsia="en-CA"/>
        </w:rPr>
        <w:t> </w:t>
      </w:r>
    </w:p>
    <w:p w14:paraId="5D069B2F" w14:textId="77777777" w:rsidR="00D30274" w:rsidRPr="00486386" w:rsidRDefault="00D30274" w:rsidP="00D30274">
      <w:pPr>
        <w:spacing w:line="240" w:lineRule="auto"/>
        <w:ind w:left="3195" w:right="1125" w:hanging="630"/>
        <w:jc w:val="both"/>
        <w:textAlignment w:val="baseline"/>
        <w:rPr>
          <w:rFonts w:eastAsia="Times New Roman"/>
          <w:color w:val="0070C0"/>
          <w:lang w:val="en-CA" w:eastAsia="en-CA"/>
        </w:rPr>
      </w:pPr>
      <w:r w:rsidRPr="00486386">
        <w:rPr>
          <w:rFonts w:eastAsia="Times New Roman"/>
          <w:color w:val="0070C0"/>
          <w:lang w:eastAsia="en-CA"/>
        </w:rPr>
        <w:t>(</w:t>
      </w:r>
      <w:proofErr w:type="spellStart"/>
      <w:r w:rsidRPr="00486386">
        <w:rPr>
          <w:rFonts w:eastAsia="Times New Roman"/>
          <w:color w:val="0070C0"/>
          <w:lang w:eastAsia="en-CA"/>
        </w:rPr>
        <w:t>i</w:t>
      </w:r>
      <w:proofErr w:type="spellEnd"/>
      <w:r w:rsidRPr="00486386">
        <w:rPr>
          <w:rFonts w:eastAsia="Times New Roman"/>
          <w:color w:val="0070C0"/>
          <w:lang w:eastAsia="en-CA"/>
        </w:rPr>
        <w:t>)</w:t>
      </w:r>
      <w:r w:rsidRPr="00486386">
        <w:rPr>
          <w:color w:val="0070C0"/>
        </w:rPr>
        <w:tab/>
      </w:r>
      <w:r w:rsidRPr="00486386">
        <w:rPr>
          <w:rFonts w:eastAsia="Times New Roman"/>
          <w:color w:val="0070C0"/>
          <w:lang w:eastAsia="en-CA"/>
        </w:rPr>
        <w:t>The initiation is stopped in accordance with the subparagraph (d) above followed by an observation period of 1 hour; or</w:t>
      </w:r>
      <w:r w:rsidRPr="00486386">
        <w:rPr>
          <w:rFonts w:eastAsia="Times New Roman"/>
          <w:color w:val="0070C0"/>
          <w:lang w:val="en-CA" w:eastAsia="en-CA"/>
        </w:rPr>
        <w:t> </w:t>
      </w:r>
    </w:p>
    <w:p w14:paraId="617C5089" w14:textId="77777777" w:rsidR="00D30274" w:rsidRPr="00486386" w:rsidRDefault="00D30274" w:rsidP="00D30274">
      <w:pPr>
        <w:spacing w:line="240" w:lineRule="auto"/>
        <w:ind w:left="3195" w:right="1125" w:hanging="630"/>
        <w:jc w:val="both"/>
        <w:textAlignment w:val="baseline"/>
        <w:rPr>
          <w:rFonts w:eastAsia="Times New Roman"/>
          <w:color w:val="0070C0"/>
          <w:lang w:val="en-CA" w:eastAsia="en-CA"/>
        </w:rPr>
      </w:pPr>
      <w:r w:rsidRPr="00486386">
        <w:rPr>
          <w:rFonts w:eastAsia="Times New Roman"/>
          <w:color w:val="0070C0"/>
          <w:lang w:eastAsia="en-CA"/>
        </w:rPr>
        <w:t>(ii)</w:t>
      </w:r>
      <w:r w:rsidRPr="00486386">
        <w:rPr>
          <w:color w:val="0070C0"/>
        </w:rPr>
        <w:tab/>
      </w:r>
      <w:r w:rsidRPr="00486386">
        <w:rPr>
          <w:rFonts w:eastAsia="Times New Roman"/>
          <w:color w:val="0070C0"/>
          <w:lang w:eastAsia="en-CA"/>
        </w:rPr>
        <w:t>At least 5 minutes elapse after the activation of the warning indication, if thermal propagation is observed; or</w:t>
      </w:r>
      <w:r w:rsidRPr="00486386">
        <w:rPr>
          <w:rFonts w:eastAsia="Times New Roman"/>
          <w:color w:val="0070C0"/>
          <w:lang w:val="en-CA" w:eastAsia="en-CA"/>
        </w:rPr>
        <w:t> </w:t>
      </w:r>
    </w:p>
    <w:p w14:paraId="792A7846" w14:textId="77777777" w:rsidR="00D30274" w:rsidRPr="00486386" w:rsidRDefault="00D30274" w:rsidP="00D30274">
      <w:pPr>
        <w:spacing w:line="240" w:lineRule="auto"/>
        <w:ind w:left="3195" w:right="1125" w:hanging="630"/>
        <w:jc w:val="both"/>
        <w:textAlignment w:val="baseline"/>
        <w:rPr>
          <w:rFonts w:eastAsia="Times New Roman"/>
          <w:color w:val="0070C0"/>
          <w:lang w:val="en-CA" w:eastAsia="en-CA"/>
        </w:rPr>
      </w:pPr>
      <w:r w:rsidRPr="00486386">
        <w:rPr>
          <w:rFonts w:eastAsia="Times New Roman"/>
          <w:color w:val="0070C0"/>
          <w:lang w:eastAsia="en-CA"/>
        </w:rPr>
        <w:t>(iii)</w:t>
      </w:r>
      <w:r w:rsidRPr="00486386">
        <w:rPr>
          <w:color w:val="0070C0"/>
        </w:rPr>
        <w:tab/>
      </w:r>
      <w:r w:rsidRPr="00486386">
        <w:rPr>
          <w:rFonts w:eastAsia="Times New Roman"/>
          <w:color w:val="0070C0"/>
          <w:lang w:eastAsia="en-CA"/>
        </w:rPr>
        <w:t>If thermal runaway has occurred in the initiation cell, but no thermal propagation ensued, the observation period of 2 hours after the confirmation of thermal runaway is applied to Tested-Device.</w:t>
      </w:r>
      <w:r w:rsidRPr="00486386">
        <w:rPr>
          <w:rFonts w:eastAsia="Times New Roman"/>
          <w:color w:val="0070C0"/>
          <w:lang w:val="en-CA" w:eastAsia="en-CA"/>
        </w:rPr>
        <w:t> </w:t>
      </w:r>
    </w:p>
    <w:p w14:paraId="6D5513D5" w14:textId="77777777" w:rsidR="00D30274" w:rsidRPr="00486386" w:rsidRDefault="00D30274" w:rsidP="00D30274">
      <w:pPr>
        <w:spacing w:line="240" w:lineRule="auto"/>
        <w:ind w:left="1275" w:right="1125" w:hanging="1275"/>
        <w:jc w:val="both"/>
        <w:textAlignment w:val="baseline"/>
        <w:rPr>
          <w:rFonts w:eastAsia="Times New Roman"/>
          <w:color w:val="0070C0"/>
          <w:lang w:val="en-CA" w:eastAsia="en-CA"/>
        </w:rPr>
      </w:pPr>
      <w:r w:rsidRPr="00486386">
        <w:rPr>
          <w:rFonts w:eastAsia="Times New Roman"/>
          <w:color w:val="0070C0"/>
          <w:lang w:eastAsia="en-CA"/>
        </w:rPr>
        <w:t>4.</w:t>
      </w:r>
      <w:r w:rsidRPr="00486386">
        <w:rPr>
          <w:color w:val="0070C0"/>
        </w:rPr>
        <w:tab/>
      </w:r>
      <w:r w:rsidRPr="00486386">
        <w:rPr>
          <w:rFonts w:eastAsia="Times New Roman"/>
          <w:color w:val="0070C0"/>
          <w:lang w:eastAsia="en-CA"/>
        </w:rPr>
        <w:t>Test procedure for the component-based test</w:t>
      </w:r>
      <w:r w:rsidRPr="00486386">
        <w:rPr>
          <w:rFonts w:eastAsia="Times New Roman"/>
          <w:color w:val="0070C0"/>
          <w:lang w:val="en-CA" w:eastAsia="en-CA"/>
        </w:rPr>
        <w:t> </w:t>
      </w:r>
    </w:p>
    <w:p w14:paraId="73E6BCB3" w14:textId="77777777" w:rsidR="00D30274" w:rsidRPr="00486386" w:rsidRDefault="00D30274" w:rsidP="00D30274">
      <w:pPr>
        <w:spacing w:line="240" w:lineRule="auto"/>
        <w:ind w:left="1275" w:right="1125"/>
        <w:jc w:val="both"/>
        <w:textAlignment w:val="baseline"/>
        <w:rPr>
          <w:rFonts w:eastAsia="Times New Roman"/>
          <w:color w:val="0070C0"/>
          <w:lang w:val="en-CA" w:eastAsia="en-CA"/>
        </w:rPr>
      </w:pPr>
      <w:r w:rsidRPr="00486386">
        <w:rPr>
          <w:rFonts w:eastAsia="Times New Roman"/>
          <w:color w:val="0070C0"/>
          <w:lang w:eastAsia="en-CA"/>
        </w:rPr>
        <w:t>The general conditions in Annex 3, paragraph 3. shall be satisfied when the method is implemented on the REESS or REESS subsystem.</w:t>
      </w:r>
      <w:r w:rsidRPr="00486386">
        <w:rPr>
          <w:rFonts w:eastAsia="Times New Roman"/>
          <w:color w:val="0070C0"/>
          <w:lang w:val="en-CA" w:eastAsia="en-CA"/>
        </w:rPr>
        <w:t> </w:t>
      </w:r>
    </w:p>
    <w:p w14:paraId="75E215A3"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lang w:eastAsia="en-CA"/>
        </w:rPr>
        <w:t>(a)</w:t>
      </w:r>
      <w:r w:rsidRPr="00486386">
        <w:rPr>
          <w:color w:val="0070C0"/>
        </w:rPr>
        <w:tab/>
      </w:r>
      <w:r w:rsidRPr="00486386">
        <w:rPr>
          <w:rFonts w:eastAsia="Times New Roman"/>
          <w:color w:val="0070C0"/>
          <w:lang w:eastAsia="en-CA"/>
        </w:rPr>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w:t>
      </w:r>
      <w:r w:rsidRPr="00486386">
        <w:rPr>
          <w:rFonts w:eastAsia="Times New Roman"/>
          <w:color w:val="0070C0"/>
          <w:lang w:val="en-CA" w:eastAsia="en-CA"/>
        </w:rPr>
        <w:t> </w:t>
      </w:r>
    </w:p>
    <w:p w14:paraId="7D64FCBB"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lang w:eastAsia="en-CA"/>
        </w:rPr>
        <w:t>(b)</w:t>
      </w:r>
      <w:r w:rsidRPr="00486386">
        <w:rPr>
          <w:color w:val="0070C0"/>
        </w:rPr>
        <w:tab/>
      </w:r>
      <w:r w:rsidRPr="00486386">
        <w:rPr>
          <w:rFonts w:eastAsia="Times New Roman"/>
          <w:color w:val="0070C0"/>
          <w:lang w:eastAsia="en-CA"/>
        </w:rPr>
        <w:t>Start recording the data that are needed to determine if thermal runaway and/or thermal propagation occur. Verify that fault codes or failures relevant for the outcome of the test are not in the system.</w:t>
      </w:r>
      <w:r w:rsidRPr="00486386">
        <w:rPr>
          <w:rFonts w:eastAsia="Times New Roman"/>
          <w:color w:val="0070C0"/>
          <w:lang w:val="en-CA" w:eastAsia="en-CA"/>
        </w:rPr>
        <w:t> </w:t>
      </w:r>
    </w:p>
    <w:p w14:paraId="26408F24"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lang w:eastAsia="en-CA"/>
        </w:rPr>
        <w:t>(c)</w:t>
      </w:r>
      <w:r w:rsidRPr="00486386">
        <w:rPr>
          <w:color w:val="0070C0"/>
        </w:rPr>
        <w:tab/>
      </w:r>
      <w:r w:rsidRPr="00486386">
        <w:rPr>
          <w:rFonts w:eastAsia="Times New Roman"/>
          <w:color w:val="0070C0"/>
          <w:lang w:eastAsia="en-CA"/>
        </w:rPr>
        <w:t>Begin sending power to the heating element.</w:t>
      </w:r>
      <w:r w:rsidRPr="00486386">
        <w:rPr>
          <w:rFonts w:eastAsia="Times New Roman"/>
          <w:color w:val="0070C0"/>
          <w:lang w:val="en-CA" w:eastAsia="en-CA"/>
        </w:rPr>
        <w:t> </w:t>
      </w:r>
    </w:p>
    <w:p w14:paraId="15C01FA3"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lang w:eastAsia="en-CA"/>
        </w:rPr>
        <w:t>(d)</w:t>
      </w:r>
      <w:r w:rsidRPr="00486386">
        <w:rPr>
          <w:color w:val="0070C0"/>
        </w:rPr>
        <w:tab/>
      </w:r>
      <w:r w:rsidRPr="00486386">
        <w:rPr>
          <w:rFonts w:eastAsia="Times New Roman"/>
          <w:color w:val="0070C0"/>
          <w:lang w:eastAsia="en-CA"/>
        </w:rPr>
        <w:t>Switch off the heater immediately when thermal runaway is confirmed or after a total energy input to the heater reaches 20 % of initiation cell electric energy. </w:t>
      </w:r>
      <w:r w:rsidRPr="00486386">
        <w:rPr>
          <w:rFonts w:eastAsia="Times New Roman"/>
          <w:color w:val="0070C0"/>
          <w:lang w:val="en-CA" w:eastAsia="en-CA"/>
        </w:rPr>
        <w:t> </w:t>
      </w:r>
    </w:p>
    <w:p w14:paraId="068A759A"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sz w:val="22"/>
          <w:szCs w:val="22"/>
          <w:lang w:eastAsia="en-CA"/>
        </w:rPr>
        <w:t>(e)</w:t>
      </w:r>
      <w:r w:rsidRPr="00486386">
        <w:rPr>
          <w:color w:val="0070C0"/>
        </w:rPr>
        <w:tab/>
      </w:r>
      <w:r w:rsidRPr="00486386">
        <w:rPr>
          <w:rFonts w:eastAsia="Times New Roman"/>
          <w:color w:val="0070C0"/>
          <w:sz w:val="22"/>
          <w:szCs w:val="22"/>
          <w:lang w:eastAsia="en-CA"/>
        </w:rPr>
        <w:t>If (d) is satisfied, but no thermal runaway has occurred in the initiation cell during the observation period of 1 hour after the opening of the heater relay, the REESS type is considered to comply with this requirement. </w:t>
      </w:r>
      <w:r w:rsidRPr="00486386">
        <w:rPr>
          <w:rFonts w:eastAsia="Times New Roman"/>
          <w:color w:val="0070C0"/>
          <w:sz w:val="22"/>
          <w:szCs w:val="22"/>
          <w:lang w:val="en-CA" w:eastAsia="en-CA"/>
        </w:rPr>
        <w:t> </w:t>
      </w:r>
    </w:p>
    <w:p w14:paraId="08CE5011" w14:textId="77777777" w:rsidR="00D30274" w:rsidRPr="00486386" w:rsidRDefault="00D30274" w:rsidP="00D30274">
      <w:pPr>
        <w:spacing w:line="240" w:lineRule="auto"/>
        <w:ind w:left="2550" w:right="1125" w:hanging="630"/>
        <w:jc w:val="both"/>
        <w:textAlignment w:val="baseline"/>
        <w:rPr>
          <w:rFonts w:eastAsia="Times New Roman"/>
          <w:color w:val="0070C0"/>
          <w:lang w:val="en-CA" w:eastAsia="en-CA"/>
        </w:rPr>
      </w:pPr>
      <w:r w:rsidRPr="00486386">
        <w:rPr>
          <w:rFonts w:eastAsia="Times New Roman"/>
          <w:color w:val="0070C0"/>
          <w:lang w:eastAsia="en-CA"/>
        </w:rPr>
        <w:t>(f)</w:t>
      </w:r>
      <w:r w:rsidRPr="00486386">
        <w:rPr>
          <w:color w:val="0070C0"/>
        </w:rPr>
        <w:tab/>
      </w:r>
      <w:r w:rsidRPr="00486386">
        <w:rPr>
          <w:rFonts w:eastAsia="Times New Roman"/>
          <w:color w:val="0070C0"/>
          <w:lang w:eastAsia="en-CA"/>
        </w:rPr>
        <w:t>The test ends when one of the conditions specified below is met:</w:t>
      </w:r>
      <w:r w:rsidRPr="00486386">
        <w:rPr>
          <w:rFonts w:eastAsia="Times New Roman"/>
          <w:color w:val="0070C0"/>
          <w:lang w:val="en-CA" w:eastAsia="en-CA"/>
        </w:rPr>
        <w:t> </w:t>
      </w:r>
    </w:p>
    <w:p w14:paraId="6DE25BB6" w14:textId="77777777" w:rsidR="00D30274" w:rsidRPr="00486386" w:rsidRDefault="00D30274" w:rsidP="00D30274">
      <w:pPr>
        <w:spacing w:line="240" w:lineRule="auto"/>
        <w:ind w:left="3195" w:right="1125" w:hanging="630"/>
        <w:jc w:val="both"/>
        <w:textAlignment w:val="baseline"/>
        <w:rPr>
          <w:rFonts w:eastAsia="Times New Roman"/>
          <w:color w:val="0070C0"/>
          <w:lang w:val="en-CA" w:eastAsia="en-CA"/>
        </w:rPr>
      </w:pPr>
      <w:r w:rsidRPr="00486386">
        <w:rPr>
          <w:rFonts w:eastAsia="Times New Roman"/>
          <w:color w:val="0070C0"/>
          <w:lang w:eastAsia="en-CA"/>
        </w:rPr>
        <w:t>(</w:t>
      </w:r>
      <w:proofErr w:type="spellStart"/>
      <w:r w:rsidRPr="00486386">
        <w:rPr>
          <w:rFonts w:eastAsia="Times New Roman"/>
          <w:color w:val="0070C0"/>
          <w:lang w:eastAsia="en-CA"/>
        </w:rPr>
        <w:t>i</w:t>
      </w:r>
      <w:proofErr w:type="spellEnd"/>
      <w:r w:rsidRPr="00486386">
        <w:rPr>
          <w:rFonts w:eastAsia="Times New Roman"/>
          <w:color w:val="0070C0"/>
          <w:lang w:eastAsia="en-CA"/>
        </w:rPr>
        <w:t>)</w:t>
      </w:r>
      <w:r w:rsidRPr="00486386">
        <w:rPr>
          <w:color w:val="0070C0"/>
        </w:rPr>
        <w:tab/>
      </w:r>
      <w:r w:rsidRPr="00486386">
        <w:rPr>
          <w:rFonts w:eastAsia="Times New Roman"/>
          <w:color w:val="0070C0"/>
          <w:lang w:eastAsia="en-CA"/>
        </w:rPr>
        <w:t>The initiation is stopped in accordance with the subparagraph (d) above followed by an observation period of 1 hour; or</w:t>
      </w:r>
      <w:r w:rsidRPr="00486386">
        <w:rPr>
          <w:rFonts w:eastAsia="Times New Roman"/>
          <w:color w:val="0070C0"/>
          <w:lang w:val="en-CA" w:eastAsia="en-CA"/>
        </w:rPr>
        <w:t> </w:t>
      </w:r>
    </w:p>
    <w:p w14:paraId="1FE55685" w14:textId="77777777" w:rsidR="00D30274" w:rsidRPr="00486386" w:rsidRDefault="00D30274" w:rsidP="00D30274">
      <w:pPr>
        <w:spacing w:line="240" w:lineRule="auto"/>
        <w:ind w:left="3195" w:right="1125" w:hanging="630"/>
        <w:jc w:val="both"/>
        <w:textAlignment w:val="baseline"/>
        <w:rPr>
          <w:rFonts w:eastAsia="Times New Roman"/>
          <w:color w:val="0070C0"/>
          <w:lang w:val="en-CA" w:eastAsia="en-CA"/>
        </w:rPr>
      </w:pPr>
      <w:r w:rsidRPr="00486386">
        <w:rPr>
          <w:rFonts w:eastAsia="Times New Roman"/>
          <w:color w:val="0070C0"/>
          <w:lang w:eastAsia="en-CA"/>
        </w:rPr>
        <w:t>(ii)</w:t>
      </w:r>
      <w:r w:rsidRPr="00486386">
        <w:rPr>
          <w:color w:val="0070C0"/>
        </w:rPr>
        <w:tab/>
      </w:r>
      <w:r w:rsidRPr="00486386">
        <w:rPr>
          <w:rFonts w:eastAsia="Times New Roman"/>
          <w:color w:val="0070C0"/>
          <w:lang w:eastAsia="en-CA"/>
        </w:rPr>
        <w:t>At least 5 minutes elapse after the signal to activate the warning indication, if thermal propagation is observed; or</w:t>
      </w:r>
      <w:r w:rsidRPr="00486386">
        <w:rPr>
          <w:rFonts w:eastAsia="Times New Roman"/>
          <w:color w:val="0070C0"/>
          <w:lang w:val="en-CA" w:eastAsia="en-CA"/>
        </w:rPr>
        <w:t> </w:t>
      </w:r>
    </w:p>
    <w:p w14:paraId="3C34FA78" w14:textId="77777777" w:rsidR="00D30274" w:rsidRPr="00486386" w:rsidRDefault="00D30274" w:rsidP="00D30274">
      <w:pPr>
        <w:spacing w:line="240" w:lineRule="auto"/>
        <w:ind w:left="3195" w:right="1125" w:hanging="630"/>
        <w:jc w:val="both"/>
        <w:textAlignment w:val="baseline"/>
        <w:rPr>
          <w:rFonts w:eastAsia="Times New Roman"/>
          <w:color w:val="0070C0"/>
          <w:lang w:val="en-CA" w:eastAsia="en-CA"/>
        </w:rPr>
      </w:pPr>
      <w:r w:rsidRPr="00486386">
        <w:rPr>
          <w:rFonts w:eastAsia="Times New Roman"/>
          <w:color w:val="0070C0"/>
          <w:lang w:eastAsia="en-CA"/>
        </w:rPr>
        <w:t>(iii)</w:t>
      </w:r>
      <w:r w:rsidRPr="00486386">
        <w:rPr>
          <w:color w:val="0070C0"/>
        </w:rPr>
        <w:tab/>
      </w:r>
      <w:r w:rsidRPr="00486386">
        <w:rPr>
          <w:rFonts w:eastAsia="Times New Roman"/>
          <w:color w:val="0070C0"/>
          <w:lang w:eastAsia="en-CA"/>
        </w:rPr>
        <w:t>If thermal runaway has occurred in the initiation cell, but no thermal propagation ensued, the observation period of 2 hours after the confirmation of thermal runaway is applied to Tested-Device.</w:t>
      </w:r>
      <w:r w:rsidRPr="00486386">
        <w:rPr>
          <w:rFonts w:eastAsia="Times New Roman"/>
          <w:color w:val="0070C0"/>
          <w:lang w:val="en-CA" w:eastAsia="en-CA"/>
        </w:rPr>
        <w:t> </w:t>
      </w:r>
    </w:p>
    <w:p w14:paraId="4E77FE64" w14:textId="77777777" w:rsidR="00F53010" w:rsidRPr="00D30274" w:rsidRDefault="00F53010">
      <w:pPr>
        <w:rPr>
          <w:lang w:val="en-CA"/>
        </w:rPr>
      </w:pPr>
    </w:p>
    <w:sectPr w:rsidR="00F53010" w:rsidRPr="00D30274">
      <w:headerReference w:type="even" r:id="rId17"/>
      <w:headerReference w:type="default" r:id="rId18"/>
      <w:footerReference w:type="even" r:id="rId19"/>
      <w:footerReference w:type="default" r:id="rId20"/>
      <w:headerReference w:type="first" r:id="rId21"/>
      <w:footerReference w:type="first" r:id="rId22"/>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Author" w:initials="A">
    <w:p w14:paraId="5DFF2036" w14:textId="77777777" w:rsidR="00EE755F" w:rsidRDefault="00EE755F" w:rsidP="00EE755F">
      <w:pPr>
        <w:pStyle w:val="CommentText"/>
      </w:pPr>
      <w:r>
        <w:rPr>
          <w:rStyle w:val="CommentReference"/>
        </w:rPr>
        <w:annotationRef/>
      </w:r>
      <w:r>
        <w:t xml:space="preserve">Text of R.100.5 missing in the US/CA draft </w:t>
      </w:r>
    </w:p>
    <w:p w14:paraId="026C47EB" w14:textId="77777777" w:rsidR="00EE755F" w:rsidRDefault="00EE755F" w:rsidP="00EE755F">
      <w:pPr>
        <w:pStyle w:val="CommentText"/>
      </w:pPr>
      <w:r>
        <w:t xml:space="preserve">Suggest to include it as it describes an important feature of the initiation method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26C47E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26C47EB" w16cid:durableId="0AFECBA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A59141" w14:textId="77777777" w:rsidR="000941A7" w:rsidRDefault="000941A7" w:rsidP="000941A7">
      <w:pPr>
        <w:spacing w:line="240" w:lineRule="auto"/>
      </w:pPr>
      <w:r>
        <w:separator/>
      </w:r>
    </w:p>
  </w:endnote>
  <w:endnote w:type="continuationSeparator" w:id="0">
    <w:p w14:paraId="1C5F65C7" w14:textId="77777777" w:rsidR="000941A7" w:rsidRDefault="000941A7" w:rsidP="000941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71B06" w14:textId="77777777" w:rsidR="000941A7" w:rsidRDefault="000941A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56557" w14:textId="77777777" w:rsidR="000941A7" w:rsidRDefault="000941A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0BA665" w14:textId="77777777" w:rsidR="000941A7" w:rsidRDefault="000941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FC2FF" w14:textId="77777777" w:rsidR="000941A7" w:rsidRDefault="000941A7" w:rsidP="000941A7">
      <w:pPr>
        <w:spacing w:line="240" w:lineRule="auto"/>
      </w:pPr>
      <w:r>
        <w:separator/>
      </w:r>
    </w:p>
  </w:footnote>
  <w:footnote w:type="continuationSeparator" w:id="0">
    <w:p w14:paraId="47A6069C" w14:textId="77777777" w:rsidR="000941A7" w:rsidRDefault="000941A7" w:rsidP="000941A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56C71" w14:textId="77777777" w:rsidR="000941A7" w:rsidRDefault="000941A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AC833D" w14:textId="77777777" w:rsidR="000941A7" w:rsidRDefault="000941A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75B32" w14:textId="77777777" w:rsidR="000941A7" w:rsidRDefault="000941A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274"/>
    <w:rsid w:val="000941A7"/>
    <w:rsid w:val="00201917"/>
    <w:rsid w:val="00746FDE"/>
    <w:rsid w:val="00D30274"/>
    <w:rsid w:val="00DE45F1"/>
    <w:rsid w:val="00E66605"/>
    <w:rsid w:val="00EE755F"/>
    <w:rsid w:val="00F530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DDB8E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0274"/>
    <w:pPr>
      <w:suppressAutoHyphens/>
      <w:spacing w:after="0" w:line="240" w:lineRule="atLeast"/>
    </w:pPr>
    <w:rPr>
      <w:rFonts w:ascii="Times New Roman" w:eastAsia="MS Mincho" w:hAnsi="Times New Roman" w:cs="Times New Roman"/>
      <w:kern w:val="0"/>
      <w:sz w:val="20"/>
      <w:szCs w:val="20"/>
      <w:lang w:val="en-GB"/>
      <w14:ligatures w14:val="none"/>
    </w:rPr>
  </w:style>
  <w:style w:type="paragraph" w:styleId="Heading1">
    <w:name w:val="heading 1"/>
    <w:basedOn w:val="Normal"/>
    <w:next w:val="Normal"/>
    <w:link w:val="Heading1Char"/>
    <w:uiPriority w:val="9"/>
    <w:qFormat/>
    <w:rsid w:val="00D30274"/>
    <w:pPr>
      <w:keepNext/>
      <w:keepLines/>
      <w:suppressAutoHyphens w:val="0"/>
      <w:spacing w:before="360" w:after="80" w:line="278" w:lineRule="auto"/>
      <w:outlineLvl w:val="0"/>
    </w:pPr>
    <w:rPr>
      <w:rFonts w:asciiTheme="majorHAnsi" w:eastAsiaTheme="majorEastAsia" w:hAnsiTheme="majorHAnsi" w:cstheme="majorBidi"/>
      <w:color w:val="0F4761" w:themeColor="accent1" w:themeShade="BF"/>
      <w:kern w:val="2"/>
      <w:sz w:val="40"/>
      <w:szCs w:val="40"/>
      <w:lang w:val="en-US"/>
      <w14:ligatures w14:val="standardContextual"/>
    </w:rPr>
  </w:style>
  <w:style w:type="paragraph" w:styleId="Heading2">
    <w:name w:val="heading 2"/>
    <w:basedOn w:val="Normal"/>
    <w:next w:val="Normal"/>
    <w:link w:val="Heading2Char"/>
    <w:uiPriority w:val="9"/>
    <w:semiHidden/>
    <w:unhideWhenUsed/>
    <w:qFormat/>
    <w:rsid w:val="00D30274"/>
    <w:pPr>
      <w:keepNext/>
      <w:keepLines/>
      <w:suppressAutoHyphens w:val="0"/>
      <w:spacing w:before="160" w:after="80" w:line="278" w:lineRule="auto"/>
      <w:outlineLvl w:val="1"/>
    </w:pPr>
    <w:rPr>
      <w:rFonts w:asciiTheme="majorHAnsi" w:eastAsiaTheme="majorEastAsia" w:hAnsiTheme="majorHAnsi" w:cstheme="majorBidi"/>
      <w:color w:val="0F4761" w:themeColor="accent1" w:themeShade="BF"/>
      <w:kern w:val="2"/>
      <w:sz w:val="32"/>
      <w:szCs w:val="32"/>
      <w:lang w:val="en-US"/>
      <w14:ligatures w14:val="standardContextual"/>
    </w:rPr>
  </w:style>
  <w:style w:type="paragraph" w:styleId="Heading3">
    <w:name w:val="heading 3"/>
    <w:basedOn w:val="Normal"/>
    <w:next w:val="Normal"/>
    <w:link w:val="Heading3Char"/>
    <w:uiPriority w:val="9"/>
    <w:semiHidden/>
    <w:unhideWhenUsed/>
    <w:qFormat/>
    <w:rsid w:val="00D30274"/>
    <w:pPr>
      <w:keepNext/>
      <w:keepLines/>
      <w:suppressAutoHyphens w:val="0"/>
      <w:spacing w:before="160" w:after="80" w:line="278" w:lineRule="auto"/>
      <w:outlineLvl w:val="2"/>
    </w:pPr>
    <w:rPr>
      <w:rFonts w:asciiTheme="minorHAnsi" w:eastAsiaTheme="majorEastAsia" w:hAnsiTheme="minorHAnsi" w:cstheme="majorBidi"/>
      <w:color w:val="0F4761" w:themeColor="accent1" w:themeShade="BF"/>
      <w:kern w:val="2"/>
      <w:sz w:val="28"/>
      <w:szCs w:val="28"/>
      <w:lang w:val="en-US"/>
      <w14:ligatures w14:val="standardContextual"/>
    </w:rPr>
  </w:style>
  <w:style w:type="paragraph" w:styleId="Heading4">
    <w:name w:val="heading 4"/>
    <w:basedOn w:val="Normal"/>
    <w:next w:val="Normal"/>
    <w:link w:val="Heading4Char"/>
    <w:uiPriority w:val="9"/>
    <w:semiHidden/>
    <w:unhideWhenUsed/>
    <w:qFormat/>
    <w:rsid w:val="00D30274"/>
    <w:pPr>
      <w:keepNext/>
      <w:keepLines/>
      <w:suppressAutoHyphens w:val="0"/>
      <w:spacing w:before="80" w:after="40" w:line="278" w:lineRule="auto"/>
      <w:outlineLvl w:val="3"/>
    </w:pPr>
    <w:rPr>
      <w:rFonts w:asciiTheme="minorHAnsi" w:eastAsiaTheme="majorEastAsia" w:hAnsiTheme="minorHAnsi" w:cstheme="majorBidi"/>
      <w:i/>
      <w:iCs/>
      <w:color w:val="0F4761" w:themeColor="accent1" w:themeShade="BF"/>
      <w:kern w:val="2"/>
      <w:sz w:val="24"/>
      <w:szCs w:val="24"/>
      <w:lang w:val="en-US"/>
      <w14:ligatures w14:val="standardContextual"/>
    </w:rPr>
  </w:style>
  <w:style w:type="paragraph" w:styleId="Heading5">
    <w:name w:val="heading 5"/>
    <w:basedOn w:val="Normal"/>
    <w:next w:val="Normal"/>
    <w:link w:val="Heading5Char"/>
    <w:uiPriority w:val="9"/>
    <w:semiHidden/>
    <w:unhideWhenUsed/>
    <w:qFormat/>
    <w:rsid w:val="00D30274"/>
    <w:pPr>
      <w:keepNext/>
      <w:keepLines/>
      <w:suppressAutoHyphens w:val="0"/>
      <w:spacing w:before="80" w:after="40" w:line="278" w:lineRule="auto"/>
      <w:outlineLvl w:val="4"/>
    </w:pPr>
    <w:rPr>
      <w:rFonts w:asciiTheme="minorHAnsi" w:eastAsiaTheme="majorEastAsia" w:hAnsiTheme="minorHAnsi" w:cstheme="majorBidi"/>
      <w:color w:val="0F4761" w:themeColor="accent1" w:themeShade="BF"/>
      <w:kern w:val="2"/>
      <w:sz w:val="24"/>
      <w:szCs w:val="24"/>
      <w:lang w:val="en-US"/>
      <w14:ligatures w14:val="standardContextual"/>
    </w:rPr>
  </w:style>
  <w:style w:type="paragraph" w:styleId="Heading6">
    <w:name w:val="heading 6"/>
    <w:basedOn w:val="Normal"/>
    <w:next w:val="Normal"/>
    <w:link w:val="Heading6Char"/>
    <w:uiPriority w:val="9"/>
    <w:semiHidden/>
    <w:unhideWhenUsed/>
    <w:qFormat/>
    <w:rsid w:val="00D30274"/>
    <w:pPr>
      <w:keepNext/>
      <w:keepLines/>
      <w:suppressAutoHyphens w:val="0"/>
      <w:spacing w:before="40" w:line="278" w:lineRule="auto"/>
      <w:outlineLvl w:val="5"/>
    </w:pPr>
    <w:rPr>
      <w:rFonts w:asciiTheme="minorHAnsi" w:eastAsiaTheme="majorEastAsia" w:hAnsiTheme="minorHAnsi" w:cstheme="majorBidi"/>
      <w:i/>
      <w:iCs/>
      <w:color w:val="595959" w:themeColor="text1" w:themeTint="A6"/>
      <w:kern w:val="2"/>
      <w:sz w:val="24"/>
      <w:szCs w:val="24"/>
      <w:lang w:val="en-US"/>
      <w14:ligatures w14:val="standardContextual"/>
    </w:rPr>
  </w:style>
  <w:style w:type="paragraph" w:styleId="Heading7">
    <w:name w:val="heading 7"/>
    <w:basedOn w:val="Normal"/>
    <w:next w:val="Normal"/>
    <w:link w:val="Heading7Char"/>
    <w:uiPriority w:val="9"/>
    <w:semiHidden/>
    <w:unhideWhenUsed/>
    <w:qFormat/>
    <w:rsid w:val="00D30274"/>
    <w:pPr>
      <w:keepNext/>
      <w:keepLines/>
      <w:suppressAutoHyphens w:val="0"/>
      <w:spacing w:before="40" w:line="278" w:lineRule="auto"/>
      <w:outlineLvl w:val="6"/>
    </w:pPr>
    <w:rPr>
      <w:rFonts w:asciiTheme="minorHAnsi" w:eastAsiaTheme="majorEastAsia" w:hAnsiTheme="minorHAnsi" w:cstheme="majorBidi"/>
      <w:color w:val="595959" w:themeColor="text1" w:themeTint="A6"/>
      <w:kern w:val="2"/>
      <w:sz w:val="24"/>
      <w:szCs w:val="24"/>
      <w:lang w:val="en-US"/>
      <w14:ligatures w14:val="standardContextual"/>
    </w:rPr>
  </w:style>
  <w:style w:type="paragraph" w:styleId="Heading8">
    <w:name w:val="heading 8"/>
    <w:basedOn w:val="Normal"/>
    <w:next w:val="Normal"/>
    <w:link w:val="Heading8Char"/>
    <w:uiPriority w:val="9"/>
    <w:semiHidden/>
    <w:unhideWhenUsed/>
    <w:qFormat/>
    <w:rsid w:val="00D30274"/>
    <w:pPr>
      <w:keepNext/>
      <w:keepLines/>
      <w:suppressAutoHyphens w:val="0"/>
      <w:spacing w:line="278" w:lineRule="auto"/>
      <w:outlineLvl w:val="7"/>
    </w:pPr>
    <w:rPr>
      <w:rFonts w:asciiTheme="minorHAnsi" w:eastAsiaTheme="majorEastAsia" w:hAnsiTheme="minorHAnsi" w:cstheme="majorBidi"/>
      <w:i/>
      <w:iCs/>
      <w:color w:val="272727" w:themeColor="text1" w:themeTint="D8"/>
      <w:kern w:val="2"/>
      <w:sz w:val="24"/>
      <w:szCs w:val="24"/>
      <w:lang w:val="en-US"/>
      <w14:ligatures w14:val="standardContextual"/>
    </w:rPr>
  </w:style>
  <w:style w:type="paragraph" w:styleId="Heading9">
    <w:name w:val="heading 9"/>
    <w:basedOn w:val="Normal"/>
    <w:next w:val="Normal"/>
    <w:link w:val="Heading9Char"/>
    <w:uiPriority w:val="9"/>
    <w:semiHidden/>
    <w:unhideWhenUsed/>
    <w:qFormat/>
    <w:rsid w:val="00D30274"/>
    <w:pPr>
      <w:keepNext/>
      <w:keepLines/>
      <w:suppressAutoHyphens w:val="0"/>
      <w:spacing w:line="278" w:lineRule="auto"/>
      <w:outlineLvl w:val="8"/>
    </w:pPr>
    <w:rPr>
      <w:rFonts w:asciiTheme="minorHAnsi" w:eastAsiaTheme="majorEastAsia" w:hAnsiTheme="minorHAnsi" w:cstheme="majorBidi"/>
      <w:color w:val="272727" w:themeColor="text1" w:themeTint="D8"/>
      <w:kern w:val="2"/>
      <w:sz w:val="24"/>
      <w:szCs w:val="24"/>
      <w:lang w:val="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3027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3027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3027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3027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3027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3027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3027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3027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30274"/>
    <w:rPr>
      <w:rFonts w:eastAsiaTheme="majorEastAsia" w:cstheme="majorBidi"/>
      <w:color w:val="272727" w:themeColor="text1" w:themeTint="D8"/>
    </w:rPr>
  </w:style>
  <w:style w:type="paragraph" w:styleId="Title">
    <w:name w:val="Title"/>
    <w:basedOn w:val="Normal"/>
    <w:next w:val="Normal"/>
    <w:link w:val="TitleChar"/>
    <w:uiPriority w:val="10"/>
    <w:qFormat/>
    <w:rsid w:val="00D30274"/>
    <w:pPr>
      <w:suppressAutoHyphens w:val="0"/>
      <w:spacing w:after="80" w:line="240" w:lineRule="auto"/>
      <w:contextualSpacing/>
    </w:pPr>
    <w:rPr>
      <w:rFonts w:asciiTheme="majorHAnsi" w:eastAsiaTheme="majorEastAsia" w:hAnsiTheme="majorHAnsi" w:cstheme="majorBidi"/>
      <w:spacing w:val="-10"/>
      <w:kern w:val="28"/>
      <w:sz w:val="56"/>
      <w:szCs w:val="56"/>
      <w:lang w:val="en-US"/>
      <w14:ligatures w14:val="standardContextual"/>
    </w:rPr>
  </w:style>
  <w:style w:type="character" w:customStyle="1" w:styleId="TitleChar">
    <w:name w:val="Title Char"/>
    <w:basedOn w:val="DefaultParagraphFont"/>
    <w:link w:val="Title"/>
    <w:uiPriority w:val="10"/>
    <w:rsid w:val="00D3027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30274"/>
    <w:pPr>
      <w:numPr>
        <w:ilvl w:val="1"/>
      </w:numPr>
      <w:suppressAutoHyphens w:val="0"/>
      <w:spacing w:after="160" w:line="278" w:lineRule="auto"/>
    </w:pPr>
    <w:rPr>
      <w:rFonts w:asciiTheme="minorHAnsi" w:eastAsiaTheme="majorEastAsia" w:hAnsiTheme="minorHAnsi" w:cstheme="majorBidi"/>
      <w:color w:val="595959" w:themeColor="text1" w:themeTint="A6"/>
      <w:spacing w:val="15"/>
      <w:kern w:val="2"/>
      <w:sz w:val="28"/>
      <w:szCs w:val="28"/>
      <w:lang w:val="en-US"/>
      <w14:ligatures w14:val="standardContextual"/>
    </w:rPr>
  </w:style>
  <w:style w:type="character" w:customStyle="1" w:styleId="SubtitleChar">
    <w:name w:val="Subtitle Char"/>
    <w:basedOn w:val="DefaultParagraphFont"/>
    <w:link w:val="Subtitle"/>
    <w:uiPriority w:val="11"/>
    <w:rsid w:val="00D3027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30274"/>
    <w:pPr>
      <w:suppressAutoHyphens w:val="0"/>
      <w:spacing w:before="160" w:after="160" w:line="278" w:lineRule="auto"/>
      <w:jc w:val="center"/>
    </w:pPr>
    <w:rPr>
      <w:rFonts w:asciiTheme="minorHAnsi" w:eastAsiaTheme="minorHAnsi" w:hAnsiTheme="minorHAnsi" w:cstheme="minorBidi"/>
      <w:i/>
      <w:iCs/>
      <w:color w:val="404040" w:themeColor="text1" w:themeTint="BF"/>
      <w:kern w:val="2"/>
      <w:sz w:val="24"/>
      <w:szCs w:val="24"/>
      <w:lang w:val="en-US"/>
      <w14:ligatures w14:val="standardContextual"/>
    </w:rPr>
  </w:style>
  <w:style w:type="character" w:customStyle="1" w:styleId="QuoteChar">
    <w:name w:val="Quote Char"/>
    <w:basedOn w:val="DefaultParagraphFont"/>
    <w:link w:val="Quote"/>
    <w:uiPriority w:val="29"/>
    <w:rsid w:val="00D30274"/>
    <w:rPr>
      <w:i/>
      <w:iCs/>
      <w:color w:val="404040" w:themeColor="text1" w:themeTint="BF"/>
    </w:rPr>
  </w:style>
  <w:style w:type="paragraph" w:styleId="ListParagraph">
    <w:name w:val="List Paragraph"/>
    <w:basedOn w:val="Normal"/>
    <w:uiPriority w:val="34"/>
    <w:qFormat/>
    <w:rsid w:val="00D30274"/>
    <w:pPr>
      <w:suppressAutoHyphens w:val="0"/>
      <w:spacing w:after="160" w:line="278" w:lineRule="auto"/>
      <w:ind w:left="720"/>
      <w:contextualSpacing/>
    </w:pPr>
    <w:rPr>
      <w:rFonts w:asciiTheme="minorHAnsi" w:eastAsiaTheme="minorHAnsi" w:hAnsiTheme="minorHAnsi" w:cstheme="minorBidi"/>
      <w:kern w:val="2"/>
      <w:sz w:val="24"/>
      <w:szCs w:val="24"/>
      <w:lang w:val="en-US"/>
      <w14:ligatures w14:val="standardContextual"/>
    </w:rPr>
  </w:style>
  <w:style w:type="character" w:styleId="IntenseEmphasis">
    <w:name w:val="Intense Emphasis"/>
    <w:basedOn w:val="DefaultParagraphFont"/>
    <w:uiPriority w:val="21"/>
    <w:qFormat/>
    <w:rsid w:val="00D30274"/>
    <w:rPr>
      <w:i/>
      <w:iCs/>
      <w:color w:val="0F4761" w:themeColor="accent1" w:themeShade="BF"/>
    </w:rPr>
  </w:style>
  <w:style w:type="paragraph" w:styleId="IntenseQuote">
    <w:name w:val="Intense Quote"/>
    <w:basedOn w:val="Normal"/>
    <w:next w:val="Normal"/>
    <w:link w:val="IntenseQuoteChar"/>
    <w:uiPriority w:val="30"/>
    <w:qFormat/>
    <w:rsid w:val="00D30274"/>
    <w:pPr>
      <w:pBdr>
        <w:top w:val="single" w:sz="4" w:space="10" w:color="0F4761" w:themeColor="accent1" w:themeShade="BF"/>
        <w:bottom w:val="single" w:sz="4" w:space="10" w:color="0F4761" w:themeColor="accent1" w:themeShade="BF"/>
      </w:pBdr>
      <w:suppressAutoHyphens w:val="0"/>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lang w:val="en-US"/>
      <w14:ligatures w14:val="standardContextual"/>
    </w:rPr>
  </w:style>
  <w:style w:type="character" w:customStyle="1" w:styleId="IntenseQuoteChar">
    <w:name w:val="Intense Quote Char"/>
    <w:basedOn w:val="DefaultParagraphFont"/>
    <w:link w:val="IntenseQuote"/>
    <w:uiPriority w:val="30"/>
    <w:rsid w:val="00D30274"/>
    <w:rPr>
      <w:i/>
      <w:iCs/>
      <w:color w:val="0F4761" w:themeColor="accent1" w:themeShade="BF"/>
    </w:rPr>
  </w:style>
  <w:style w:type="character" w:styleId="IntenseReference">
    <w:name w:val="Intense Reference"/>
    <w:basedOn w:val="DefaultParagraphFont"/>
    <w:uiPriority w:val="32"/>
    <w:qFormat/>
    <w:rsid w:val="00D30274"/>
    <w:rPr>
      <w:b/>
      <w:bCs/>
      <w:smallCaps/>
      <w:color w:val="0F4761" w:themeColor="accent1" w:themeShade="BF"/>
      <w:spacing w:val="5"/>
    </w:rPr>
  </w:style>
  <w:style w:type="paragraph" w:customStyle="1" w:styleId="HChG">
    <w:name w:val="_ H _Ch_G"/>
    <w:basedOn w:val="Normal"/>
    <w:next w:val="Normal"/>
    <w:link w:val="HChGChar"/>
    <w:qFormat/>
    <w:rsid w:val="00D30274"/>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rsid w:val="00D30274"/>
    <w:rPr>
      <w:rFonts w:ascii="Times New Roman" w:eastAsia="MS Mincho" w:hAnsi="Times New Roman" w:cs="Times New Roman"/>
      <w:b/>
      <w:kern w:val="0"/>
      <w:sz w:val="28"/>
      <w:szCs w:val="20"/>
      <w:lang w:val="en-GB"/>
      <w14:ligatures w14:val="none"/>
    </w:rPr>
  </w:style>
  <w:style w:type="character" w:customStyle="1" w:styleId="normaltextrun">
    <w:name w:val="normaltextrun"/>
    <w:basedOn w:val="DefaultParagraphFont"/>
    <w:rsid w:val="00D30274"/>
  </w:style>
  <w:style w:type="character" w:styleId="CommentReference">
    <w:name w:val="annotation reference"/>
    <w:basedOn w:val="DefaultParagraphFont"/>
    <w:uiPriority w:val="99"/>
    <w:semiHidden/>
    <w:unhideWhenUsed/>
    <w:rsid w:val="00EE755F"/>
    <w:rPr>
      <w:sz w:val="16"/>
      <w:szCs w:val="16"/>
    </w:rPr>
  </w:style>
  <w:style w:type="paragraph" w:styleId="CommentText">
    <w:name w:val="annotation text"/>
    <w:basedOn w:val="Normal"/>
    <w:link w:val="CommentTextChar"/>
    <w:uiPriority w:val="99"/>
    <w:unhideWhenUsed/>
    <w:rsid w:val="00EE755F"/>
    <w:pPr>
      <w:spacing w:line="240" w:lineRule="auto"/>
    </w:pPr>
  </w:style>
  <w:style w:type="character" w:customStyle="1" w:styleId="CommentTextChar">
    <w:name w:val="Comment Text Char"/>
    <w:basedOn w:val="DefaultParagraphFont"/>
    <w:link w:val="CommentText"/>
    <w:uiPriority w:val="99"/>
    <w:rsid w:val="00EE755F"/>
    <w:rPr>
      <w:rFonts w:ascii="Times New Roman" w:eastAsia="MS Mincho" w:hAnsi="Times New Roman" w:cs="Times New Roman"/>
      <w:kern w:val="0"/>
      <w:sz w:val="20"/>
      <w:szCs w:val="20"/>
      <w:lang w:val="en-GB"/>
      <w14:ligatures w14:val="none"/>
    </w:rPr>
  </w:style>
  <w:style w:type="paragraph" w:styleId="CommentSubject">
    <w:name w:val="annotation subject"/>
    <w:basedOn w:val="CommentText"/>
    <w:next w:val="CommentText"/>
    <w:link w:val="CommentSubjectChar"/>
    <w:uiPriority w:val="99"/>
    <w:semiHidden/>
    <w:unhideWhenUsed/>
    <w:rsid w:val="00EE755F"/>
    <w:rPr>
      <w:b/>
      <w:bCs/>
    </w:rPr>
  </w:style>
  <w:style w:type="character" w:customStyle="1" w:styleId="CommentSubjectChar">
    <w:name w:val="Comment Subject Char"/>
    <w:basedOn w:val="CommentTextChar"/>
    <w:link w:val="CommentSubject"/>
    <w:uiPriority w:val="99"/>
    <w:semiHidden/>
    <w:rsid w:val="00EE755F"/>
    <w:rPr>
      <w:rFonts w:ascii="Times New Roman" w:eastAsia="MS Mincho" w:hAnsi="Times New Roman" w:cs="Times New Roman"/>
      <w:b/>
      <w:bCs/>
      <w:kern w:val="0"/>
      <w:sz w:val="20"/>
      <w:szCs w:val="20"/>
      <w:lang w:val="en-GB"/>
      <w14:ligatures w14:val="none"/>
    </w:rPr>
  </w:style>
  <w:style w:type="paragraph" w:styleId="Header">
    <w:name w:val="header"/>
    <w:basedOn w:val="Normal"/>
    <w:link w:val="HeaderChar"/>
    <w:uiPriority w:val="99"/>
    <w:unhideWhenUsed/>
    <w:rsid w:val="000941A7"/>
    <w:pPr>
      <w:tabs>
        <w:tab w:val="center" w:pos="4680"/>
        <w:tab w:val="right" w:pos="9360"/>
      </w:tabs>
      <w:spacing w:line="240" w:lineRule="auto"/>
    </w:pPr>
  </w:style>
  <w:style w:type="character" w:customStyle="1" w:styleId="HeaderChar">
    <w:name w:val="Header Char"/>
    <w:basedOn w:val="DefaultParagraphFont"/>
    <w:link w:val="Header"/>
    <w:uiPriority w:val="99"/>
    <w:rsid w:val="000941A7"/>
    <w:rPr>
      <w:rFonts w:ascii="Times New Roman" w:eastAsia="MS Mincho" w:hAnsi="Times New Roman" w:cs="Times New Roman"/>
      <w:kern w:val="0"/>
      <w:sz w:val="20"/>
      <w:szCs w:val="20"/>
      <w:lang w:val="en-GB"/>
      <w14:ligatures w14:val="none"/>
    </w:rPr>
  </w:style>
  <w:style w:type="paragraph" w:styleId="Footer">
    <w:name w:val="footer"/>
    <w:basedOn w:val="Normal"/>
    <w:link w:val="FooterChar"/>
    <w:uiPriority w:val="99"/>
    <w:unhideWhenUsed/>
    <w:rsid w:val="000941A7"/>
    <w:pPr>
      <w:tabs>
        <w:tab w:val="center" w:pos="4680"/>
        <w:tab w:val="right" w:pos="9360"/>
      </w:tabs>
      <w:spacing w:line="240" w:lineRule="auto"/>
    </w:pPr>
  </w:style>
  <w:style w:type="character" w:customStyle="1" w:styleId="FooterChar">
    <w:name w:val="Footer Char"/>
    <w:basedOn w:val="DefaultParagraphFont"/>
    <w:link w:val="Footer"/>
    <w:uiPriority w:val="99"/>
    <w:rsid w:val="000941A7"/>
    <w:rPr>
      <w:rFonts w:ascii="Times New Roman" w:eastAsia="MS Mincho" w:hAnsi="Times New Roman" w:cs="Times New Roman"/>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image" Target="media/image5.png"/><Relationship Id="rId18" Type="http://schemas.openxmlformats.org/officeDocument/2006/relationships/header" Target="header2.xml"/><Relationship Id="rId3" Type="http://schemas.openxmlformats.org/officeDocument/2006/relationships/webSettings" Target="webSettings.xml"/><Relationship Id="rId21" Type="http://schemas.openxmlformats.org/officeDocument/2006/relationships/header" Target="header3.xml"/><Relationship Id="rId7" Type="http://schemas.microsoft.com/office/2011/relationships/commentsExtended" Target="commentsExtended.xml"/><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image" Target="media/image8.png"/><Relationship Id="rId20" Type="http://schemas.openxmlformats.org/officeDocument/2006/relationships/footer" Target="footer2.xml"/><Relationship Id="rId1" Type="http://schemas.openxmlformats.org/officeDocument/2006/relationships/styles" Target="styles.xml"/><Relationship Id="rId6" Type="http://schemas.openxmlformats.org/officeDocument/2006/relationships/comments" Target="comment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jpg"/><Relationship Id="rId19"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1.png"/><Relationship Id="rId14" Type="http://schemas.openxmlformats.org/officeDocument/2006/relationships/image" Target="media/image6.jpg"/><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1338</Words>
  <Characters>6825</Characters>
  <Application>Microsoft Office Word</Application>
  <DocSecurity>0</DocSecurity>
  <Lines>195</Lines>
  <Paragraphs>103</Paragraphs>
  <ScaleCrop>false</ScaleCrop>
  <Company/>
  <LinksUpToDate>false</LinksUpToDate>
  <CharactersWithSpaces>8060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2025-07-09T18:29:00Z</dcterms:created>
  <dcterms:modified xsi:type="dcterms:W3CDTF">2025-07-09T18:29:00Z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2025-07-09T18:29:09Z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964498ff-e2dd-41a0-969f-0978d258c40f</vt:lpwstr>
  </property>
  <property fmtid="{D5CDD505-2E9C-101B-9397-08002B2CF9AE}" pid="8" name="MSIP_Label_6bd9ddd1-4d20-43f6-abfa-fc3c07406f94_ContentBits">
    <vt:lpwstr>0</vt:lpwstr>
  </property>
</Properties>
</file>