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val="en-US" w:eastAsia="en-US"/>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093E4D65" w:rsidR="00E34913" w:rsidRPr="00764116" w:rsidRDefault="00E34913" w:rsidP="00E34913">
            <w:pPr>
              <w:spacing w:line="240" w:lineRule="exact"/>
            </w:pPr>
            <w:r w:rsidRPr="00443551">
              <w:t>1</w:t>
            </w:r>
            <w:r w:rsidR="00F12C2E" w:rsidRPr="00443551">
              <w:t>7</w:t>
            </w:r>
            <w:r w:rsidRPr="00443551">
              <w:t xml:space="preserve"> September 2024</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1A6F0C31"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 xml:space="preserve">Working Party on </w:t>
      </w:r>
      <w:r w:rsidR="00810535">
        <w:rPr>
          <w:rFonts w:asciiTheme="majorBidi" w:hAnsiTheme="majorBidi" w:cstheme="majorBidi"/>
          <w:b/>
        </w:rPr>
        <w:t>General Safety Provisions</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48417AF1" w14:textId="45519ADB" w:rsidR="00E34913" w:rsidRPr="00764116" w:rsidRDefault="00E34913" w:rsidP="00E34913">
      <w:pPr>
        <w:rPr>
          <w:rFonts w:asciiTheme="majorBidi" w:hAnsiTheme="majorBidi" w:cstheme="majorBidi"/>
        </w:rPr>
      </w:pPr>
      <w:r w:rsidRPr="00764116">
        <w:rPr>
          <w:rFonts w:asciiTheme="majorBidi" w:hAnsiTheme="majorBidi" w:cstheme="majorBidi"/>
        </w:rPr>
        <w:t xml:space="preserve">Geneva, </w:t>
      </w:r>
      <w:r w:rsidR="004A41CE">
        <w:rPr>
          <w:rFonts w:asciiTheme="majorBidi" w:hAnsiTheme="majorBidi" w:cstheme="majorBidi"/>
        </w:rPr>
        <w:t>5</w:t>
      </w:r>
      <w:r w:rsidRPr="00764116">
        <w:rPr>
          <w:rFonts w:asciiTheme="majorBidi" w:hAnsiTheme="majorBidi" w:cstheme="majorBidi"/>
        </w:rPr>
        <w:t>–</w:t>
      </w:r>
      <w:r w:rsidR="004A41CE">
        <w:rPr>
          <w:rFonts w:asciiTheme="majorBidi" w:hAnsiTheme="majorBidi" w:cstheme="majorBidi"/>
        </w:rPr>
        <w:t>9</w:t>
      </w:r>
      <w:r w:rsidRPr="00764116">
        <w:rPr>
          <w:rFonts w:asciiTheme="majorBidi" w:hAnsiTheme="majorBidi" w:cstheme="majorBidi"/>
        </w:rPr>
        <w:t xml:space="preserve"> </w:t>
      </w:r>
      <w:r w:rsidR="004A41CE">
        <w:rPr>
          <w:rFonts w:asciiTheme="majorBidi" w:hAnsiTheme="majorBidi" w:cstheme="majorBidi"/>
        </w:rPr>
        <w:t>May</w:t>
      </w:r>
      <w:r w:rsidRPr="00764116">
        <w:rPr>
          <w:rFonts w:asciiTheme="majorBidi" w:hAnsiTheme="majorBidi" w:cstheme="majorBidi"/>
        </w:rPr>
        <w:t xml:space="preserve"> 202</w:t>
      </w:r>
      <w:r w:rsidR="004A41C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43551">
        <w:rPr>
          <w:rFonts w:asciiTheme="majorBidi" w:hAnsiTheme="majorBidi" w:cstheme="majorBidi"/>
        </w:rPr>
        <w:t>Y</w:t>
      </w:r>
      <w:r w:rsidRPr="00764116">
        <w:rPr>
          <w:rFonts w:asciiTheme="majorBidi" w:hAnsiTheme="majorBidi" w:cstheme="majorBidi"/>
        </w:rPr>
        <w:t xml:space="preserve"> of the provisional agenda</w:t>
      </w:r>
    </w:p>
    <w:p w14:paraId="2B1622CC" w14:textId="4CFAC34B" w:rsidR="004A41CE" w:rsidRPr="00912205" w:rsidRDefault="004A41CE" w:rsidP="004A41CE">
      <w:pPr>
        <w:rPr>
          <w:bCs/>
        </w:rPr>
      </w:pPr>
      <w:r w:rsidRPr="00912205">
        <w:rPr>
          <w:b/>
        </w:rPr>
        <w:t xml:space="preserve">UN Regulation No. </w:t>
      </w:r>
      <w:r w:rsidR="00810535">
        <w:rPr>
          <w:b/>
        </w:rPr>
        <w:t>55</w:t>
      </w:r>
      <w:r w:rsidRPr="00912205">
        <w:rPr>
          <w:b/>
        </w:rPr>
        <w:t xml:space="preserve"> </w:t>
      </w:r>
      <w:r w:rsidRPr="00A17DEE">
        <w:rPr>
          <w:b/>
          <w:color w:val="000000" w:themeColor="text1"/>
        </w:rPr>
        <w:t>(</w:t>
      </w:r>
      <w:r w:rsidR="00810535">
        <w:rPr>
          <w:b/>
        </w:rPr>
        <w:t>Mechanical coupling</w:t>
      </w:r>
      <w:r w:rsidRPr="00A17DEE">
        <w:rPr>
          <w:b/>
          <w:color w:val="000000" w:themeColor="text1"/>
        </w:rPr>
        <w:t>)</w:t>
      </w:r>
    </w:p>
    <w:p w14:paraId="01958BDD" w14:textId="7B0374FB" w:rsidR="00A17DEE" w:rsidRPr="0079666C" w:rsidRDefault="00E34913" w:rsidP="00A17DEE">
      <w:pPr>
        <w:pStyle w:val="HChG"/>
        <w:jc w:val="both"/>
      </w:pPr>
      <w:r w:rsidRPr="00764116">
        <w:tab/>
      </w:r>
      <w:r w:rsidRPr="00764116">
        <w:tab/>
      </w:r>
      <w:r w:rsidR="00A17DEE" w:rsidRPr="0079666C">
        <w:t xml:space="preserve">Proposal for </w:t>
      </w:r>
      <w:r w:rsidR="00A17DEE" w:rsidRPr="00821A63">
        <w:t xml:space="preserve">supplement </w:t>
      </w:r>
      <w:r w:rsidR="00E41542" w:rsidRPr="00821A63">
        <w:t>1</w:t>
      </w:r>
      <w:r w:rsidR="00A17DEE" w:rsidRPr="00821A63">
        <w:t xml:space="preserve"> to the 0</w:t>
      </w:r>
      <w:r w:rsidR="007A5BF4" w:rsidRPr="00821A63">
        <w:t>3</w:t>
      </w:r>
      <w:r w:rsidR="00A17DEE" w:rsidRPr="00821A63">
        <w:t xml:space="preserve"> Series of Amendments</w:t>
      </w:r>
      <w:r w:rsidR="00A17DEE" w:rsidRPr="0079666C">
        <w:t xml:space="preserve"> to UN Regulation No. </w:t>
      </w:r>
      <w:r w:rsidR="00810535">
        <w:t>55</w:t>
      </w:r>
      <w:r w:rsidR="00A17DEE" w:rsidRPr="0079666C">
        <w:t xml:space="preserve"> (</w:t>
      </w:r>
      <w:r w:rsidR="00810535" w:rsidRPr="00810535">
        <w:t>Mechanical coupling</w:t>
      </w:r>
      <w:r w:rsidR="00A17DEE" w:rsidRPr="0079666C">
        <w:t>)</w:t>
      </w:r>
      <w:r w:rsidR="00A17DEE">
        <w:t xml:space="preserve"> </w:t>
      </w:r>
      <w:r w:rsidR="00A17DEE" w:rsidRPr="0079666C">
        <w:footnoteReference w:customMarkFollows="1" w:id="2"/>
        <w:t>*</w:t>
      </w:r>
    </w:p>
    <w:p w14:paraId="612351E2" w14:textId="30183A83" w:rsidR="00A17DEE" w:rsidRPr="0079666C" w:rsidRDefault="00A17DEE" w:rsidP="00A17DEE">
      <w:pPr>
        <w:pStyle w:val="H1G"/>
      </w:pPr>
      <w:r w:rsidRPr="0079666C">
        <w:tab/>
      </w:r>
      <w:r w:rsidRPr="0079666C">
        <w:tab/>
      </w:r>
      <w:r w:rsidR="00BD1759" w:rsidRPr="00BD1759">
        <w:t>Submitted by the GR</w:t>
      </w:r>
      <w:r w:rsidR="00810535">
        <w:t xml:space="preserve">SG </w:t>
      </w:r>
      <w:r w:rsidR="00BD1759" w:rsidRPr="00BD1759">
        <w:t>Task Force AVRS (Automated Vehicle Regulation Screening)</w:t>
      </w:r>
    </w:p>
    <w:p w14:paraId="23093893" w14:textId="0670FA3A"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w:t>
      </w:r>
      <w:r w:rsidR="007A5BF4" w:rsidRPr="0086683A">
        <w:rPr>
          <w:b w:val="0"/>
          <w:sz w:val="20"/>
        </w:rPr>
        <w:t>the expert from European Commission</w:t>
      </w:r>
      <w:r w:rsidRPr="0086683A">
        <w:rPr>
          <w:b w:val="0"/>
          <w:sz w:val="20"/>
        </w:rPr>
        <w:t xml:space="preserve"> on behalf of the TF GRS</w:t>
      </w:r>
      <w:r w:rsidR="00810535" w:rsidRPr="0086683A">
        <w:rPr>
          <w:b w:val="0"/>
          <w:sz w:val="20"/>
        </w:rPr>
        <w:t>G</w:t>
      </w:r>
      <w:r w:rsidRPr="0086683A">
        <w:rPr>
          <w:b w:val="0"/>
          <w:sz w:val="20"/>
        </w:rPr>
        <w:t xml:space="preserve"> AVRS</w:t>
      </w:r>
      <w:r>
        <w:rPr>
          <w:b w:val="0"/>
          <w:sz w:val="20"/>
        </w:rPr>
        <w:t xml:space="preserve">, </w:t>
      </w:r>
      <w:r w:rsidRPr="00A772BD">
        <w:rPr>
          <w:b w:val="0"/>
          <w:sz w:val="20"/>
        </w:rPr>
        <w:t>to enable the application of the regulation to vehicles equipped with an ADS</w:t>
      </w:r>
      <w:r>
        <w:rPr>
          <w:b w:val="0"/>
          <w:sz w:val="20"/>
        </w:rPr>
        <w:t xml:space="preserve"> </w:t>
      </w:r>
      <w:r w:rsidRPr="00A772BD">
        <w:rPr>
          <w:b w:val="0"/>
          <w:sz w:val="20"/>
        </w:rPr>
        <w:t>[feature type 2].</w:t>
      </w:r>
      <w:r w:rsidRPr="00143CF1">
        <w:rPr>
          <w:b w:val="0"/>
          <w:sz w:val="20"/>
        </w:rPr>
        <w:t xml:space="preserve"> The modifications to the existing text of the UN Regulation are marked in “</w:t>
      </w:r>
      <w:r w:rsidRPr="004D6B96">
        <w:rPr>
          <w:bCs/>
          <w:sz w:val="20"/>
        </w:rPr>
        <w:t>bold</w:t>
      </w:r>
      <w:r w:rsidRPr="00143CF1">
        <w:rPr>
          <w:b w:val="0"/>
          <w:sz w:val="20"/>
        </w:rPr>
        <w:t>“</w:t>
      </w:r>
      <w:r>
        <w:rPr>
          <w:b w:val="0"/>
          <w:sz w:val="20"/>
        </w:rPr>
        <w:t xml:space="preserve"> </w:t>
      </w:r>
      <w:r w:rsidRPr="00143CF1">
        <w:rPr>
          <w:b w:val="0"/>
          <w:sz w:val="20"/>
        </w:rPr>
        <w:t xml:space="preserve">for new or strikethrough for deleted characters. </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30C90ABB" w14:textId="77777777" w:rsidR="007B7BE6" w:rsidRPr="004837F4" w:rsidRDefault="007B7BE6" w:rsidP="004837F4">
      <w:pPr>
        <w:spacing w:line="240" w:lineRule="auto"/>
        <w:ind w:left="2268" w:right="992" w:hanging="1134"/>
        <w:contextualSpacing/>
        <w:jc w:val="both"/>
        <w:rPr>
          <w:rFonts w:eastAsiaTheme="minorEastAsia"/>
        </w:rPr>
      </w:pPr>
      <w:r w:rsidRPr="004837F4">
        <w:rPr>
          <w:rFonts w:eastAsiaTheme="minorEastAsia"/>
        </w:rPr>
        <w:t>"0.</w:t>
      </w:r>
      <w:r w:rsidRPr="004837F4">
        <w:rPr>
          <w:rFonts w:eastAsiaTheme="minorEastAsia"/>
        </w:rPr>
        <w:tab/>
        <w:t xml:space="preserve">Introduction </w:t>
      </w:r>
    </w:p>
    <w:p w14:paraId="6BE73EB6" w14:textId="247CC0D1" w:rsidR="007B7BE6" w:rsidRPr="004837F4" w:rsidRDefault="007B7BE6" w:rsidP="004837F4">
      <w:pPr>
        <w:pStyle w:val="ListParagraph"/>
        <w:numPr>
          <w:ilvl w:val="1"/>
          <w:numId w:val="22"/>
        </w:numPr>
        <w:spacing w:line="240" w:lineRule="auto"/>
        <w:ind w:right="992"/>
        <w:jc w:val="both"/>
        <w:rPr>
          <w:rFonts w:eastAsiaTheme="minorEastAsia"/>
        </w:rPr>
      </w:pPr>
      <w:r w:rsidRPr="004837F4">
        <w:rPr>
          <w:rFonts w:eastAsiaTheme="minorEastAsia"/>
        </w:rPr>
        <w:t xml:space="preserve">For </w:t>
      </w:r>
      <w:r w:rsidRPr="004837F4">
        <w:t xml:space="preserve">supplement </w:t>
      </w:r>
      <w:r w:rsidR="00C92744" w:rsidRPr="004837F4">
        <w:t>1</w:t>
      </w:r>
      <w:r w:rsidRPr="004837F4">
        <w:t xml:space="preserve"> to the 0</w:t>
      </w:r>
      <w:r w:rsidR="007A5BF4" w:rsidRPr="004837F4">
        <w:t>3</w:t>
      </w:r>
      <w:r w:rsidRPr="004837F4">
        <w:t xml:space="preserve"> Series of Amendments:</w:t>
      </w:r>
      <w:r w:rsidRPr="004837F4">
        <w:rPr>
          <w:rFonts w:eastAsiaTheme="minorEastAsia"/>
        </w:rPr>
        <w:t xml:space="preserve"> </w:t>
      </w:r>
    </w:p>
    <w:p w14:paraId="2BAD7CFB" w14:textId="37B912CB" w:rsidR="007B7BE6" w:rsidRPr="004837F4" w:rsidRDefault="007B7BE6" w:rsidP="004837F4">
      <w:pPr>
        <w:spacing w:line="240" w:lineRule="auto"/>
        <w:ind w:left="2268" w:right="992" w:hanging="1134"/>
        <w:jc w:val="both"/>
        <w:rPr>
          <w:rFonts w:eastAsiaTheme="minorEastAsia"/>
          <w:color w:val="000000" w:themeColor="text1"/>
        </w:rPr>
      </w:pPr>
      <w:r w:rsidRPr="004837F4">
        <w:rPr>
          <w:rFonts w:eastAsiaTheme="minorEastAsia"/>
          <w:color w:val="000000" w:themeColor="text1"/>
        </w:rPr>
        <w:t>0.1.1.</w:t>
      </w:r>
      <w:r w:rsidRPr="004837F4">
        <w:rPr>
          <w:rFonts w:eastAsiaTheme="minorEastAsia"/>
          <w:color w:val="000000" w:themeColor="text1"/>
        </w:rPr>
        <w:tab/>
      </w:r>
      <w:r w:rsidR="00AF383F" w:rsidRPr="004837F4">
        <w:rPr>
          <w:rFonts w:eastAsiaTheme="minorEastAsia"/>
          <w:color w:val="000000" w:themeColor="text1"/>
        </w:rPr>
        <w:t>The Regulation is amended to account for vehicles of category X</w:t>
      </w:r>
      <w:r w:rsidR="0094718B" w:rsidRPr="004837F4">
        <w:rPr>
          <w:rFonts w:eastAsiaTheme="minorEastAsia"/>
          <w:color w:val="000000" w:themeColor="text1"/>
        </w:rPr>
        <w:t xml:space="preserve"> and Y</w:t>
      </w:r>
      <w:r w:rsidR="00E82640" w:rsidRPr="004837F4">
        <w:rPr>
          <w:rFonts w:eastAsiaTheme="minorEastAsia"/>
          <w:color w:val="000000" w:themeColor="text1"/>
        </w:rPr>
        <w:t>.</w:t>
      </w:r>
    </w:p>
    <w:p w14:paraId="1C6310A9" w14:textId="6B893AAA" w:rsidR="002A5589" w:rsidRPr="004837F4" w:rsidRDefault="002A5589" w:rsidP="004837F4">
      <w:pPr>
        <w:spacing w:line="240" w:lineRule="auto"/>
        <w:ind w:left="2268" w:right="992" w:hanging="1134"/>
        <w:contextualSpacing/>
        <w:jc w:val="both"/>
        <w:rPr>
          <w:rFonts w:eastAsiaTheme="minorEastAsia"/>
          <w:color w:val="000000" w:themeColor="text1"/>
        </w:rPr>
      </w:pPr>
      <w:r w:rsidRPr="004837F4">
        <w:rPr>
          <w:rFonts w:eastAsiaTheme="minorEastAsia"/>
          <w:color w:val="000000" w:themeColor="text1"/>
        </w:rPr>
        <w:t xml:space="preserve">0.1.2. </w:t>
      </w:r>
      <w:r w:rsidRPr="004837F4">
        <w:rPr>
          <w:rFonts w:eastAsiaTheme="minorEastAsia"/>
          <w:color w:val="000000" w:themeColor="text1"/>
        </w:rPr>
        <w:tab/>
      </w:r>
      <w:r w:rsidR="00AF383F" w:rsidRPr="004837F4">
        <w:rPr>
          <w:rFonts w:eastAsiaTheme="minorEastAsia"/>
          <w:color w:val="000000" w:themeColor="text1"/>
        </w:rPr>
        <w:t>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taken into account if not already covered by this amendment.</w:t>
      </w:r>
    </w:p>
    <w:p w14:paraId="1F82DF6A" w14:textId="5AD2B299" w:rsidR="002A5589" w:rsidRPr="004837F4" w:rsidRDefault="002A5589" w:rsidP="004837F4">
      <w:pPr>
        <w:spacing w:line="240" w:lineRule="auto"/>
        <w:ind w:left="2268" w:right="992" w:hanging="1134"/>
        <w:contextualSpacing/>
        <w:jc w:val="both"/>
        <w:rPr>
          <w:rFonts w:eastAsiaTheme="minorEastAsia"/>
        </w:rPr>
      </w:pPr>
      <w:r w:rsidRPr="004837F4">
        <w:rPr>
          <w:rFonts w:eastAsiaTheme="minorEastAsia"/>
          <w:color w:val="000000" w:themeColor="text1"/>
        </w:rPr>
        <w:t xml:space="preserve">0.1.3. </w:t>
      </w:r>
      <w:r w:rsidRPr="004837F4">
        <w:rPr>
          <w:rFonts w:eastAsiaTheme="minorEastAsia"/>
          <w:color w:val="000000" w:themeColor="text1"/>
        </w:rPr>
        <w:tab/>
      </w:r>
      <w:r w:rsidR="00E008E8" w:rsidRPr="00FF5CFB">
        <w:rPr>
          <w:lang w:val="en-US"/>
        </w:rPr>
        <w:t>In the case of vehicles equipped with an ADS other than vehicles of categories X and Y, in the manual driving mode no special provisions or exemptions apply.</w:t>
      </w:r>
      <w:r w:rsidR="00AF383F" w:rsidRPr="004837F4">
        <w:rPr>
          <w:rFonts w:eastAsiaTheme="minorEastAsia"/>
          <w:color w:val="000000" w:themeColor="text1"/>
        </w:rPr>
        <w:t xml:space="preserve"> In a mode where an ADS feature is active the relevant ADS requirements have to be fulfilled.</w:t>
      </w:r>
      <w:r w:rsidR="00FE08E3" w:rsidRPr="004837F4">
        <w:rPr>
          <w:rStyle w:val="Hyperlink"/>
          <w:iCs/>
          <w:color w:val="auto"/>
          <w:szCs w:val="18"/>
        </w:rPr>
        <w:t>"</w:t>
      </w:r>
    </w:p>
    <w:p w14:paraId="565B6769" w14:textId="77777777" w:rsidR="000E112B" w:rsidRDefault="000E112B" w:rsidP="002A5589">
      <w:pPr>
        <w:spacing w:line="240" w:lineRule="auto"/>
        <w:ind w:left="1985" w:right="992" w:hanging="851"/>
        <w:contextualSpacing/>
        <w:jc w:val="both"/>
        <w:rPr>
          <w:rFonts w:eastAsiaTheme="minorEastAsia"/>
          <w:b/>
          <w:bCs/>
          <w:color w:val="000000" w:themeColor="text1"/>
        </w:rPr>
      </w:pPr>
    </w:p>
    <w:p w14:paraId="5A3E546B" w14:textId="77777777" w:rsidR="00F809CE" w:rsidRDefault="00F809CE" w:rsidP="008A2093">
      <w:pPr>
        <w:adjustRightInd w:val="0"/>
        <w:snapToGrid w:val="0"/>
        <w:spacing w:after="120" w:line="240" w:lineRule="auto"/>
        <w:ind w:left="1985" w:right="1134" w:hanging="851"/>
        <w:jc w:val="both"/>
        <w:rPr>
          <w:bCs/>
          <w:i/>
          <w:iCs/>
        </w:rPr>
      </w:pPr>
      <w:bookmarkStart w:id="0" w:name="_Toc401757975"/>
    </w:p>
    <w:p w14:paraId="5432BB8E" w14:textId="68582BB4" w:rsidR="008A2093" w:rsidRDefault="00F83450" w:rsidP="008A2093">
      <w:pPr>
        <w:adjustRightInd w:val="0"/>
        <w:snapToGrid w:val="0"/>
        <w:spacing w:after="120" w:line="240" w:lineRule="auto"/>
        <w:ind w:left="1985" w:right="1134" w:hanging="851"/>
        <w:jc w:val="both"/>
      </w:pPr>
      <w:r w:rsidRPr="00F83450">
        <w:rPr>
          <w:bCs/>
          <w:i/>
          <w:iCs/>
        </w:rPr>
        <w:t>Annex 5</w:t>
      </w:r>
      <w:bookmarkEnd w:id="0"/>
      <w:r>
        <w:rPr>
          <w:bCs/>
          <w:i/>
          <w:iCs/>
        </w:rPr>
        <w:t xml:space="preserve">, </w:t>
      </w:r>
      <w:r w:rsidR="008A2093">
        <w:rPr>
          <w:i/>
          <w:iCs/>
        </w:rPr>
        <w:t>P</w:t>
      </w:r>
      <w:r w:rsidR="008A2093" w:rsidRPr="005D764E">
        <w:rPr>
          <w:i/>
          <w:iCs/>
        </w:rPr>
        <w:t xml:space="preserve">aragraph </w:t>
      </w:r>
      <w:r w:rsidR="0094718B">
        <w:rPr>
          <w:i/>
          <w:iCs/>
        </w:rPr>
        <w:t>7.4</w:t>
      </w:r>
      <w:r w:rsidR="00D658B3">
        <w:rPr>
          <w:i/>
          <w:iCs/>
        </w:rPr>
        <w:t>.</w:t>
      </w:r>
      <w:r w:rsidR="00F171E6">
        <w:rPr>
          <w:i/>
          <w:iCs/>
        </w:rPr>
        <w:t>,</w:t>
      </w:r>
      <w:r w:rsidR="008A2093">
        <w:rPr>
          <w:i/>
          <w:iCs/>
        </w:rPr>
        <w:t xml:space="preserve"> </w:t>
      </w:r>
      <w:r w:rsidR="008A2093">
        <w:t>amend to read:</w:t>
      </w:r>
    </w:p>
    <w:p w14:paraId="6B057602" w14:textId="42474729" w:rsidR="0094718B" w:rsidRPr="00D658B3" w:rsidRDefault="00FE08E3" w:rsidP="0094718B">
      <w:pPr>
        <w:pStyle w:val="para"/>
        <w:keepNext/>
        <w:keepLines/>
        <w:rPr>
          <w:lang w:val="en-GB" w:eastAsia="en-GB"/>
        </w:rPr>
      </w:pPr>
      <w:r w:rsidRPr="00414B22">
        <w:rPr>
          <w:rStyle w:val="Hyperlink"/>
          <w:iCs/>
          <w:color w:val="auto"/>
          <w:szCs w:val="18"/>
        </w:rPr>
        <w:t>"</w:t>
      </w:r>
      <w:r w:rsidR="0094718B">
        <w:rPr>
          <w:lang w:val="en-IE" w:eastAsia="en-IE"/>
        </w:rPr>
        <w:t>7.4</w:t>
      </w:r>
      <w:r w:rsidR="00AF04EE">
        <w:rPr>
          <w:lang w:val="en-IE" w:eastAsia="en-IE"/>
        </w:rPr>
        <w:t>.</w:t>
      </w:r>
      <w:r w:rsidR="0094718B" w:rsidRPr="00D658B3">
        <w:rPr>
          <w:lang w:val="en-GB" w:eastAsia="en-GB"/>
        </w:rPr>
        <w:tab/>
        <w:t>Locking devices to prevent uncoupling of fifth wheel couplings</w:t>
      </w:r>
    </w:p>
    <w:p w14:paraId="4B8D27A2" w14:textId="77777777" w:rsidR="0094718B" w:rsidRPr="00D658B3" w:rsidRDefault="0094718B" w:rsidP="0094718B">
      <w:pPr>
        <w:pStyle w:val="para"/>
        <w:ind w:firstLine="0"/>
        <w:rPr>
          <w:lang w:val="en-GB" w:eastAsia="en-GB"/>
        </w:rPr>
      </w:pPr>
      <w:r w:rsidRPr="00D658B3">
        <w:rPr>
          <w:lang w:val="en-GB" w:eastAsia="en-GB"/>
        </w:rPr>
        <w:t>The fifth wheel coupling shall be locked in the coupled position by two positive mechanical locking devices each of which shall remain effective should the other fail.</w:t>
      </w:r>
    </w:p>
    <w:p w14:paraId="013643E7" w14:textId="39593ED0" w:rsidR="0094718B" w:rsidRPr="00D658B3" w:rsidRDefault="0094718B" w:rsidP="0094718B">
      <w:pPr>
        <w:pStyle w:val="para"/>
        <w:ind w:firstLine="0"/>
        <w:rPr>
          <w:lang w:val="en-GB" w:eastAsia="en-GB"/>
        </w:rPr>
      </w:pPr>
      <w:r w:rsidRPr="00D658B3">
        <w:rPr>
          <w:lang w:val="en-GB" w:eastAsia="en-GB"/>
        </w:rPr>
        <w:t>The primary locking device shall operate automatically but the secondary locking device may either be automatic or be engaged manually. The secondary locking device may be designed to work in conjunction with the primary device and provide an additional positive mechanical lock for the primary device. It shall only be possible to engage the secondary locking device if the primary device is properly engaged.</w:t>
      </w:r>
    </w:p>
    <w:p w14:paraId="19D7A46D" w14:textId="1D5FC125" w:rsidR="0094718B" w:rsidRPr="00D658B3" w:rsidRDefault="0094718B" w:rsidP="009F5165">
      <w:pPr>
        <w:pStyle w:val="para"/>
        <w:ind w:firstLine="0"/>
        <w:rPr>
          <w:lang w:val="en-GB" w:eastAsia="en-GB"/>
        </w:rPr>
      </w:pPr>
      <w:r w:rsidRPr="00D658B3">
        <w:rPr>
          <w:lang w:val="en-GB" w:eastAsia="en-GB"/>
        </w:rPr>
        <w:t>It shall not be possible for the locking devices to be released inadvertently.  Release shall require intentional action by the driver</w:t>
      </w:r>
      <w:r w:rsidR="009F5165" w:rsidRPr="00D658B3">
        <w:rPr>
          <w:lang w:val="en-GB" w:eastAsia="en-GB"/>
        </w:rPr>
        <w:t xml:space="preserve"> </w:t>
      </w:r>
      <w:r w:rsidRPr="00D658B3">
        <w:rPr>
          <w:lang w:val="en-GB" w:eastAsia="en-GB"/>
        </w:rPr>
        <w:t>or operator of the vehicle</w:t>
      </w:r>
      <w:r w:rsidR="00C1385A" w:rsidRPr="00C1385A">
        <w:rPr>
          <w:b/>
          <w:lang w:val="en-GB" w:eastAsia="en-GB"/>
        </w:rPr>
        <w:t>, or by the ADS</w:t>
      </w:r>
      <w:r w:rsidR="009038B3" w:rsidRPr="00D658B3">
        <w:rPr>
          <w:lang w:val="en-GB" w:eastAsia="en-GB"/>
        </w:rPr>
        <w:t>.</w:t>
      </w:r>
      <w:r w:rsidR="009F5165" w:rsidRPr="00D658B3">
        <w:rPr>
          <w:lang w:val="en-GB" w:eastAsia="en-GB"/>
        </w:rPr>
        <w:t xml:space="preserve"> </w:t>
      </w:r>
    </w:p>
    <w:p w14:paraId="77BF5ABE" w14:textId="77777777" w:rsidR="009C526D" w:rsidRDefault="0094718B" w:rsidP="00DA28BE">
      <w:pPr>
        <w:pStyle w:val="para"/>
        <w:ind w:firstLine="0"/>
        <w:rPr>
          <w:lang w:val="en-GB" w:eastAsia="en-GB"/>
        </w:rPr>
      </w:pPr>
      <w:r w:rsidRPr="00D658B3">
        <w:rPr>
          <w:lang w:val="en-GB" w:eastAsia="en-GB"/>
        </w:rPr>
        <w:t>The closed and locked position of the coupling shall be indicated visually by a mechanical device and it shall be possible to verify the position of the indicator by feel, for example, to allow the position to be checked during darkness. The indication device shall indicate the engagement of both primary and secondary locking devices, however, it is sufficient for the engagement of only one device to be indicated if, in this case, the engagement of the other device is a simultaneous and inherent feature of the design.</w:t>
      </w:r>
      <w:r w:rsidR="00DA28BE" w:rsidRPr="00D658B3">
        <w:rPr>
          <w:lang w:val="en-GB" w:eastAsia="en-GB"/>
        </w:rPr>
        <w:t xml:space="preserve"> </w:t>
      </w:r>
    </w:p>
    <w:p w14:paraId="57C7F329" w14:textId="2042CB9B" w:rsidR="003203B6" w:rsidRPr="00D658B3" w:rsidRDefault="00DA28BE" w:rsidP="00DA28BE">
      <w:pPr>
        <w:pStyle w:val="para"/>
        <w:ind w:firstLine="0"/>
        <w:rPr>
          <w:b/>
          <w:bCs/>
          <w:lang w:val="en-GB" w:eastAsia="en-IE"/>
        </w:rPr>
      </w:pPr>
      <w:r>
        <w:rPr>
          <w:b/>
          <w:bCs/>
          <w:lang w:val="en-IE" w:eastAsia="en-IE"/>
        </w:rPr>
        <w:t xml:space="preserve">For vehicles </w:t>
      </w:r>
      <w:r w:rsidR="00764347">
        <w:rPr>
          <w:b/>
          <w:bCs/>
          <w:lang w:val="en-IE" w:eastAsia="en-IE"/>
        </w:rPr>
        <w:t>equipped with an ADS</w:t>
      </w:r>
      <w:r w:rsidR="00764347">
        <w:rPr>
          <w:b/>
          <w:bCs/>
          <w:color w:val="000000"/>
          <w:lang w:val="en-IE" w:eastAsia="en-GB"/>
        </w:rPr>
        <w:t xml:space="preserve">, the </w:t>
      </w:r>
      <w:r w:rsidR="002045B0">
        <w:rPr>
          <w:b/>
          <w:bCs/>
          <w:color w:val="000000"/>
          <w:lang w:val="en-IE" w:eastAsia="en-GB"/>
        </w:rPr>
        <w:t xml:space="preserve">engagement status </w:t>
      </w:r>
      <w:r w:rsidR="00764347" w:rsidRPr="00764347">
        <w:rPr>
          <w:b/>
          <w:bCs/>
          <w:color w:val="000000"/>
          <w:lang w:val="en-GB" w:eastAsia="en-GB"/>
        </w:rPr>
        <w:t xml:space="preserve">of the coupling </w:t>
      </w:r>
      <w:r w:rsidRPr="00CC48B3">
        <w:rPr>
          <w:b/>
          <w:bCs/>
          <w:lang w:val="en-IE" w:eastAsia="en-IE"/>
        </w:rPr>
        <w:t>shall</w:t>
      </w:r>
      <w:r w:rsidR="00764347">
        <w:rPr>
          <w:b/>
          <w:bCs/>
          <w:lang w:val="en-IE" w:eastAsia="en-IE"/>
        </w:rPr>
        <w:t xml:space="preserve"> </w:t>
      </w:r>
      <w:r w:rsidRPr="00CC48B3">
        <w:rPr>
          <w:b/>
          <w:bCs/>
          <w:lang w:val="en-IE" w:eastAsia="en-IE"/>
        </w:rPr>
        <w:t>be transmitted</w:t>
      </w:r>
      <w:r w:rsidR="002045B0">
        <w:rPr>
          <w:b/>
          <w:bCs/>
          <w:lang w:val="en-IE" w:eastAsia="en-IE"/>
        </w:rPr>
        <w:t xml:space="preserve"> as a logic signal</w:t>
      </w:r>
      <w:r w:rsidRPr="00CC48B3">
        <w:rPr>
          <w:b/>
          <w:bCs/>
          <w:lang w:val="en-IE" w:eastAsia="en-IE"/>
        </w:rPr>
        <w:t xml:space="preserve"> to the ADS</w:t>
      </w:r>
      <w:r>
        <w:rPr>
          <w:b/>
          <w:bCs/>
          <w:lang w:val="en-IE" w:eastAsia="en-IE"/>
        </w:rPr>
        <w:t>.</w:t>
      </w:r>
      <w:r w:rsidR="00FE08E3" w:rsidRPr="00414B22">
        <w:rPr>
          <w:rStyle w:val="Hyperlink"/>
          <w:iCs/>
          <w:color w:val="auto"/>
          <w:szCs w:val="18"/>
        </w:rPr>
        <w:t>"</w:t>
      </w:r>
    </w:p>
    <w:p w14:paraId="4CF6B5EB" w14:textId="77777777" w:rsidR="004357E6" w:rsidRDefault="004357E6" w:rsidP="004837F4">
      <w:pPr>
        <w:spacing w:after="120" w:line="240" w:lineRule="auto"/>
        <w:ind w:right="1134"/>
        <w:jc w:val="both"/>
        <w:rPr>
          <w:b/>
          <w:bCs/>
          <w:lang w:eastAsia="en-IE"/>
        </w:rPr>
      </w:pPr>
    </w:p>
    <w:p w14:paraId="723FE35C" w14:textId="6C362F93" w:rsidR="004357E6" w:rsidRDefault="004357E6" w:rsidP="004357E6">
      <w:pPr>
        <w:adjustRightInd w:val="0"/>
        <w:snapToGrid w:val="0"/>
        <w:spacing w:after="120" w:line="240" w:lineRule="auto"/>
        <w:ind w:left="1985" w:right="1134" w:hanging="851"/>
        <w:jc w:val="both"/>
      </w:pPr>
      <w:r w:rsidRPr="00F83450">
        <w:rPr>
          <w:bCs/>
          <w:i/>
          <w:iCs/>
        </w:rPr>
        <w:t>Annex 5</w:t>
      </w:r>
      <w:r>
        <w:rPr>
          <w:bCs/>
          <w:i/>
          <w:iCs/>
        </w:rPr>
        <w:t xml:space="preserve">, </w:t>
      </w:r>
      <w:r>
        <w:rPr>
          <w:i/>
          <w:iCs/>
        </w:rPr>
        <w:t>P</w:t>
      </w:r>
      <w:r w:rsidRPr="005D764E">
        <w:rPr>
          <w:i/>
          <w:iCs/>
        </w:rPr>
        <w:t xml:space="preserve">aragraph </w:t>
      </w:r>
      <w:r>
        <w:rPr>
          <w:i/>
          <w:iCs/>
        </w:rPr>
        <w:t xml:space="preserve">10.4, </w:t>
      </w:r>
      <w:r>
        <w:t>amend to read:</w:t>
      </w:r>
    </w:p>
    <w:p w14:paraId="465DF9B9" w14:textId="49DF0CAC" w:rsidR="004357E6" w:rsidRPr="00D658B3" w:rsidRDefault="00FE08E3" w:rsidP="004357E6">
      <w:pPr>
        <w:pStyle w:val="para"/>
        <w:rPr>
          <w:lang w:val="en-GB" w:eastAsia="en-GB"/>
        </w:rPr>
      </w:pPr>
      <w:r w:rsidRPr="00414B22">
        <w:rPr>
          <w:rStyle w:val="Hyperlink"/>
          <w:iCs/>
          <w:color w:val="auto"/>
          <w:szCs w:val="18"/>
        </w:rPr>
        <w:t>"</w:t>
      </w:r>
      <w:r w:rsidR="004357E6">
        <w:rPr>
          <w:lang w:val="en-IE" w:eastAsia="en-IE"/>
        </w:rPr>
        <w:t xml:space="preserve">10.4. </w:t>
      </w:r>
      <w:r w:rsidR="004357E6">
        <w:rPr>
          <w:lang w:val="en-IE" w:eastAsia="en-IE"/>
        </w:rPr>
        <w:tab/>
      </w:r>
      <w:r w:rsidR="004357E6" w:rsidRPr="00D658B3">
        <w:rPr>
          <w:lang w:val="en-GB" w:eastAsia="en-GB"/>
        </w:rPr>
        <w:t>Locking to prevent inadvertent uncoupling:</w:t>
      </w:r>
    </w:p>
    <w:p w14:paraId="1E42007B" w14:textId="77777777" w:rsidR="004357E6" w:rsidRPr="00D658B3" w:rsidRDefault="004357E6" w:rsidP="004357E6">
      <w:pPr>
        <w:pStyle w:val="para"/>
        <w:ind w:firstLine="0"/>
        <w:rPr>
          <w:lang w:val="en-GB" w:eastAsia="en-GB"/>
        </w:rPr>
      </w:pPr>
      <w:r w:rsidRPr="00D658B3">
        <w:rPr>
          <w:lang w:val="en-GB" w:eastAsia="en-GB"/>
        </w:rPr>
        <w:t xml:space="preserve">In the closed position the coupling shall be locked by two </w:t>
      </w:r>
      <w:r w:rsidRPr="00D658B3">
        <w:rPr>
          <w:position w:val="2"/>
          <w:lang w:val="en-GB" w:eastAsia="en-GB"/>
        </w:rPr>
        <w:t>positive mechanical engagement locking devices each of which shall remain effective should the other fail.</w:t>
      </w:r>
    </w:p>
    <w:p w14:paraId="40B9AE78" w14:textId="5BD61CBB" w:rsidR="004357E6" w:rsidRPr="00D658B3" w:rsidRDefault="004357E6" w:rsidP="004357E6">
      <w:pPr>
        <w:pStyle w:val="para"/>
        <w:ind w:firstLine="0"/>
        <w:rPr>
          <w:b/>
          <w:bCs/>
          <w:lang w:val="en-GB" w:eastAsia="en-IE"/>
        </w:rPr>
      </w:pPr>
      <w:r w:rsidRPr="00D658B3">
        <w:rPr>
          <w:lang w:val="en-GB" w:eastAsia="en-GB"/>
        </w:rPr>
        <w:t>The closed and locked position of the coupling shall be clearly indicated externally by a mechanical device.</w:t>
      </w:r>
      <w:r w:rsidRPr="00D658B3">
        <w:rPr>
          <w:lang w:val="en-GB" w:eastAsia="en-GB"/>
        </w:rPr>
        <w:tab/>
        <w:t>It shall be possible to verify the position of the indicator by feel, for example, in the dark.</w:t>
      </w:r>
    </w:p>
    <w:p w14:paraId="12C9F358" w14:textId="77777777" w:rsidR="004357E6" w:rsidRPr="00D658B3" w:rsidRDefault="004357E6" w:rsidP="004357E6">
      <w:pPr>
        <w:pStyle w:val="para"/>
        <w:ind w:firstLine="0"/>
        <w:rPr>
          <w:lang w:val="en-GB" w:eastAsia="en-GB"/>
        </w:rPr>
      </w:pPr>
      <w:r w:rsidRPr="00D658B3">
        <w:rPr>
          <w:lang w:val="en-GB" w:eastAsia="en-GB"/>
        </w:rPr>
        <w:t>The mechanical indication device shall indicate the engagement of both locking devices (an AND condition).</w:t>
      </w:r>
    </w:p>
    <w:p w14:paraId="68891F5A" w14:textId="129AE19B" w:rsidR="004357E6" w:rsidRDefault="004357E6" w:rsidP="004357E6">
      <w:pPr>
        <w:pStyle w:val="para"/>
        <w:ind w:firstLine="0"/>
        <w:rPr>
          <w:lang w:val="en-GB" w:eastAsia="en-GB"/>
        </w:rPr>
      </w:pPr>
      <w:r w:rsidRPr="00D658B3">
        <w:rPr>
          <w:lang w:val="en-GB" w:eastAsia="en-GB"/>
        </w:rPr>
        <w:lastRenderedPageBreak/>
        <w:t>However, it is sufficient for the engagement of only one locking device to be indicated if, in this situation, engagement of the second locking device is an inherent feature of the design.</w:t>
      </w:r>
    </w:p>
    <w:p w14:paraId="504739F0" w14:textId="0F8FF1FA" w:rsidR="009C526D" w:rsidRPr="00D658B3" w:rsidRDefault="009C526D" w:rsidP="009C526D">
      <w:pPr>
        <w:pStyle w:val="para"/>
        <w:ind w:firstLine="0"/>
        <w:rPr>
          <w:b/>
          <w:bCs/>
          <w:lang w:val="en-GB" w:eastAsia="en-IE"/>
        </w:rPr>
      </w:pPr>
      <w:r>
        <w:rPr>
          <w:b/>
          <w:bCs/>
          <w:lang w:val="en-IE" w:eastAsia="en-IE"/>
        </w:rPr>
        <w:t>For vehicles equipped with an ADS</w:t>
      </w:r>
      <w:r>
        <w:rPr>
          <w:b/>
          <w:bCs/>
          <w:color w:val="000000"/>
          <w:lang w:val="en-IE" w:eastAsia="en-GB"/>
        </w:rPr>
        <w:t xml:space="preserve">, the </w:t>
      </w:r>
      <w:r w:rsidR="00956869">
        <w:rPr>
          <w:b/>
          <w:bCs/>
          <w:color w:val="000000"/>
          <w:lang w:val="en-IE" w:eastAsia="en-GB"/>
        </w:rPr>
        <w:t>engagement status</w:t>
      </w:r>
      <w:r>
        <w:rPr>
          <w:b/>
          <w:bCs/>
          <w:color w:val="000000"/>
          <w:lang w:val="en-IE" w:eastAsia="en-GB"/>
        </w:rPr>
        <w:t xml:space="preserve"> of the </w:t>
      </w:r>
      <w:r w:rsidRPr="00764347">
        <w:rPr>
          <w:b/>
          <w:bCs/>
          <w:color w:val="000000"/>
          <w:lang w:val="en-GB" w:eastAsia="en-GB"/>
        </w:rPr>
        <w:t xml:space="preserve">coupling </w:t>
      </w:r>
      <w:r w:rsidRPr="00CC48B3">
        <w:rPr>
          <w:b/>
          <w:bCs/>
          <w:lang w:val="en-IE" w:eastAsia="en-IE"/>
        </w:rPr>
        <w:t>shall</w:t>
      </w:r>
      <w:r>
        <w:rPr>
          <w:b/>
          <w:bCs/>
          <w:lang w:val="en-IE" w:eastAsia="en-IE"/>
        </w:rPr>
        <w:t xml:space="preserve"> </w:t>
      </w:r>
      <w:r w:rsidRPr="00CC48B3">
        <w:rPr>
          <w:b/>
          <w:bCs/>
          <w:lang w:val="en-IE" w:eastAsia="en-IE"/>
        </w:rPr>
        <w:t>be transmitted</w:t>
      </w:r>
      <w:r w:rsidR="00956869">
        <w:rPr>
          <w:b/>
          <w:bCs/>
          <w:lang w:val="en-IE" w:eastAsia="en-IE"/>
        </w:rPr>
        <w:t xml:space="preserve"> as a logic signal</w:t>
      </w:r>
      <w:r w:rsidRPr="00CC48B3">
        <w:rPr>
          <w:b/>
          <w:bCs/>
          <w:lang w:val="en-IE" w:eastAsia="en-IE"/>
        </w:rPr>
        <w:t xml:space="preserve"> to the ADS</w:t>
      </w:r>
      <w:r>
        <w:rPr>
          <w:b/>
          <w:bCs/>
          <w:lang w:val="en-IE" w:eastAsia="en-IE"/>
        </w:rPr>
        <w:t>.</w:t>
      </w:r>
      <w:r w:rsidR="00FE08E3" w:rsidRPr="00414B22">
        <w:rPr>
          <w:rStyle w:val="Hyperlink"/>
          <w:iCs/>
          <w:color w:val="auto"/>
          <w:szCs w:val="18"/>
        </w:rPr>
        <w:t>"</w:t>
      </w:r>
    </w:p>
    <w:p w14:paraId="39523FB4" w14:textId="77777777" w:rsidR="004357E6" w:rsidRDefault="004357E6" w:rsidP="004837F4">
      <w:pPr>
        <w:spacing w:after="120" w:line="240" w:lineRule="auto"/>
        <w:ind w:right="1134"/>
        <w:jc w:val="both"/>
        <w:rPr>
          <w:b/>
          <w:bCs/>
          <w:lang w:eastAsia="en-IE"/>
        </w:rPr>
      </w:pPr>
    </w:p>
    <w:p w14:paraId="5B938149" w14:textId="5255548A" w:rsidR="00876400" w:rsidRDefault="00321AD6" w:rsidP="00876400">
      <w:pPr>
        <w:adjustRightInd w:val="0"/>
        <w:snapToGrid w:val="0"/>
        <w:spacing w:after="120" w:line="240" w:lineRule="auto"/>
        <w:ind w:left="1985" w:right="1134" w:hanging="851"/>
        <w:jc w:val="both"/>
      </w:pPr>
      <w:r>
        <w:rPr>
          <w:i/>
          <w:iCs/>
        </w:rPr>
        <w:t xml:space="preserve">Annex 5, </w:t>
      </w:r>
      <w:r w:rsidR="00876400">
        <w:rPr>
          <w:i/>
          <w:iCs/>
        </w:rPr>
        <w:t>P</w:t>
      </w:r>
      <w:r w:rsidR="00876400" w:rsidRPr="005D764E">
        <w:rPr>
          <w:i/>
          <w:iCs/>
        </w:rPr>
        <w:t xml:space="preserve">aragraph </w:t>
      </w:r>
      <w:r>
        <w:rPr>
          <w:i/>
          <w:iCs/>
        </w:rPr>
        <w:t>13.2</w:t>
      </w:r>
      <w:r w:rsidR="00FE08E3">
        <w:rPr>
          <w:i/>
          <w:iCs/>
        </w:rPr>
        <w:t>.</w:t>
      </w:r>
      <w:r w:rsidR="00876400">
        <w:rPr>
          <w:i/>
          <w:iCs/>
        </w:rPr>
        <w:t xml:space="preserve">, </w:t>
      </w:r>
      <w:r w:rsidR="00876400">
        <w:t>amend to read:</w:t>
      </w:r>
    </w:p>
    <w:p w14:paraId="1C61D9A8" w14:textId="1B6F1546" w:rsidR="00876400" w:rsidRPr="001B6BE4" w:rsidRDefault="001725C2" w:rsidP="00876400">
      <w:pPr>
        <w:pStyle w:val="para"/>
        <w:rPr>
          <w:lang w:val="en-GB" w:eastAsia="en-GB"/>
        </w:rPr>
      </w:pPr>
      <w:r w:rsidRPr="00414B22">
        <w:rPr>
          <w:rStyle w:val="Hyperlink"/>
          <w:iCs/>
          <w:color w:val="auto"/>
          <w:szCs w:val="18"/>
        </w:rPr>
        <w:t>"</w:t>
      </w:r>
      <w:r w:rsidR="00876400" w:rsidRPr="001B6BE4">
        <w:rPr>
          <w:spacing w:val="-1"/>
          <w:lang w:val="en-GB" w:eastAsia="en-GB"/>
        </w:rPr>
        <w:t>13.2</w:t>
      </w:r>
      <w:r w:rsidR="00876400" w:rsidRPr="001B6BE4">
        <w:rPr>
          <w:lang w:val="en-GB" w:eastAsia="en-GB"/>
        </w:rPr>
        <w:t>.</w:t>
      </w:r>
      <w:r w:rsidR="00876400" w:rsidRPr="001B6BE4">
        <w:rPr>
          <w:lang w:val="en-GB" w:eastAsia="en-GB"/>
        </w:rPr>
        <w:tab/>
      </w:r>
      <w:r w:rsidR="00876400" w:rsidRPr="001B6BE4">
        <w:rPr>
          <w:spacing w:val="-1"/>
          <w:lang w:val="en-GB" w:eastAsia="en-GB"/>
        </w:rPr>
        <w:t>Remot</w:t>
      </w:r>
      <w:r w:rsidR="00876400" w:rsidRPr="001B6BE4">
        <w:rPr>
          <w:lang w:val="en-GB" w:eastAsia="en-GB"/>
        </w:rPr>
        <w:t xml:space="preserve">e </w:t>
      </w:r>
      <w:r w:rsidR="00876400" w:rsidRPr="001B6BE4">
        <w:rPr>
          <w:spacing w:val="-1"/>
          <w:lang w:val="en-GB" w:eastAsia="en-GB"/>
        </w:rPr>
        <w:t>indication</w:t>
      </w:r>
      <w:r w:rsidR="00C41ED9" w:rsidRPr="001B6BE4">
        <w:rPr>
          <w:spacing w:val="-1"/>
          <w:lang w:val="en-GB" w:eastAsia="en-GB"/>
        </w:rPr>
        <w:t xml:space="preserve"> </w:t>
      </w:r>
      <w:r w:rsidR="00C41ED9" w:rsidRPr="001B6BE4">
        <w:rPr>
          <w:b/>
          <w:bCs/>
          <w:spacing w:val="-1"/>
          <w:lang w:val="en-GB" w:eastAsia="en-GB"/>
        </w:rPr>
        <w:t>(for the driver or operator of the vehicle)</w:t>
      </w:r>
      <w:r w:rsidRPr="00414B22">
        <w:rPr>
          <w:rStyle w:val="Hyperlink"/>
          <w:iCs/>
          <w:color w:val="auto"/>
          <w:szCs w:val="18"/>
        </w:rPr>
        <w:t>"</w:t>
      </w:r>
    </w:p>
    <w:p w14:paraId="0F22C3B7" w14:textId="44174EB4" w:rsidR="00876400" w:rsidRDefault="00876400" w:rsidP="00876400">
      <w:pPr>
        <w:pStyle w:val="para"/>
        <w:rPr>
          <w:spacing w:val="-1"/>
          <w:lang w:val="en-GB" w:eastAsia="en-GB"/>
        </w:rPr>
      </w:pPr>
    </w:p>
    <w:p w14:paraId="62A1C285" w14:textId="77777777" w:rsidR="00893BFC" w:rsidRDefault="00893BFC" w:rsidP="00893BFC">
      <w:pPr>
        <w:adjustRightInd w:val="0"/>
        <w:snapToGrid w:val="0"/>
        <w:spacing w:after="120" w:line="240" w:lineRule="auto"/>
        <w:ind w:left="1985" w:right="1134" w:hanging="851"/>
        <w:jc w:val="both"/>
      </w:pPr>
      <w:r>
        <w:rPr>
          <w:i/>
          <w:iCs/>
        </w:rPr>
        <w:t>Annex 5, P</w:t>
      </w:r>
      <w:r w:rsidRPr="005D764E">
        <w:rPr>
          <w:i/>
          <w:iCs/>
        </w:rPr>
        <w:t xml:space="preserve">aragraph </w:t>
      </w:r>
      <w:r>
        <w:rPr>
          <w:i/>
          <w:iCs/>
        </w:rPr>
        <w:t xml:space="preserve">13.2.8., </w:t>
      </w:r>
      <w:r>
        <w:t>amend to read:</w:t>
      </w:r>
    </w:p>
    <w:p w14:paraId="6B1126B7" w14:textId="64E7E793" w:rsidR="00876400" w:rsidRPr="00D658B3" w:rsidRDefault="00FE08E3" w:rsidP="00876400">
      <w:pPr>
        <w:pStyle w:val="para"/>
        <w:rPr>
          <w:lang w:val="en-GB" w:eastAsia="en-GB"/>
        </w:rPr>
      </w:pPr>
      <w:r w:rsidRPr="00414B22">
        <w:rPr>
          <w:rStyle w:val="Hyperlink"/>
          <w:iCs/>
          <w:color w:val="auto"/>
          <w:szCs w:val="18"/>
        </w:rPr>
        <w:t>"</w:t>
      </w:r>
      <w:r w:rsidR="00876400" w:rsidRPr="00D658B3">
        <w:rPr>
          <w:lang w:val="en-GB" w:eastAsia="en-GB"/>
        </w:rPr>
        <w:t>13.2.8.</w:t>
      </w:r>
      <w:r w:rsidR="00876400" w:rsidRPr="00D658B3">
        <w:rPr>
          <w:lang w:val="en-GB" w:eastAsia="en-GB"/>
        </w:rPr>
        <w:tab/>
        <w:t>In order to avoid distracting the driver during normal driving, there shall be a provision for switching off the remote indication device but this shall be automatically reactivated when the coupling is next opened and closed - see paragraph 1</w:t>
      </w:r>
      <w:r w:rsidR="00876400" w:rsidRPr="00D658B3">
        <w:rPr>
          <w:b/>
          <w:bCs/>
          <w:strike/>
          <w:lang w:val="en-GB" w:eastAsia="en-GB"/>
        </w:rPr>
        <w:t>2</w:t>
      </w:r>
      <w:r w:rsidR="00321AD6" w:rsidRPr="00D658B3">
        <w:rPr>
          <w:b/>
          <w:bCs/>
          <w:lang w:val="en-GB" w:eastAsia="en-GB"/>
        </w:rPr>
        <w:t>3</w:t>
      </w:r>
      <w:r w:rsidR="00876400" w:rsidRPr="00D658B3">
        <w:rPr>
          <w:lang w:val="en-GB" w:eastAsia="en-GB"/>
        </w:rPr>
        <w:t>.2.1.</w:t>
      </w:r>
      <w:r w:rsidR="001725C2" w:rsidRPr="00414B22">
        <w:rPr>
          <w:rStyle w:val="Hyperlink"/>
          <w:iCs/>
          <w:color w:val="auto"/>
          <w:szCs w:val="18"/>
        </w:rPr>
        <w:t>"</w:t>
      </w:r>
    </w:p>
    <w:p w14:paraId="1F55A97B" w14:textId="0D84FA8F" w:rsidR="001E2557" w:rsidRPr="001E2557" w:rsidRDefault="001E2557" w:rsidP="00876400">
      <w:pPr>
        <w:spacing w:after="120"/>
        <w:ind w:left="2268" w:right="1134" w:hanging="1134"/>
        <w:jc w:val="both"/>
        <w:rPr>
          <w:bCs/>
        </w:rPr>
      </w:pPr>
    </w:p>
    <w:p w14:paraId="39A049FD" w14:textId="2A2BD7F8" w:rsidR="00D2133C" w:rsidRDefault="00D2133C" w:rsidP="00D2133C">
      <w:pPr>
        <w:adjustRightInd w:val="0"/>
        <w:snapToGrid w:val="0"/>
        <w:spacing w:after="120" w:line="240" w:lineRule="auto"/>
        <w:ind w:left="1985" w:right="1134" w:hanging="851"/>
        <w:jc w:val="both"/>
      </w:pPr>
      <w:r>
        <w:rPr>
          <w:i/>
          <w:iCs/>
        </w:rPr>
        <w:t>Annex 5, P</w:t>
      </w:r>
      <w:r w:rsidRPr="005D764E">
        <w:rPr>
          <w:i/>
          <w:iCs/>
        </w:rPr>
        <w:t xml:space="preserve">aragraph </w:t>
      </w:r>
      <w:r w:rsidR="00C00EB8">
        <w:rPr>
          <w:i/>
          <w:iCs/>
        </w:rPr>
        <w:t>13.3.</w:t>
      </w:r>
      <w:r>
        <w:rPr>
          <w:i/>
          <w:iCs/>
        </w:rPr>
        <w:t xml:space="preserve">3, </w:t>
      </w:r>
      <w:r>
        <w:t>amend to read:</w:t>
      </w:r>
    </w:p>
    <w:p w14:paraId="1E700714" w14:textId="06548C29" w:rsidR="00FD5553" w:rsidRDefault="00FE08E3" w:rsidP="00FD5553">
      <w:pPr>
        <w:pStyle w:val="para"/>
        <w:rPr>
          <w:rStyle w:val="Hyperlink"/>
          <w:iCs/>
          <w:color w:val="auto"/>
          <w:szCs w:val="18"/>
        </w:rPr>
      </w:pPr>
      <w:r w:rsidRPr="00414B22">
        <w:rPr>
          <w:rStyle w:val="Hyperlink"/>
          <w:iCs/>
          <w:color w:val="auto"/>
          <w:szCs w:val="18"/>
        </w:rPr>
        <w:t>"</w:t>
      </w:r>
      <w:r w:rsidR="00FD5553" w:rsidRPr="00D658B3">
        <w:rPr>
          <w:lang w:val="en-GB" w:eastAsia="en-GB"/>
        </w:rPr>
        <w:t>13.3.3.</w:t>
      </w:r>
      <w:r w:rsidR="00FD5553" w:rsidRPr="00D658B3">
        <w:rPr>
          <w:lang w:val="en-GB" w:eastAsia="en-GB"/>
        </w:rPr>
        <w:tab/>
        <w:t>If remote control involves the coupling being opened by external force, the condition under which the external force acts on the coupling shall be indicated appropriately to the driver</w:t>
      </w:r>
      <w:r w:rsidR="00D307C0">
        <w:rPr>
          <w:b/>
          <w:bCs/>
          <w:lang w:val="en-GB" w:eastAsia="en-GB"/>
        </w:rPr>
        <w:t xml:space="preserve"> or </w:t>
      </w:r>
      <w:r w:rsidR="00893BFC">
        <w:rPr>
          <w:b/>
          <w:bCs/>
          <w:lang w:val="en-GB" w:eastAsia="en-GB"/>
        </w:rPr>
        <w:t>the operator of the vehicle</w:t>
      </w:r>
      <w:r w:rsidR="00E46F10" w:rsidRPr="00D658B3">
        <w:rPr>
          <w:b/>
          <w:bCs/>
          <w:lang w:val="en-GB" w:eastAsia="en-GB"/>
        </w:rPr>
        <w:t xml:space="preserve"> </w:t>
      </w:r>
      <w:r w:rsidR="00D2133C" w:rsidRPr="00D658B3">
        <w:rPr>
          <w:b/>
          <w:bCs/>
          <w:lang w:val="en-GB" w:eastAsia="en-GB"/>
        </w:rPr>
        <w:t>(</w:t>
      </w:r>
      <w:r w:rsidR="00E46F10" w:rsidRPr="00D658B3">
        <w:rPr>
          <w:b/>
          <w:bCs/>
          <w:lang w:val="en-GB" w:eastAsia="en-GB"/>
        </w:rPr>
        <w:t>as</w:t>
      </w:r>
      <w:r w:rsidR="00D2133C" w:rsidRPr="00D658B3">
        <w:rPr>
          <w:b/>
          <w:bCs/>
          <w:lang w:val="en-GB" w:eastAsia="en-GB"/>
        </w:rPr>
        <w:t xml:space="preserve"> applicable)</w:t>
      </w:r>
      <w:r w:rsidR="00FD5553" w:rsidRPr="00D658B3">
        <w:rPr>
          <w:lang w:val="en-GB" w:eastAsia="en-GB"/>
        </w:rPr>
        <w:t>. This is not necessary if the external force is only operative while the remote control is operating.</w:t>
      </w:r>
      <w:r w:rsidRPr="00414B22">
        <w:rPr>
          <w:rStyle w:val="Hyperlink"/>
          <w:iCs/>
          <w:color w:val="auto"/>
          <w:szCs w:val="18"/>
        </w:rPr>
        <w:t>"</w:t>
      </w:r>
    </w:p>
    <w:p w14:paraId="1D19122E" w14:textId="77777777" w:rsidR="00893BFC" w:rsidRDefault="00893BFC" w:rsidP="00FD5553">
      <w:pPr>
        <w:pStyle w:val="para"/>
        <w:rPr>
          <w:rStyle w:val="Hyperlink"/>
          <w:iCs/>
          <w:color w:val="auto"/>
          <w:szCs w:val="18"/>
        </w:rPr>
      </w:pPr>
    </w:p>
    <w:p w14:paraId="265727C4" w14:textId="77777777" w:rsidR="00893BFC" w:rsidRDefault="00893BFC" w:rsidP="00893BFC">
      <w:pPr>
        <w:spacing w:after="120"/>
        <w:ind w:left="2268" w:right="1134" w:hanging="1134"/>
        <w:jc w:val="both"/>
        <w:rPr>
          <w:b/>
          <w:bCs/>
          <w:lang w:val="en-US"/>
        </w:rPr>
      </w:pPr>
      <w:r>
        <w:rPr>
          <w:i/>
          <w:iCs/>
        </w:rPr>
        <w:t>Annex 5, insert new p</w:t>
      </w:r>
      <w:r w:rsidRPr="005D764E">
        <w:rPr>
          <w:i/>
          <w:iCs/>
        </w:rPr>
        <w:t xml:space="preserve">aragraph </w:t>
      </w:r>
      <w:r>
        <w:rPr>
          <w:i/>
          <w:iCs/>
        </w:rPr>
        <w:t>13.4.,</w:t>
      </w:r>
      <w:r>
        <w:t xml:space="preserve"> to read:</w:t>
      </w:r>
    </w:p>
    <w:p w14:paraId="789D495D" w14:textId="77777777" w:rsidR="00893BFC" w:rsidRPr="004837F4" w:rsidRDefault="00893BFC" w:rsidP="00893BFC">
      <w:pPr>
        <w:spacing w:after="120"/>
        <w:ind w:left="2268" w:right="1134" w:hanging="1134"/>
        <w:jc w:val="both"/>
        <w:rPr>
          <w:lang w:val="en-US"/>
        </w:rPr>
      </w:pPr>
      <w:r w:rsidRPr="004837F4">
        <w:rPr>
          <w:rStyle w:val="Hyperlink"/>
          <w:iCs/>
          <w:color w:val="auto"/>
          <w:szCs w:val="18"/>
        </w:rPr>
        <w:t>"</w:t>
      </w:r>
      <w:r w:rsidRPr="004837F4">
        <w:rPr>
          <w:lang w:val="en-US"/>
        </w:rPr>
        <w:t>13.4.</w:t>
      </w:r>
      <w:r w:rsidRPr="004837F4">
        <w:rPr>
          <w:lang w:val="en-US"/>
        </w:rPr>
        <w:tab/>
        <w:t xml:space="preserve">Engagement status in case of vehicles equipped with an </w:t>
      </w:r>
      <w:r w:rsidRPr="004837F4">
        <w:rPr>
          <w:rFonts w:eastAsia="Calibri" w:cs="Calibri"/>
        </w:rPr>
        <w:t>ADS</w:t>
      </w:r>
    </w:p>
    <w:p w14:paraId="451479B5" w14:textId="3B4CA4A1" w:rsidR="00893BFC" w:rsidRPr="00FD5553" w:rsidRDefault="00893BFC" w:rsidP="00893BFC">
      <w:pPr>
        <w:spacing w:after="120"/>
        <w:ind w:left="2268" w:right="1134"/>
        <w:jc w:val="both"/>
        <w:rPr>
          <w:rFonts w:eastAsia="Calibri" w:cs="Calibri"/>
          <w:b/>
          <w:bCs/>
        </w:rPr>
      </w:pPr>
      <w:r w:rsidRPr="004837F4">
        <w:rPr>
          <w:rFonts w:eastAsia="Calibri" w:cs="Calibri"/>
        </w:rPr>
        <w:t>If the vehicle is equipped with an ADS, a logical signal shall be transmitted to the ADS indicating at least the closed and doubly locked position of the coupling.</w:t>
      </w:r>
      <w:r w:rsidRPr="004837F4">
        <w:rPr>
          <w:rStyle w:val="Hyperlink"/>
          <w:iCs/>
          <w:color w:val="auto"/>
          <w:szCs w:val="18"/>
        </w:rPr>
        <w:t>"</w:t>
      </w:r>
    </w:p>
    <w:p w14:paraId="0F1AF06B" w14:textId="77777777" w:rsidR="004F3FA3" w:rsidRDefault="004F3FA3" w:rsidP="00821A63">
      <w:pPr>
        <w:spacing w:before="240"/>
        <w:jc w:val="center"/>
        <w:rPr>
          <w:u w:val="single"/>
        </w:rPr>
      </w:pPr>
    </w:p>
    <w:p w14:paraId="2451DC26" w14:textId="3AFCCB95" w:rsidR="00821A63" w:rsidRPr="00C0522C" w:rsidRDefault="00821A63" w:rsidP="00821A63">
      <w:pPr>
        <w:spacing w:before="240"/>
        <w:jc w:val="center"/>
        <w:rPr>
          <w:u w:val="single"/>
        </w:rPr>
      </w:pPr>
      <w:r>
        <w:rPr>
          <w:u w:val="single"/>
        </w:rPr>
        <w:tab/>
      </w:r>
      <w:r>
        <w:rPr>
          <w:u w:val="single"/>
        </w:rPr>
        <w:tab/>
      </w:r>
      <w:r>
        <w:rPr>
          <w:u w:val="single"/>
        </w:rPr>
        <w:tab/>
      </w:r>
    </w:p>
    <w:p w14:paraId="5ABCF781" w14:textId="77777777" w:rsidR="00FD5553" w:rsidRPr="00D658B3" w:rsidRDefault="00FD5553" w:rsidP="00876400">
      <w:pPr>
        <w:spacing w:after="120"/>
        <w:ind w:left="2268" w:right="1134" w:hanging="1134"/>
        <w:jc w:val="both"/>
        <w:rPr>
          <w:bCs/>
        </w:rPr>
      </w:pPr>
    </w:p>
    <w:p w14:paraId="7514FC16" w14:textId="77777777" w:rsidR="00F35E4B" w:rsidRDefault="00F35E4B" w:rsidP="00001A6A">
      <w:pPr>
        <w:spacing w:after="120" w:line="240" w:lineRule="auto"/>
        <w:ind w:left="2" w:right="1134"/>
        <w:jc w:val="both"/>
        <w:rPr>
          <w:szCs w:val="16"/>
        </w:rPr>
      </w:pPr>
    </w:p>
    <w:p w14:paraId="2F044DBB" w14:textId="77777777" w:rsidR="007B7BE6" w:rsidRPr="00A77EC4" w:rsidRDefault="007B7BE6" w:rsidP="007B7BE6">
      <w:pPr>
        <w:pStyle w:val="HChG"/>
        <w:ind w:hanging="850"/>
        <w:rPr>
          <w:snapToGrid w:val="0"/>
          <w:lang w:eastAsia="ja-JP"/>
        </w:rPr>
      </w:pPr>
      <w:r w:rsidRPr="00A77EC4">
        <w:rPr>
          <w:snapToGrid w:val="0"/>
          <w:lang w:eastAsia="ja-JP"/>
        </w:rPr>
        <w:t>II.</w:t>
      </w:r>
      <w:r w:rsidRPr="00A77EC4">
        <w:rPr>
          <w:snapToGrid w:val="0"/>
          <w:lang w:eastAsia="ja-JP"/>
        </w:rPr>
        <w:tab/>
      </w:r>
      <w:r w:rsidRPr="00A77EC4">
        <w:rPr>
          <w:snapToGrid w:val="0"/>
          <w:lang w:eastAsia="ja-JP"/>
        </w:rPr>
        <w:tab/>
      </w:r>
      <w:r w:rsidRPr="00A77EC4">
        <w:t>Justification</w:t>
      </w:r>
    </w:p>
    <w:p w14:paraId="2F1A32F0" w14:textId="024149E2" w:rsidR="00877877" w:rsidRPr="00A77EC4" w:rsidRDefault="00E5413A" w:rsidP="004A41CE">
      <w:pPr>
        <w:keepNext/>
        <w:keepLines/>
        <w:tabs>
          <w:tab w:val="right" w:pos="851"/>
        </w:tabs>
        <w:spacing w:before="360" w:after="240" w:line="300" w:lineRule="exact"/>
        <w:ind w:left="1134" w:right="1134" w:hanging="1134"/>
      </w:pPr>
      <w:r w:rsidRPr="00A77EC4">
        <w:tab/>
      </w:r>
      <w:r w:rsidRPr="00A77EC4">
        <w:tab/>
        <w:t>See paragraph 0</w:t>
      </w:r>
    </w:p>
    <w:sectPr w:rsidR="00877877" w:rsidRPr="00A77EC4" w:rsidSect="00E34913">
      <w:headerReference w:type="even" r:id="rId12"/>
      <w:headerReference w:type="default" r:id="rId13"/>
      <w:footerReference w:type="even" r:id="rId14"/>
      <w:footerReference w:type="default" r:id="rId15"/>
      <w:footerReference w:type="firs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1E4DB7" w14:textId="77777777" w:rsidR="00614C04" w:rsidRDefault="00614C04"/>
  </w:endnote>
  <w:endnote w:type="continuationSeparator" w:id="0">
    <w:p w14:paraId="327DAF9B" w14:textId="77777777" w:rsidR="00614C04" w:rsidRDefault="00614C04"/>
  </w:endnote>
  <w:endnote w:type="continuationNotice" w:id="1">
    <w:p w14:paraId="50ED7B26" w14:textId="77777777" w:rsidR="00614C04" w:rsidRDefault="00614C0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ABB014" w14:textId="268C5A3E"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FE08E3">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DE8FDB" w14:textId="75C708D6"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FE08E3">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3893F6" w14:textId="160292FA" w:rsidR="002D5FFE" w:rsidRDefault="002D5FFE" w:rsidP="002D5FFE">
    <w:pPr>
      <w:pStyle w:val="Footer"/>
    </w:pPr>
    <w:r w:rsidRPr="0027112F">
      <w:rPr>
        <w:noProof/>
        <w:lang w:val="en-US" w:eastAsia="en-US"/>
      </w:rPr>
      <w:drawing>
        <wp:anchor distT="0" distB="0" distL="114300" distR="114300" simplePos="0" relativeHeight="251659264"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55FD7C" w14:textId="77777777" w:rsidR="00614C04" w:rsidRPr="000B175B" w:rsidRDefault="00614C04" w:rsidP="000B175B">
      <w:pPr>
        <w:tabs>
          <w:tab w:val="right" w:pos="2155"/>
        </w:tabs>
        <w:spacing w:after="80"/>
        <w:ind w:left="680"/>
        <w:rPr>
          <w:u w:val="single"/>
        </w:rPr>
      </w:pPr>
      <w:r>
        <w:rPr>
          <w:u w:val="single"/>
        </w:rPr>
        <w:tab/>
      </w:r>
    </w:p>
  </w:footnote>
  <w:footnote w:type="continuationSeparator" w:id="0">
    <w:p w14:paraId="1802CEB0" w14:textId="77777777" w:rsidR="00614C04" w:rsidRPr="00FC68B7" w:rsidRDefault="00614C04" w:rsidP="00FC68B7">
      <w:pPr>
        <w:tabs>
          <w:tab w:val="left" w:pos="2155"/>
        </w:tabs>
        <w:spacing w:after="80"/>
        <w:ind w:left="680"/>
        <w:rPr>
          <w:u w:val="single"/>
        </w:rPr>
      </w:pPr>
      <w:r>
        <w:rPr>
          <w:u w:val="single"/>
        </w:rPr>
        <w:tab/>
      </w:r>
    </w:p>
  </w:footnote>
  <w:footnote w:type="continuationNotice" w:id="1">
    <w:p w14:paraId="6395773D" w14:textId="77777777" w:rsidR="00614C04" w:rsidRDefault="00614C04"/>
  </w:footnote>
  <w:footnote w:id="2">
    <w:p w14:paraId="3ADFA6AA" w14:textId="77777777" w:rsidR="00A17DEE" w:rsidRDefault="00A17DEE" w:rsidP="00A17DE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8"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39"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0"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1"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2"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3"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5"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672880769">
    <w:abstractNumId w:val="1"/>
  </w:num>
  <w:num w:numId="2" w16cid:durableId="1397169299">
    <w:abstractNumId w:val="0"/>
  </w:num>
  <w:num w:numId="3" w16cid:durableId="1082993760">
    <w:abstractNumId w:val="2"/>
  </w:num>
  <w:num w:numId="4" w16cid:durableId="1366101749">
    <w:abstractNumId w:val="3"/>
  </w:num>
  <w:num w:numId="5" w16cid:durableId="2010521394">
    <w:abstractNumId w:val="8"/>
  </w:num>
  <w:num w:numId="6" w16cid:durableId="689113563">
    <w:abstractNumId w:val="9"/>
  </w:num>
  <w:num w:numId="7" w16cid:durableId="1995332636">
    <w:abstractNumId w:val="7"/>
  </w:num>
  <w:num w:numId="8" w16cid:durableId="965814000">
    <w:abstractNumId w:val="6"/>
  </w:num>
  <w:num w:numId="9" w16cid:durableId="992486253">
    <w:abstractNumId w:val="5"/>
  </w:num>
  <w:num w:numId="10" w16cid:durableId="2104716365">
    <w:abstractNumId w:val="4"/>
  </w:num>
  <w:num w:numId="11" w16cid:durableId="1072655879">
    <w:abstractNumId w:val="29"/>
  </w:num>
  <w:num w:numId="12" w16cid:durableId="354774870">
    <w:abstractNumId w:val="23"/>
  </w:num>
  <w:num w:numId="13" w16cid:durableId="107896719">
    <w:abstractNumId w:val="10"/>
  </w:num>
  <w:num w:numId="14" w16cid:durableId="1204051405">
    <w:abstractNumId w:val="21"/>
  </w:num>
  <w:num w:numId="15" w16cid:durableId="1640379394">
    <w:abstractNumId w:val="30"/>
  </w:num>
  <w:num w:numId="16" w16cid:durableId="1361708452">
    <w:abstractNumId w:val="22"/>
  </w:num>
  <w:num w:numId="17" w16cid:durableId="1099375727">
    <w:abstractNumId w:val="43"/>
  </w:num>
  <w:num w:numId="18" w16cid:durableId="2110198525">
    <w:abstractNumId w:val="45"/>
  </w:num>
  <w:num w:numId="19" w16cid:durableId="754790783">
    <w:abstractNumId w:val="14"/>
  </w:num>
  <w:num w:numId="20" w16cid:durableId="702831545">
    <w:abstractNumId w:val="28"/>
  </w:num>
  <w:num w:numId="21" w16cid:durableId="1522205970">
    <w:abstractNumId w:val="36"/>
  </w:num>
  <w:num w:numId="22" w16cid:durableId="1941444760">
    <w:abstractNumId w:val="13"/>
  </w:num>
  <w:num w:numId="23" w16cid:durableId="1253584947">
    <w:abstractNumId w:val="39"/>
  </w:num>
  <w:num w:numId="24" w16cid:durableId="1145126294">
    <w:abstractNumId w:val="34"/>
  </w:num>
  <w:num w:numId="25" w16cid:durableId="1764257888">
    <w:abstractNumId w:val="20"/>
  </w:num>
  <w:num w:numId="26" w16cid:durableId="823817033">
    <w:abstractNumId w:val="15"/>
  </w:num>
  <w:num w:numId="27" w16cid:durableId="2081561442">
    <w:abstractNumId w:val="38"/>
  </w:num>
  <w:num w:numId="28" w16cid:durableId="947783643">
    <w:abstractNumId w:val="27"/>
  </w:num>
  <w:num w:numId="29" w16cid:durableId="220364687">
    <w:abstractNumId w:val="41"/>
  </w:num>
  <w:num w:numId="30" w16cid:durableId="226846759">
    <w:abstractNumId w:val="18"/>
  </w:num>
  <w:num w:numId="31" w16cid:durableId="883253497">
    <w:abstractNumId w:val="32"/>
  </w:num>
  <w:num w:numId="32" w16cid:durableId="1754622643">
    <w:abstractNumId w:val="33"/>
  </w:num>
  <w:num w:numId="33" w16cid:durableId="192353608">
    <w:abstractNumId w:val="16"/>
  </w:num>
  <w:num w:numId="34" w16cid:durableId="1401829621">
    <w:abstractNumId w:val="17"/>
  </w:num>
  <w:num w:numId="35" w16cid:durableId="1102915545">
    <w:abstractNumId w:val="31"/>
  </w:num>
  <w:num w:numId="36" w16cid:durableId="99303774">
    <w:abstractNumId w:val="26"/>
  </w:num>
  <w:num w:numId="37" w16cid:durableId="1934240442">
    <w:abstractNumId w:val="24"/>
  </w:num>
  <w:num w:numId="38" w16cid:durableId="1739283782">
    <w:abstractNumId w:val="11"/>
  </w:num>
  <w:num w:numId="39" w16cid:durableId="1570387786">
    <w:abstractNumId w:val="44"/>
  </w:num>
  <w:num w:numId="40" w16cid:durableId="1509978033">
    <w:abstractNumId w:val="35"/>
  </w:num>
  <w:num w:numId="41" w16cid:durableId="585117464">
    <w:abstractNumId w:val="42"/>
  </w:num>
  <w:num w:numId="42" w16cid:durableId="754203412">
    <w:abstractNumId w:val="40"/>
  </w:num>
  <w:num w:numId="43" w16cid:durableId="1043679056">
    <w:abstractNumId w:val="25"/>
  </w:num>
  <w:num w:numId="44" w16cid:durableId="1004473400">
    <w:abstractNumId w:val="12"/>
  </w:num>
  <w:num w:numId="45" w16cid:durableId="992836171">
    <w:abstractNumId w:val="19"/>
  </w:num>
  <w:num w:numId="46" w16cid:durableId="1367487771">
    <w:abstractNumId w:val="3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doNotDisplayPageBoundaries/>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0"/>
  <w:activeWritingStyle w:appName="MSWord" w:lang="fr-FR" w:vendorID="64" w:dllVersion="4096" w:nlCheck="1" w:checkStyle="0"/>
  <w:activeWritingStyle w:appName="MSWord" w:lang="en-US" w:vendorID="64" w:dllVersion="6" w:nlCheck="1" w:checkStyle="0"/>
  <w:activeWritingStyle w:appName="MSWord" w:lang="fr-FR" w:vendorID="64" w:dllVersion="6" w:nlCheck="1" w:checkStyle="0"/>
  <w:proofState w:spelling="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27624"/>
    <w:rsid w:val="00032F23"/>
    <w:rsid w:val="00050F6B"/>
    <w:rsid w:val="0006049D"/>
    <w:rsid w:val="0006692A"/>
    <w:rsid w:val="000678CD"/>
    <w:rsid w:val="00070307"/>
    <w:rsid w:val="00072C8C"/>
    <w:rsid w:val="0008142F"/>
    <w:rsid w:val="00081CE0"/>
    <w:rsid w:val="00084D30"/>
    <w:rsid w:val="00085E0A"/>
    <w:rsid w:val="00090320"/>
    <w:rsid w:val="000931C0"/>
    <w:rsid w:val="00097003"/>
    <w:rsid w:val="000A2E09"/>
    <w:rsid w:val="000B175B"/>
    <w:rsid w:val="000B3A0F"/>
    <w:rsid w:val="000C3682"/>
    <w:rsid w:val="000E0415"/>
    <w:rsid w:val="000E112B"/>
    <w:rsid w:val="000E162B"/>
    <w:rsid w:val="000F0E90"/>
    <w:rsid w:val="000F2ED8"/>
    <w:rsid w:val="000F7715"/>
    <w:rsid w:val="001016A7"/>
    <w:rsid w:val="001124A0"/>
    <w:rsid w:val="00114D13"/>
    <w:rsid w:val="00120D92"/>
    <w:rsid w:val="00123250"/>
    <w:rsid w:val="001252E3"/>
    <w:rsid w:val="00152E3F"/>
    <w:rsid w:val="00156B99"/>
    <w:rsid w:val="00162B07"/>
    <w:rsid w:val="00166124"/>
    <w:rsid w:val="001725C2"/>
    <w:rsid w:val="00184DDA"/>
    <w:rsid w:val="001900CD"/>
    <w:rsid w:val="0019746C"/>
    <w:rsid w:val="001A0452"/>
    <w:rsid w:val="001A2CF7"/>
    <w:rsid w:val="001A4E36"/>
    <w:rsid w:val="001A5874"/>
    <w:rsid w:val="001B4B04"/>
    <w:rsid w:val="001B5875"/>
    <w:rsid w:val="001B6BE4"/>
    <w:rsid w:val="001C4B9C"/>
    <w:rsid w:val="001C6663"/>
    <w:rsid w:val="001C7895"/>
    <w:rsid w:val="001D26DF"/>
    <w:rsid w:val="001D369A"/>
    <w:rsid w:val="001D713A"/>
    <w:rsid w:val="001E2557"/>
    <w:rsid w:val="001F1599"/>
    <w:rsid w:val="001F19C4"/>
    <w:rsid w:val="00204284"/>
    <w:rsid w:val="002043F0"/>
    <w:rsid w:val="002045B0"/>
    <w:rsid w:val="00210C12"/>
    <w:rsid w:val="00211E0B"/>
    <w:rsid w:val="002132C1"/>
    <w:rsid w:val="00232575"/>
    <w:rsid w:val="00243362"/>
    <w:rsid w:val="00247258"/>
    <w:rsid w:val="00257CAC"/>
    <w:rsid w:val="0026401B"/>
    <w:rsid w:val="0027237A"/>
    <w:rsid w:val="00282F5F"/>
    <w:rsid w:val="002974E9"/>
    <w:rsid w:val="002A306B"/>
    <w:rsid w:val="002A5589"/>
    <w:rsid w:val="002A7F94"/>
    <w:rsid w:val="002B109A"/>
    <w:rsid w:val="002B48C4"/>
    <w:rsid w:val="002C6D45"/>
    <w:rsid w:val="002D5FFE"/>
    <w:rsid w:val="002D6E53"/>
    <w:rsid w:val="002E428A"/>
    <w:rsid w:val="002F046D"/>
    <w:rsid w:val="002F3023"/>
    <w:rsid w:val="002F6776"/>
    <w:rsid w:val="003004D6"/>
    <w:rsid w:val="00301764"/>
    <w:rsid w:val="0032025E"/>
    <w:rsid w:val="003203B6"/>
    <w:rsid w:val="00321AD6"/>
    <w:rsid w:val="003229D8"/>
    <w:rsid w:val="00324004"/>
    <w:rsid w:val="003247CB"/>
    <w:rsid w:val="00336C97"/>
    <w:rsid w:val="00337C0F"/>
    <w:rsid w:val="00337F88"/>
    <w:rsid w:val="00342018"/>
    <w:rsid w:val="00342432"/>
    <w:rsid w:val="0034457D"/>
    <w:rsid w:val="0035223F"/>
    <w:rsid w:val="00352D4B"/>
    <w:rsid w:val="0035638C"/>
    <w:rsid w:val="00393893"/>
    <w:rsid w:val="003A3769"/>
    <w:rsid w:val="003A46BB"/>
    <w:rsid w:val="003A4EC7"/>
    <w:rsid w:val="003A5E08"/>
    <w:rsid w:val="003A7295"/>
    <w:rsid w:val="003B1F60"/>
    <w:rsid w:val="003B2E53"/>
    <w:rsid w:val="003C2CC4"/>
    <w:rsid w:val="003C5899"/>
    <w:rsid w:val="003D3322"/>
    <w:rsid w:val="003D4B23"/>
    <w:rsid w:val="003E278A"/>
    <w:rsid w:val="003E6DAB"/>
    <w:rsid w:val="003E744B"/>
    <w:rsid w:val="003F00EE"/>
    <w:rsid w:val="003F7C04"/>
    <w:rsid w:val="0040060C"/>
    <w:rsid w:val="00413520"/>
    <w:rsid w:val="00414DE9"/>
    <w:rsid w:val="004325CB"/>
    <w:rsid w:val="004357E6"/>
    <w:rsid w:val="00440A07"/>
    <w:rsid w:val="00443551"/>
    <w:rsid w:val="00446F4B"/>
    <w:rsid w:val="004550E8"/>
    <w:rsid w:val="00455DE0"/>
    <w:rsid w:val="00460FFB"/>
    <w:rsid w:val="00462880"/>
    <w:rsid w:val="00464CF6"/>
    <w:rsid w:val="00476884"/>
    <w:rsid w:val="00476E1E"/>
    <w:rsid w:val="00476F24"/>
    <w:rsid w:val="00481164"/>
    <w:rsid w:val="004837F4"/>
    <w:rsid w:val="004A03A0"/>
    <w:rsid w:val="004A1F3C"/>
    <w:rsid w:val="004A41CE"/>
    <w:rsid w:val="004A5D33"/>
    <w:rsid w:val="004B4BFC"/>
    <w:rsid w:val="004C55B0"/>
    <w:rsid w:val="004C5CBE"/>
    <w:rsid w:val="004D436E"/>
    <w:rsid w:val="004F0726"/>
    <w:rsid w:val="004F3FA3"/>
    <w:rsid w:val="004F6BA0"/>
    <w:rsid w:val="0050289F"/>
    <w:rsid w:val="00503BEA"/>
    <w:rsid w:val="00510912"/>
    <w:rsid w:val="00512C2C"/>
    <w:rsid w:val="0051346D"/>
    <w:rsid w:val="00515D45"/>
    <w:rsid w:val="00533616"/>
    <w:rsid w:val="00535ABA"/>
    <w:rsid w:val="0053768B"/>
    <w:rsid w:val="005420F2"/>
    <w:rsid w:val="0054285C"/>
    <w:rsid w:val="00555465"/>
    <w:rsid w:val="00573B20"/>
    <w:rsid w:val="00584173"/>
    <w:rsid w:val="00595520"/>
    <w:rsid w:val="005A342C"/>
    <w:rsid w:val="005A44B9"/>
    <w:rsid w:val="005B1BA0"/>
    <w:rsid w:val="005B3DB3"/>
    <w:rsid w:val="005B71F5"/>
    <w:rsid w:val="005C0268"/>
    <w:rsid w:val="005C2104"/>
    <w:rsid w:val="005D15CA"/>
    <w:rsid w:val="005D5777"/>
    <w:rsid w:val="005D7991"/>
    <w:rsid w:val="005E151F"/>
    <w:rsid w:val="005E32B9"/>
    <w:rsid w:val="005F08DF"/>
    <w:rsid w:val="005F3066"/>
    <w:rsid w:val="005F3E61"/>
    <w:rsid w:val="005F5C85"/>
    <w:rsid w:val="00604DDD"/>
    <w:rsid w:val="006107D6"/>
    <w:rsid w:val="006115CC"/>
    <w:rsid w:val="00611993"/>
    <w:rsid w:val="00611FC4"/>
    <w:rsid w:val="00614C04"/>
    <w:rsid w:val="006176FB"/>
    <w:rsid w:val="0062701F"/>
    <w:rsid w:val="00630FCB"/>
    <w:rsid w:val="00640B26"/>
    <w:rsid w:val="006552E8"/>
    <w:rsid w:val="0065766B"/>
    <w:rsid w:val="006770B2"/>
    <w:rsid w:val="0068571A"/>
    <w:rsid w:val="00686A48"/>
    <w:rsid w:val="0068763C"/>
    <w:rsid w:val="006940E1"/>
    <w:rsid w:val="00695499"/>
    <w:rsid w:val="006A31C5"/>
    <w:rsid w:val="006A3C72"/>
    <w:rsid w:val="006A7392"/>
    <w:rsid w:val="006B03A1"/>
    <w:rsid w:val="006B67D9"/>
    <w:rsid w:val="006C215A"/>
    <w:rsid w:val="006C335D"/>
    <w:rsid w:val="006C5535"/>
    <w:rsid w:val="006D0589"/>
    <w:rsid w:val="006D1BAC"/>
    <w:rsid w:val="006E564B"/>
    <w:rsid w:val="006E7154"/>
    <w:rsid w:val="006F181B"/>
    <w:rsid w:val="007003CD"/>
    <w:rsid w:val="007043D9"/>
    <w:rsid w:val="0070701E"/>
    <w:rsid w:val="00720215"/>
    <w:rsid w:val="0072632A"/>
    <w:rsid w:val="007358E8"/>
    <w:rsid w:val="00736ECE"/>
    <w:rsid w:val="00740EF3"/>
    <w:rsid w:val="0074533B"/>
    <w:rsid w:val="00764116"/>
    <w:rsid w:val="00764347"/>
    <w:rsid w:val="007643BC"/>
    <w:rsid w:val="00780C68"/>
    <w:rsid w:val="007848F2"/>
    <w:rsid w:val="007959FE"/>
    <w:rsid w:val="007A0CF1"/>
    <w:rsid w:val="007A1B9F"/>
    <w:rsid w:val="007A5BF4"/>
    <w:rsid w:val="007B4203"/>
    <w:rsid w:val="007B6BA5"/>
    <w:rsid w:val="007B7BE6"/>
    <w:rsid w:val="007C3390"/>
    <w:rsid w:val="007C42D8"/>
    <w:rsid w:val="007C4F4B"/>
    <w:rsid w:val="007D2D97"/>
    <w:rsid w:val="007D4EF6"/>
    <w:rsid w:val="007D6F65"/>
    <w:rsid w:val="007D7362"/>
    <w:rsid w:val="007E6467"/>
    <w:rsid w:val="007F01D3"/>
    <w:rsid w:val="007F5CE2"/>
    <w:rsid w:val="007F6611"/>
    <w:rsid w:val="00810535"/>
    <w:rsid w:val="00810BAC"/>
    <w:rsid w:val="00814C29"/>
    <w:rsid w:val="008175E9"/>
    <w:rsid w:val="00821A63"/>
    <w:rsid w:val="008242D7"/>
    <w:rsid w:val="0082577B"/>
    <w:rsid w:val="00825CB5"/>
    <w:rsid w:val="00841537"/>
    <w:rsid w:val="0086470E"/>
    <w:rsid w:val="0086683A"/>
    <w:rsid w:val="00866893"/>
    <w:rsid w:val="00866F02"/>
    <w:rsid w:val="00867D18"/>
    <w:rsid w:val="00871F9A"/>
    <w:rsid w:val="00871FD5"/>
    <w:rsid w:val="00876400"/>
    <w:rsid w:val="00877877"/>
    <w:rsid w:val="0088172E"/>
    <w:rsid w:val="00881EFA"/>
    <w:rsid w:val="0088387A"/>
    <w:rsid w:val="008854DE"/>
    <w:rsid w:val="0088690B"/>
    <w:rsid w:val="008879CB"/>
    <w:rsid w:val="00893BFC"/>
    <w:rsid w:val="008979B1"/>
    <w:rsid w:val="008A2093"/>
    <w:rsid w:val="008A6B25"/>
    <w:rsid w:val="008A6C4F"/>
    <w:rsid w:val="008B20F8"/>
    <w:rsid w:val="008B389E"/>
    <w:rsid w:val="008C159E"/>
    <w:rsid w:val="008C794B"/>
    <w:rsid w:val="008D045E"/>
    <w:rsid w:val="008D3F25"/>
    <w:rsid w:val="008D4D82"/>
    <w:rsid w:val="008E0E46"/>
    <w:rsid w:val="008E7116"/>
    <w:rsid w:val="008F143B"/>
    <w:rsid w:val="008F3882"/>
    <w:rsid w:val="008F4B7C"/>
    <w:rsid w:val="009023FF"/>
    <w:rsid w:val="009038B3"/>
    <w:rsid w:val="00916B22"/>
    <w:rsid w:val="009218DA"/>
    <w:rsid w:val="0092556A"/>
    <w:rsid w:val="00926E47"/>
    <w:rsid w:val="009308E3"/>
    <w:rsid w:val="00942226"/>
    <w:rsid w:val="009435F6"/>
    <w:rsid w:val="00947162"/>
    <w:rsid w:val="0094718B"/>
    <w:rsid w:val="00951ADA"/>
    <w:rsid w:val="009555BA"/>
    <w:rsid w:val="00956869"/>
    <w:rsid w:val="009610D0"/>
    <w:rsid w:val="0096375C"/>
    <w:rsid w:val="009662E6"/>
    <w:rsid w:val="0097095E"/>
    <w:rsid w:val="00970A33"/>
    <w:rsid w:val="00974386"/>
    <w:rsid w:val="0098592B"/>
    <w:rsid w:val="00985FC4"/>
    <w:rsid w:val="009867B2"/>
    <w:rsid w:val="00990766"/>
    <w:rsid w:val="00991261"/>
    <w:rsid w:val="00991C24"/>
    <w:rsid w:val="009946FD"/>
    <w:rsid w:val="009964C4"/>
    <w:rsid w:val="009A20FD"/>
    <w:rsid w:val="009A7B81"/>
    <w:rsid w:val="009B011B"/>
    <w:rsid w:val="009B2DB9"/>
    <w:rsid w:val="009B7716"/>
    <w:rsid w:val="009B7EB7"/>
    <w:rsid w:val="009C3C2C"/>
    <w:rsid w:val="009C48D8"/>
    <w:rsid w:val="009C526D"/>
    <w:rsid w:val="009D01C0"/>
    <w:rsid w:val="009D213F"/>
    <w:rsid w:val="009D6A08"/>
    <w:rsid w:val="009E0A16"/>
    <w:rsid w:val="009E6CB7"/>
    <w:rsid w:val="009E7970"/>
    <w:rsid w:val="009F2EAC"/>
    <w:rsid w:val="009F5165"/>
    <w:rsid w:val="009F57E3"/>
    <w:rsid w:val="00A05DD3"/>
    <w:rsid w:val="00A077A2"/>
    <w:rsid w:val="00A10F4F"/>
    <w:rsid w:val="00A11067"/>
    <w:rsid w:val="00A14E0F"/>
    <w:rsid w:val="00A1704A"/>
    <w:rsid w:val="00A17DEE"/>
    <w:rsid w:val="00A17E00"/>
    <w:rsid w:val="00A30DE0"/>
    <w:rsid w:val="00A35718"/>
    <w:rsid w:val="00A36AC2"/>
    <w:rsid w:val="00A425EB"/>
    <w:rsid w:val="00A42BF1"/>
    <w:rsid w:val="00A72F22"/>
    <w:rsid w:val="00A733BC"/>
    <w:rsid w:val="00A748A6"/>
    <w:rsid w:val="00A76A69"/>
    <w:rsid w:val="00A77EC4"/>
    <w:rsid w:val="00A82706"/>
    <w:rsid w:val="00A879A4"/>
    <w:rsid w:val="00A964AD"/>
    <w:rsid w:val="00AA0FF8"/>
    <w:rsid w:val="00AB341A"/>
    <w:rsid w:val="00AC0F2C"/>
    <w:rsid w:val="00AC502A"/>
    <w:rsid w:val="00AE1E26"/>
    <w:rsid w:val="00AE26CE"/>
    <w:rsid w:val="00AF04EE"/>
    <w:rsid w:val="00AF383F"/>
    <w:rsid w:val="00AF58C1"/>
    <w:rsid w:val="00B00C30"/>
    <w:rsid w:val="00B04A3F"/>
    <w:rsid w:val="00B06643"/>
    <w:rsid w:val="00B06DB1"/>
    <w:rsid w:val="00B15055"/>
    <w:rsid w:val="00B20551"/>
    <w:rsid w:val="00B22FE5"/>
    <w:rsid w:val="00B30179"/>
    <w:rsid w:val="00B31E0B"/>
    <w:rsid w:val="00B33FC7"/>
    <w:rsid w:val="00B37B15"/>
    <w:rsid w:val="00B41195"/>
    <w:rsid w:val="00B4162A"/>
    <w:rsid w:val="00B45C02"/>
    <w:rsid w:val="00B508C0"/>
    <w:rsid w:val="00B70B63"/>
    <w:rsid w:val="00B72A1E"/>
    <w:rsid w:val="00B74C5A"/>
    <w:rsid w:val="00B81E12"/>
    <w:rsid w:val="00BA339B"/>
    <w:rsid w:val="00BB23CC"/>
    <w:rsid w:val="00BC1E7E"/>
    <w:rsid w:val="00BC74E9"/>
    <w:rsid w:val="00BD1759"/>
    <w:rsid w:val="00BD43AA"/>
    <w:rsid w:val="00BD7861"/>
    <w:rsid w:val="00BE36A9"/>
    <w:rsid w:val="00BE618E"/>
    <w:rsid w:val="00BE7BEC"/>
    <w:rsid w:val="00BF0A5A"/>
    <w:rsid w:val="00BF0E63"/>
    <w:rsid w:val="00BF12A3"/>
    <w:rsid w:val="00BF16D7"/>
    <w:rsid w:val="00BF2373"/>
    <w:rsid w:val="00BF279B"/>
    <w:rsid w:val="00C00EB8"/>
    <w:rsid w:val="00C044E2"/>
    <w:rsid w:val="00C048CB"/>
    <w:rsid w:val="00C066F3"/>
    <w:rsid w:val="00C07A1C"/>
    <w:rsid w:val="00C1385A"/>
    <w:rsid w:val="00C14D1F"/>
    <w:rsid w:val="00C25725"/>
    <w:rsid w:val="00C41ED9"/>
    <w:rsid w:val="00C42526"/>
    <w:rsid w:val="00C463DD"/>
    <w:rsid w:val="00C51053"/>
    <w:rsid w:val="00C7009F"/>
    <w:rsid w:val="00C745C3"/>
    <w:rsid w:val="00C92744"/>
    <w:rsid w:val="00C943D3"/>
    <w:rsid w:val="00C978F5"/>
    <w:rsid w:val="00CA24A4"/>
    <w:rsid w:val="00CB348D"/>
    <w:rsid w:val="00CB6248"/>
    <w:rsid w:val="00CB6DCF"/>
    <w:rsid w:val="00CC1B94"/>
    <w:rsid w:val="00CD46F5"/>
    <w:rsid w:val="00CE4A8F"/>
    <w:rsid w:val="00CE5245"/>
    <w:rsid w:val="00CF071D"/>
    <w:rsid w:val="00D0123D"/>
    <w:rsid w:val="00D016D3"/>
    <w:rsid w:val="00D02248"/>
    <w:rsid w:val="00D06687"/>
    <w:rsid w:val="00D06F10"/>
    <w:rsid w:val="00D118C9"/>
    <w:rsid w:val="00D15B04"/>
    <w:rsid w:val="00D16740"/>
    <w:rsid w:val="00D2031B"/>
    <w:rsid w:val="00D2133C"/>
    <w:rsid w:val="00D22F0D"/>
    <w:rsid w:val="00D25FE2"/>
    <w:rsid w:val="00D307C0"/>
    <w:rsid w:val="00D330F7"/>
    <w:rsid w:val="00D33B55"/>
    <w:rsid w:val="00D37DA9"/>
    <w:rsid w:val="00D406A7"/>
    <w:rsid w:val="00D41AE9"/>
    <w:rsid w:val="00D43252"/>
    <w:rsid w:val="00D44D86"/>
    <w:rsid w:val="00D50B7D"/>
    <w:rsid w:val="00D52012"/>
    <w:rsid w:val="00D52643"/>
    <w:rsid w:val="00D658B3"/>
    <w:rsid w:val="00D704E5"/>
    <w:rsid w:val="00D72727"/>
    <w:rsid w:val="00D80E88"/>
    <w:rsid w:val="00D87336"/>
    <w:rsid w:val="00D92FAB"/>
    <w:rsid w:val="00D94DE5"/>
    <w:rsid w:val="00D978C6"/>
    <w:rsid w:val="00DA0956"/>
    <w:rsid w:val="00DA28BE"/>
    <w:rsid w:val="00DA357F"/>
    <w:rsid w:val="00DA3E12"/>
    <w:rsid w:val="00DA47E3"/>
    <w:rsid w:val="00DA68D3"/>
    <w:rsid w:val="00DC18AD"/>
    <w:rsid w:val="00DD5B81"/>
    <w:rsid w:val="00DF7CAE"/>
    <w:rsid w:val="00E008E8"/>
    <w:rsid w:val="00E07477"/>
    <w:rsid w:val="00E2062C"/>
    <w:rsid w:val="00E23006"/>
    <w:rsid w:val="00E34913"/>
    <w:rsid w:val="00E3720A"/>
    <w:rsid w:val="00E4000A"/>
    <w:rsid w:val="00E41542"/>
    <w:rsid w:val="00E423C0"/>
    <w:rsid w:val="00E44A26"/>
    <w:rsid w:val="00E46F10"/>
    <w:rsid w:val="00E47FA4"/>
    <w:rsid w:val="00E507BC"/>
    <w:rsid w:val="00E5413A"/>
    <w:rsid w:val="00E55F79"/>
    <w:rsid w:val="00E62B8E"/>
    <w:rsid w:val="00E6414C"/>
    <w:rsid w:val="00E7260F"/>
    <w:rsid w:val="00E73FC4"/>
    <w:rsid w:val="00E80FEF"/>
    <w:rsid w:val="00E82640"/>
    <w:rsid w:val="00E855A7"/>
    <w:rsid w:val="00E8702D"/>
    <w:rsid w:val="00E905F4"/>
    <w:rsid w:val="00E916A9"/>
    <w:rsid w:val="00E916DE"/>
    <w:rsid w:val="00E925AD"/>
    <w:rsid w:val="00E96467"/>
    <w:rsid w:val="00E96630"/>
    <w:rsid w:val="00ED18DC"/>
    <w:rsid w:val="00ED6201"/>
    <w:rsid w:val="00ED7A2A"/>
    <w:rsid w:val="00EF04A2"/>
    <w:rsid w:val="00EF1D7F"/>
    <w:rsid w:val="00F0137E"/>
    <w:rsid w:val="00F04E44"/>
    <w:rsid w:val="00F12C2E"/>
    <w:rsid w:val="00F171E6"/>
    <w:rsid w:val="00F21786"/>
    <w:rsid w:val="00F25D06"/>
    <w:rsid w:val="00F31CFF"/>
    <w:rsid w:val="00F35E4B"/>
    <w:rsid w:val="00F3742B"/>
    <w:rsid w:val="00F41FDB"/>
    <w:rsid w:val="00F50597"/>
    <w:rsid w:val="00F56D63"/>
    <w:rsid w:val="00F609A9"/>
    <w:rsid w:val="00F66945"/>
    <w:rsid w:val="00F809CE"/>
    <w:rsid w:val="00F80C99"/>
    <w:rsid w:val="00F83450"/>
    <w:rsid w:val="00F840FF"/>
    <w:rsid w:val="00F867EC"/>
    <w:rsid w:val="00F90988"/>
    <w:rsid w:val="00F91B2B"/>
    <w:rsid w:val="00FA2029"/>
    <w:rsid w:val="00FC03CD"/>
    <w:rsid w:val="00FC0646"/>
    <w:rsid w:val="00FC1252"/>
    <w:rsid w:val="00FC18F1"/>
    <w:rsid w:val="00FC68B7"/>
    <w:rsid w:val="00FC765F"/>
    <w:rsid w:val="00FD5553"/>
    <w:rsid w:val="00FD6E7E"/>
    <w:rsid w:val="00FE08E3"/>
    <w:rsid w:val="00FE6985"/>
    <w:rsid w:val="00FE727C"/>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 w:type="paragraph" w:customStyle="1" w:styleId="para">
    <w:name w:val="para"/>
    <w:basedOn w:val="Normal"/>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DefaultParagraphFont"/>
    <w:rsid w:val="00E82640"/>
  </w:style>
  <w:style w:type="paragraph" w:styleId="BodyTextIndent">
    <w:name w:val="Body Text Indent"/>
    <w:basedOn w:val="Normal"/>
    <w:link w:val="BodyTextIndentChar"/>
    <w:rsid w:val="008C159E"/>
    <w:pPr>
      <w:suppressAutoHyphens/>
      <w:spacing w:after="120"/>
      <w:ind w:left="283"/>
    </w:pPr>
    <w:rPr>
      <w:lang w:eastAsia="en-US"/>
    </w:rPr>
  </w:style>
  <w:style w:type="character" w:customStyle="1" w:styleId="BodyTextIndentChar">
    <w:name w:val="Body Text Indent Char"/>
    <w:basedOn w:val="DefaultParagraphFont"/>
    <w:link w:val="BodyTextIndent"/>
    <w:rsid w:val="008C159E"/>
    <w:rPr>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20941">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62626348">
      <w:bodyDiv w:val="1"/>
      <w:marLeft w:val="0"/>
      <w:marRight w:val="0"/>
      <w:marTop w:val="0"/>
      <w:marBottom w:val="0"/>
      <w:divBdr>
        <w:top w:val="none" w:sz="0" w:space="0" w:color="auto"/>
        <w:left w:val="none" w:sz="0" w:space="0" w:color="auto"/>
        <w:bottom w:val="none" w:sz="0" w:space="0" w:color="auto"/>
        <w:right w:val="none" w:sz="0" w:space="0" w:color="auto"/>
      </w:divBdr>
    </w:div>
    <w:div w:id="1492217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AC8221AF-6FBC-4959-924C-FCEF4220C849}">
  <ds:schemaRefs>
    <ds:schemaRef ds:uri="http://schemas.openxmlformats.org/officeDocument/2006/bibliography"/>
  </ds:schemaRefs>
</ds:datastoreItem>
</file>

<file path=customXml/itemProps4.xml><?xml version="1.0" encoding="utf-8"?>
<ds:datastoreItem xmlns:ds="http://schemas.openxmlformats.org/officeDocument/2006/customXml" ds:itemID="{CA62F2B8-758D-4BBA-97C8-6C05A58C44EC}">
  <ds:schemaRefs>
    <ds:schemaRef ds:uri="http://schemas.microsoft.com/sharepoint/v3/contenttype/forms"/>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10</TotalTime>
  <Pages>3</Pages>
  <Words>803</Words>
  <Characters>4573</Characters>
  <Application>Microsoft Office Word</Application>
  <DocSecurity>0</DocSecurity>
  <Lines>97</Lines>
  <Paragraphs>48</Paragraphs>
  <ScaleCrop>false</ScaleCrop>
  <HeadingPairs>
    <vt:vector size="2" baseType="variant">
      <vt:variant>
        <vt:lpstr>Title</vt:lpstr>
      </vt:variant>
      <vt:variant>
        <vt:i4>1</vt:i4>
      </vt:variant>
    </vt:vector>
  </HeadingPairs>
  <TitlesOfParts>
    <vt:vector size="1" baseType="lpstr">
      <vt:lpstr>ECE/TRANS/WP.29/GRSP/2024/25</vt:lpstr>
    </vt:vector>
  </TitlesOfParts>
  <Company>CSD</Company>
  <LinksUpToDate>false</LinksUpToDate>
  <CharactersWithSpaces>5328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VASS Sandor (JRC-ISPRA)</cp:lastModifiedBy>
  <cp:revision>9</cp:revision>
  <cp:lastPrinted>2024-09-13T14:05:00Z</cp:lastPrinted>
  <dcterms:created xsi:type="dcterms:W3CDTF">2025-07-04T07:47:00Z</dcterms:created>
  <dcterms:modified xsi:type="dcterms:W3CDTF">2025-07-04T08:37:00Z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6bd9ddd1-4d20-43f6-abfa-fc3c07406f94_Enabled">
    <vt:lpwstr>true</vt:lpwstr>
  </property>
  <property fmtid="{D5CDD505-2E9C-101B-9397-08002B2CF9AE}" pid="14" name="MSIP_Label_6bd9ddd1-4d20-43f6-abfa-fc3c07406f94_SetDate">
    <vt:lpwstr>2025-07-03T08:31:09Z</vt:lpwstr>
  </property>
  <property fmtid="{D5CDD505-2E9C-101B-9397-08002B2CF9AE}" pid="15" name="MSIP_Label_6bd9ddd1-4d20-43f6-abfa-fc3c07406f94_Method">
    <vt:lpwstr>Standard</vt:lpwstr>
  </property>
  <property fmtid="{D5CDD505-2E9C-101B-9397-08002B2CF9AE}" pid="16" name="MSIP_Label_6bd9ddd1-4d20-43f6-abfa-fc3c07406f94_Name">
    <vt:lpwstr>Commission Use</vt:lpwstr>
  </property>
  <property fmtid="{D5CDD505-2E9C-101B-9397-08002B2CF9AE}" pid="17" name="MSIP_Label_6bd9ddd1-4d20-43f6-abfa-fc3c07406f94_SiteId">
    <vt:lpwstr>b24c8b06-522c-46fe-9080-70926f8dddb1</vt:lpwstr>
  </property>
  <property fmtid="{D5CDD505-2E9C-101B-9397-08002B2CF9AE}" pid="18" name="MSIP_Label_6bd9ddd1-4d20-43f6-abfa-fc3c07406f94_ActionId">
    <vt:lpwstr>ef82eb81-252b-4508-a418-6e056d27461a</vt:lpwstr>
  </property>
  <property fmtid="{D5CDD505-2E9C-101B-9397-08002B2CF9AE}" pid="19" name="MSIP_Label_6bd9ddd1-4d20-43f6-abfa-fc3c07406f94_ContentBits">
    <vt:lpwstr>0</vt:lpwstr>
  </property>
</Properties>
</file>