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9A3016" w14:textId="3286589B" w:rsidR="00497D14" w:rsidRPr="00497D14" w:rsidRDefault="00497D14" w:rsidP="00497D14">
      <w:pPr>
        <w:spacing w:after="0" w:line="240" w:lineRule="auto"/>
        <w:jc w:val="right"/>
        <w:rPr>
          <w:rFonts w:ascii="Calibri" w:eastAsia="DengXian" w:hAnsi="Calibri" w:cs="Times New Roman"/>
          <w:b/>
          <w:bCs/>
          <w:kern w:val="0"/>
          <w:sz w:val="32"/>
          <w:szCs w:val="32"/>
          <w:lang w:val="en-US" w:eastAsia="zh-CN" w:bidi="he-IL"/>
          <w14:ligatures w14:val="none"/>
        </w:rPr>
      </w:pPr>
      <w:r w:rsidRPr="00497D14">
        <w:rPr>
          <w:rFonts w:ascii="Calibri" w:eastAsia="DengXian" w:hAnsi="Calibri" w:cs="Times New Roman"/>
          <w:b/>
          <w:bCs/>
          <w:kern w:val="0"/>
          <w:sz w:val="32"/>
          <w:szCs w:val="32"/>
          <w:lang w:val="en-US" w:eastAsia="zh-CN" w:bidi="he-IL"/>
          <w14:ligatures w14:val="none"/>
        </w:rPr>
        <w:t>SLR-7</w:t>
      </w:r>
      <w:r>
        <w:rPr>
          <w:rFonts w:ascii="Calibri" w:eastAsia="DengXian" w:hAnsi="Calibri" w:cs="Times New Roman"/>
          <w:b/>
          <w:bCs/>
          <w:kern w:val="0"/>
          <w:sz w:val="32"/>
          <w:szCs w:val="32"/>
          <w:lang w:val="en-US" w:eastAsia="zh-CN" w:bidi="he-IL"/>
          <w14:ligatures w14:val="none"/>
        </w:rPr>
        <w:t>4</w:t>
      </w:r>
      <w:r w:rsidRPr="00497D14">
        <w:rPr>
          <w:rFonts w:ascii="Calibri" w:eastAsia="DengXian" w:hAnsi="Calibri" w:cs="Times New Roman"/>
          <w:b/>
          <w:bCs/>
          <w:kern w:val="0"/>
          <w:sz w:val="32"/>
          <w:szCs w:val="32"/>
          <w:lang w:val="en-US" w:eastAsia="zh-CN" w:bidi="he-IL"/>
          <w14:ligatures w14:val="none"/>
        </w:rPr>
        <w:t>-</w:t>
      </w:r>
      <w:r w:rsidR="003F1F1C">
        <w:rPr>
          <w:rFonts w:ascii="Calibri" w:eastAsia="DengXian" w:hAnsi="Calibri" w:cs="Times New Roman"/>
          <w:b/>
          <w:bCs/>
          <w:kern w:val="0"/>
          <w:sz w:val="32"/>
          <w:szCs w:val="32"/>
          <w:lang w:val="en-US" w:eastAsia="zh-CN" w:bidi="he-IL"/>
          <w14:ligatures w14:val="none"/>
        </w:rPr>
        <w:t>03</w:t>
      </w:r>
    </w:p>
    <w:p w14:paraId="41271123" w14:textId="3F69D2FE" w:rsidR="00497D14" w:rsidRPr="00497D14" w:rsidRDefault="00497D14" w:rsidP="00497D14">
      <w:pPr>
        <w:spacing w:after="0" w:line="240" w:lineRule="auto"/>
        <w:jc w:val="right"/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</w:pP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(Rev. of SLR-7</w:t>
      </w:r>
      <w:r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3</w:t>
      </w: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-</w:t>
      </w:r>
      <w:r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0</w:t>
      </w:r>
      <w:r w:rsidR="003F1F1C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9</w:t>
      </w: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)</w:t>
      </w:r>
    </w:p>
    <w:p w14:paraId="3733AEB5" w14:textId="2483CBC9" w:rsidR="00497D14" w:rsidRPr="00497D14" w:rsidRDefault="00497D14" w:rsidP="00497D14">
      <w:pPr>
        <w:spacing w:after="0" w:line="240" w:lineRule="auto"/>
        <w:jc w:val="right"/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</w:pP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(Rev. of SLR-72-10/Rev.1)</w:t>
      </w:r>
    </w:p>
    <w:p w14:paraId="54C23330" w14:textId="77777777" w:rsidR="00497D14" w:rsidRPr="00497D14" w:rsidRDefault="00497D14" w:rsidP="00497D14">
      <w:pPr>
        <w:spacing w:line="259" w:lineRule="auto"/>
        <w:jc w:val="right"/>
        <w:rPr>
          <w:rFonts w:ascii="Calibri" w:eastAsia="DengXian" w:hAnsi="Calibri" w:cs="Times New Roman"/>
          <w:i/>
          <w:iCs/>
          <w:kern w:val="0"/>
          <w:lang w:val="en-US" w:eastAsia="zh-CN" w:bidi="he-IL"/>
          <w14:ligatures w14:val="none"/>
        </w:rPr>
      </w:pPr>
    </w:p>
    <w:p w14:paraId="670AFDF8" w14:textId="2FBD629E" w:rsidR="00497D14" w:rsidRPr="00497D14" w:rsidRDefault="00497D14" w:rsidP="00166228">
      <w:pPr>
        <w:spacing w:line="259" w:lineRule="auto"/>
        <w:jc w:val="center"/>
        <w:rPr>
          <w:rFonts w:ascii="Calibri" w:eastAsia="DengXian" w:hAnsi="Calibri" w:cs="Times New Roman"/>
          <w:kern w:val="0"/>
          <w:lang w:val="en-US" w:eastAsia="zh-CN" w:bidi="he-IL"/>
          <w14:ligatures w14:val="none"/>
        </w:rPr>
      </w:pP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This document reflects the comments and modifications agreed at SLR-7</w:t>
      </w:r>
      <w:r w:rsidR="00166228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>3</w:t>
      </w: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t xml:space="preserve"> </w:t>
      </w: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br/>
        <w:t xml:space="preserve">plus some further improvements and cross-checking. </w:t>
      </w:r>
      <w:r w:rsidRPr="00497D14">
        <w:rPr>
          <w:rFonts w:ascii="Calibri" w:eastAsia="DengXian" w:hAnsi="Calibri" w:cs="Times New Roman"/>
          <w:i/>
          <w:iCs/>
          <w:kern w:val="0"/>
          <w:sz w:val="28"/>
          <w:szCs w:val="28"/>
          <w:lang w:val="en-US" w:eastAsia="zh-CN" w:bidi="he-IL"/>
          <w14:ligatures w14:val="none"/>
        </w:rPr>
        <w:br/>
      </w:r>
    </w:p>
    <w:p w14:paraId="2BBDF34E" w14:textId="77777777" w:rsidR="00497D14" w:rsidRPr="00497D14" w:rsidRDefault="00497D14" w:rsidP="00497D14">
      <w:pPr>
        <w:spacing w:line="259" w:lineRule="auto"/>
        <w:jc w:val="right"/>
        <w:rPr>
          <w:rFonts w:ascii="Calibri" w:eastAsia="DengXian" w:hAnsi="Calibri" w:cs="Times New Roman"/>
          <w:kern w:val="0"/>
          <w:lang w:val="en-US" w:eastAsia="zh-CN" w:bidi="he-IL"/>
          <w14:ligatures w14:val="none"/>
        </w:rPr>
      </w:pPr>
    </w:p>
    <w:p w14:paraId="312BB381" w14:textId="77777777" w:rsidR="00497D14" w:rsidRP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36"/>
          <w:szCs w:val="36"/>
          <w:lang w:val="en-US" w:eastAsia="zh-CN" w:bidi="he-IL"/>
          <w14:ligatures w14:val="none"/>
        </w:rPr>
      </w:pPr>
      <w:r w:rsidRPr="00497D14">
        <w:rPr>
          <w:rFonts w:ascii="Calibri" w:eastAsia="DengXian" w:hAnsi="Calibri" w:cs="Times New Roman"/>
          <w:kern w:val="0"/>
          <w:sz w:val="36"/>
          <w:szCs w:val="36"/>
          <w:lang w:val="en-US" w:eastAsia="zh-CN" w:bidi="he-IL"/>
          <w14:ligatures w14:val="none"/>
        </w:rPr>
        <w:t>Proposal for clarification of R150-01 series</w:t>
      </w:r>
    </w:p>
    <w:p w14:paraId="7492303B" w14:textId="77777777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US" w:eastAsia="zh-CN" w:bidi="he-IL"/>
          <w14:ligatures w14:val="none"/>
        </w:rPr>
      </w:pPr>
    </w:p>
    <w:p w14:paraId="53D286AA" w14:textId="061B6611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US" w:eastAsia="zh-CN" w:bidi="he-IL"/>
          <w14:ligatures w14:val="none"/>
        </w:rPr>
      </w:pPr>
      <w:r>
        <w:rPr>
          <w:rFonts w:ascii="Calibri" w:eastAsia="DengXian" w:hAnsi="Calibri" w:cs="Times New Roman"/>
          <w:kern w:val="0"/>
          <w:sz w:val="28"/>
          <w:szCs w:val="28"/>
          <w:lang w:val="en-US" w:eastAsia="zh-CN" w:bidi="he-IL"/>
          <w14:ligatures w14:val="none"/>
        </w:rPr>
        <w:t>Text from the minutes of SLR-73:</w:t>
      </w:r>
    </w:p>
    <w:p w14:paraId="08BB5086" w14:textId="77777777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US" w:eastAsia="zh-CN" w:bidi="he-IL"/>
          <w14:ligatures w14:val="none"/>
        </w:rPr>
      </w:pPr>
    </w:p>
    <w:p w14:paraId="2B28ED0C" w14:textId="561D4508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</w:pPr>
      <w:r w:rsidRPr="00497D14"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  <w:t xml:space="preserve">The “Homework Team R-150” will prepare for SLR-74 an updated version of doc. </w:t>
      </w:r>
      <w:hyperlink r:id="rId6" w:history="1">
        <w:r w:rsidRPr="00497D14">
          <w:rPr>
            <w:rStyle w:val="Collegamentoipertestuale"/>
            <w:rFonts w:ascii="Calibri" w:eastAsia="DengXian" w:hAnsi="Calibri" w:cs="Times New Roman"/>
            <w:b/>
            <w:bCs/>
            <w:kern w:val="0"/>
            <w:sz w:val="28"/>
            <w:szCs w:val="28"/>
            <w:lang w:val="en-GB" w:eastAsia="zh-CN" w:bidi="he-IL"/>
            <w14:ligatures w14:val="none"/>
          </w:rPr>
          <w:t>SLR-73-09</w:t>
        </w:r>
      </w:hyperlink>
      <w:r w:rsidRPr="00497D14"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  <w:t xml:space="preserve"> including a decision tree and the justification. The HWT-R150 shall also </w:t>
      </w:r>
      <w:r w:rsidRPr="00497D14">
        <w:rPr>
          <w:rFonts w:ascii="Calibri" w:eastAsia="DengXian" w:hAnsi="Calibri" w:cs="Times New Roman"/>
          <w:kern w:val="0"/>
          <w:sz w:val="28"/>
          <w:szCs w:val="28"/>
          <w:highlight w:val="yellow"/>
          <w:lang w:val="en-GB" w:eastAsia="zh-CN" w:bidi="he-IL"/>
          <w14:ligatures w14:val="none"/>
        </w:rPr>
        <w:t>verify the suitability of adding the proposed Par. 1 in Annex 6 Part 7, in connection with the provision in Par. 5.1.3.1.1. “Fourth group”.</w:t>
      </w:r>
      <w:r w:rsidRPr="00497D14"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  <w:t xml:space="preserve"> If approved at SLR-74, the proposal may be sent to GRE-93 as informal document or submitted as a formal document to GRE-94.</w:t>
      </w:r>
    </w:p>
    <w:p w14:paraId="555334E3" w14:textId="77777777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</w:pPr>
    </w:p>
    <w:p w14:paraId="76FC267B" w14:textId="77777777" w:rsidR="00166228" w:rsidRDefault="00166228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</w:pPr>
    </w:p>
    <w:p w14:paraId="65568E4C" w14:textId="77777777" w:rsidR="00166228" w:rsidRDefault="00166228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</w:pPr>
    </w:p>
    <w:p w14:paraId="4EA937AF" w14:textId="77777777" w:rsidR="00497D14" w:rsidRPr="00497D14" w:rsidRDefault="00497D14" w:rsidP="00497D14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 w:val="28"/>
          <w:szCs w:val="28"/>
          <w:lang w:val="en-GB"/>
          <w14:ligatures w14:val="none"/>
        </w:rPr>
      </w:pPr>
      <w:commentRangeStart w:id="0"/>
      <w:commentRangeStart w:id="1"/>
      <w:r w:rsidRPr="00497D14">
        <w:rPr>
          <w:rFonts w:ascii="Times New Roman" w:eastAsia="Times New Roman" w:hAnsi="Times New Roman" w:cs="Times New Roman"/>
          <w:b/>
          <w:kern w:val="0"/>
          <w:sz w:val="28"/>
          <w:szCs w:val="28"/>
          <w:lang w:val="en-GB"/>
          <w14:ligatures w14:val="none"/>
        </w:rPr>
        <w:t xml:space="preserve">Part 7 - </w:t>
      </w: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8"/>
          <w:lang w:val="en-GB"/>
          <w14:ligatures w14:val="none"/>
        </w:rPr>
        <w:tab/>
        <w:t>Colour-fastness</w:t>
      </w:r>
      <w:r w:rsidRPr="00497D14">
        <w:rPr>
          <w:rFonts w:ascii="Times New Roman" w:eastAsia="Times New Roman" w:hAnsi="Times New Roman" w:cs="Times New Roman"/>
          <w:b/>
          <w:kern w:val="0"/>
          <w:szCs w:val="40"/>
          <w:vertAlign w:val="superscript"/>
          <w:lang w:val="en-GB"/>
          <w14:ligatures w14:val="none"/>
        </w:rPr>
        <w:footnoteReference w:customMarkFollows="1" w:id="1"/>
        <w:t>1</w:t>
      </w: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8"/>
          <w:lang w:val="en-GB"/>
          <w14:ligatures w14:val="none"/>
        </w:rPr>
        <w:t xml:space="preserve"> of retro-reflective devices of the Classes IA, IB, IIIA, IIIB and IVA</w:t>
      </w:r>
      <w:commentRangeEnd w:id="0"/>
      <w:r w:rsidRPr="00497D14">
        <w:rPr>
          <w:rFonts w:ascii="Calibri" w:eastAsia="DengXian" w:hAnsi="Calibri" w:cs="Times New Roman"/>
          <w:kern w:val="0"/>
          <w:sz w:val="16"/>
          <w:szCs w:val="16"/>
          <w:lang w:val="en-US" w:eastAsia="zh-CN" w:bidi="he-IL"/>
          <w14:ligatures w14:val="none"/>
        </w:rPr>
        <w:commentReference w:id="0"/>
      </w:r>
      <w:commentRangeEnd w:id="1"/>
      <w:r w:rsidRPr="00497D14">
        <w:rPr>
          <w:rFonts w:ascii="Calibri" w:eastAsia="DengXian" w:hAnsi="Calibri" w:cs="Times New Roman"/>
          <w:kern w:val="0"/>
          <w:sz w:val="16"/>
          <w:szCs w:val="16"/>
          <w:lang w:val="en-US" w:eastAsia="zh-CN" w:bidi="he-IL"/>
          <w14:ligatures w14:val="none"/>
        </w:rPr>
        <w:commentReference w:id="1"/>
      </w:r>
    </w:p>
    <w:p w14:paraId="4CCA2557" w14:textId="77777777" w:rsidR="00497D14" w:rsidRPr="00497D14" w:rsidRDefault="00497D14" w:rsidP="00497D14">
      <w:pPr>
        <w:suppressAutoHyphens/>
        <w:spacing w:after="120" w:line="240" w:lineRule="atLeast"/>
        <w:ind w:left="2268" w:right="521" w:hanging="1134"/>
        <w:jc w:val="both"/>
        <w:rPr>
          <w:rFonts w:ascii="Times New Roman" w:eastAsia="Times New Roman" w:hAnsi="Times New Roman" w:cs="Times New Roman"/>
          <w:b/>
          <w:kern w:val="0"/>
          <w:sz w:val="20"/>
          <w:szCs w:val="20"/>
          <w:lang w:val="en-GB"/>
          <w14:ligatures w14:val="none"/>
        </w:rPr>
      </w:pPr>
      <w:r w:rsidRPr="00497D14">
        <w:rPr>
          <w:rFonts w:ascii="Times New Roman" w:eastAsia="Times New Roman" w:hAnsi="Times New Roman" w:cs="Times New Roman"/>
          <w:b/>
          <w:kern w:val="0"/>
          <w:sz w:val="20"/>
          <w:szCs w:val="20"/>
          <w:lang w:val="en-GB"/>
          <w14:ligatures w14:val="none"/>
        </w:rPr>
        <w:t>1.</w:t>
      </w:r>
      <w:r w:rsidRPr="00497D14">
        <w:rPr>
          <w:rFonts w:ascii="Times New Roman" w:eastAsia="Times New Roman" w:hAnsi="Times New Roman" w:cs="Times New Roman"/>
          <w:b/>
          <w:kern w:val="0"/>
          <w:sz w:val="20"/>
          <w:szCs w:val="20"/>
          <w:lang w:val="en-GB"/>
          <w14:ligatures w14:val="none"/>
        </w:rPr>
        <w:tab/>
      </w:r>
      <w:bookmarkStart w:id="2" w:name="_Hlk195101335"/>
      <w:r w:rsidRPr="00497D14">
        <w:rPr>
          <w:rFonts w:ascii="Times New Roman" w:eastAsia="Times New Roman" w:hAnsi="Times New Roman" w:cs="Times New Roman"/>
          <w:b/>
          <w:kern w:val="0"/>
          <w:sz w:val="20"/>
          <w:szCs w:val="20"/>
          <w:lang w:val="en-GB"/>
          <w14:ligatures w14:val="none"/>
        </w:rPr>
        <w:t>The Type Approval Authority which granted approval shall have the right to check the colour-fastness of a type of retro-reflective device in service</w:t>
      </w:r>
      <w:bookmarkEnd w:id="2"/>
      <w:r w:rsidRPr="00497D14">
        <w:rPr>
          <w:rFonts w:ascii="Times New Roman" w:eastAsia="Times New Roman" w:hAnsi="Times New Roman" w:cs="Times New Roman"/>
          <w:b/>
          <w:kern w:val="0"/>
          <w:sz w:val="20"/>
          <w:szCs w:val="20"/>
          <w:lang w:val="en-GB"/>
          <w14:ligatures w14:val="none"/>
        </w:rPr>
        <w:t>.</w:t>
      </w:r>
    </w:p>
    <w:p w14:paraId="29D62479" w14:textId="77777777" w:rsidR="00497D14" w:rsidRDefault="00497D14" w:rsidP="00497D14">
      <w:pPr>
        <w:spacing w:after="0" w:line="240" w:lineRule="auto"/>
        <w:jc w:val="both"/>
        <w:rPr>
          <w:rFonts w:ascii="Calibri" w:eastAsia="DengXian" w:hAnsi="Calibri" w:cs="Times New Roman"/>
          <w:kern w:val="0"/>
          <w:sz w:val="28"/>
          <w:szCs w:val="28"/>
          <w:lang w:val="en-GB" w:eastAsia="zh-CN" w:bidi="he-IL"/>
          <w14:ligatures w14:val="none"/>
        </w:rPr>
      </w:pPr>
    </w:p>
    <w:p w14:paraId="3EA70112" w14:textId="27E0DB4B" w:rsidR="00497D14" w:rsidRDefault="00497D14">
      <w:pPr>
        <w:rPr>
          <w:lang w:val="en-US"/>
        </w:rPr>
      </w:pPr>
      <w:r>
        <w:rPr>
          <w:lang w:val="en-US"/>
        </w:rPr>
        <w:br w:type="page"/>
      </w:r>
    </w:p>
    <w:p w14:paraId="78499838" w14:textId="77777777" w:rsidR="00497D14" w:rsidRDefault="00497D14">
      <w:pPr>
        <w:rPr>
          <w:lang w:val="en-US"/>
        </w:rPr>
      </w:pPr>
    </w:p>
    <w:p w14:paraId="09087036" w14:textId="7649212F" w:rsidR="00497D14" w:rsidRDefault="00497D14" w:rsidP="00497D14">
      <w:pPr>
        <w:rPr>
          <w:lang w:val="en-US"/>
        </w:rPr>
      </w:pPr>
      <w:r>
        <w:rPr>
          <w:lang w:val="en-US"/>
        </w:rPr>
        <w:t>This is existing text from R</w:t>
      </w:r>
      <w:r w:rsidR="00166228">
        <w:rPr>
          <w:lang w:val="en-US"/>
        </w:rPr>
        <w:t xml:space="preserve">egulation No. </w:t>
      </w:r>
      <w:r>
        <w:rPr>
          <w:lang w:val="en-US"/>
        </w:rPr>
        <w:t>3</w:t>
      </w:r>
      <w:r w:rsidR="00991435">
        <w:rPr>
          <w:lang w:val="en-US"/>
        </w:rPr>
        <w:t xml:space="preserve"> below. The wording appears in Annex 9 and Annex 11.</w:t>
      </w:r>
    </w:p>
    <w:p w14:paraId="1F1792AF" w14:textId="0F3BED3A" w:rsidR="00497D14" w:rsidRPr="00497D14" w:rsidRDefault="00497D14" w:rsidP="00497D14">
      <w:pPr>
        <w:rPr>
          <w:b/>
          <w:lang w:val="en-GB"/>
        </w:rPr>
      </w:pPr>
      <w:r w:rsidRPr="00497D14">
        <w:rPr>
          <w:b/>
          <w:lang w:val="en-GB"/>
        </w:rPr>
        <w:t>E/ECE/324/Add.2/Rev.4</w:t>
      </w:r>
      <w:r w:rsidRPr="00497D14">
        <w:rPr>
          <w:b/>
          <w:lang w:val="en-GB"/>
        </w:rPr>
        <w:br/>
        <w:t>E/ECE/TRANS/505/Add.2/Rev.4</w:t>
      </w:r>
    </w:p>
    <w:p w14:paraId="1A6EEF78" w14:textId="77777777" w:rsidR="00497D14" w:rsidRPr="00497D14" w:rsidRDefault="00497D14" w:rsidP="00497D14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</w:pPr>
      <w:bookmarkStart w:id="3" w:name="_Toc369177387"/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>Annex 9</w:t>
      </w:r>
      <w:bookmarkEnd w:id="3"/>
    </w:p>
    <w:p w14:paraId="2CE58F42" w14:textId="77777777" w:rsidR="00497D14" w:rsidRPr="00497D14" w:rsidRDefault="00497D14" w:rsidP="00497D14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</w:pP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ab/>
      </w: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ab/>
      </w:r>
      <w:bookmarkStart w:id="4" w:name="_Toc369177388"/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>Stability in time of the optical properties</w:t>
      </w:r>
      <w:r w:rsidRPr="00497D14">
        <w:rPr>
          <w:rFonts w:ascii="Times New Roman" w:eastAsia="Times New Roman" w:hAnsi="Times New Roman" w:cs="Times New Roman"/>
          <w:b/>
          <w:kern w:val="0"/>
          <w:sz w:val="18"/>
          <w:szCs w:val="20"/>
          <w:vertAlign w:val="superscript"/>
          <w:lang w:val="en-GB"/>
          <w14:ligatures w14:val="none"/>
        </w:rPr>
        <w:footnoteReference w:id="2"/>
      </w: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 xml:space="preserve"> </w:t>
      </w:r>
      <w:r w:rsidRPr="00497D14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br/>
        <w:t>of retro-reflecting devices</w:t>
      </w:r>
      <w:bookmarkEnd w:id="4"/>
    </w:p>
    <w:p w14:paraId="7DB5A772" w14:textId="77777777" w:rsidR="00497D14" w:rsidRPr="00497D14" w:rsidRDefault="00497D14" w:rsidP="00497D14">
      <w:pPr>
        <w:tabs>
          <w:tab w:val="left" w:pos="1700"/>
          <w:tab w:val="right" w:leader="dot" w:pos="8505"/>
        </w:tabs>
        <w:suppressAutoHyphens/>
        <w:spacing w:after="120" w:line="240" w:lineRule="atLeast"/>
        <w:ind w:left="2268" w:right="1134" w:hanging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</w:pPr>
      <w:r w:rsidRPr="00497D14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>1.</w:t>
      </w:r>
      <w:r w:rsidRPr="00497D14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ab/>
      </w:r>
      <w:r w:rsidRPr="00497D14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ab/>
        <w:t>The Type Approval Authority which granted approval shall have the right to check the stability in time of the optical properties of a type of retro-reflecting device in service.</w:t>
      </w:r>
    </w:p>
    <w:p w14:paraId="29D13B26" w14:textId="77777777" w:rsidR="00991435" w:rsidRPr="00991435" w:rsidRDefault="00991435" w:rsidP="00991435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</w:pPr>
      <w:bookmarkStart w:id="5" w:name="_Toc369177391"/>
      <w:r w:rsidRPr="00991435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>Annex 11</w:t>
      </w:r>
      <w:bookmarkEnd w:id="5"/>
    </w:p>
    <w:p w14:paraId="5AD6ECB5" w14:textId="77777777" w:rsidR="00991435" w:rsidRPr="00991435" w:rsidRDefault="00991435" w:rsidP="00991435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Cs w:val="20"/>
          <w:lang w:val="en-GB"/>
          <w14:ligatures w14:val="none"/>
        </w:rPr>
      </w:pPr>
      <w:r w:rsidRPr="00991435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ab/>
      </w:r>
      <w:r w:rsidRPr="00991435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ab/>
      </w:r>
      <w:bookmarkStart w:id="6" w:name="_Toc369177392"/>
      <w:r w:rsidRPr="00991435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>Colour-fastness</w:t>
      </w:r>
      <w:r w:rsidRPr="00991435">
        <w:rPr>
          <w:rFonts w:ascii="Times New Roman" w:eastAsia="Times New Roman" w:hAnsi="Times New Roman" w:cs="Times New Roman"/>
          <w:b/>
          <w:kern w:val="0"/>
          <w:sz w:val="18"/>
          <w:szCs w:val="20"/>
          <w:vertAlign w:val="superscript"/>
          <w:lang w:val="en-GB"/>
          <w14:ligatures w14:val="none"/>
        </w:rPr>
        <w:footnoteReference w:id="3"/>
      </w:r>
      <w:bookmarkEnd w:id="6"/>
    </w:p>
    <w:p w14:paraId="0243B5AC" w14:textId="77777777" w:rsidR="00991435" w:rsidRPr="00991435" w:rsidRDefault="00991435" w:rsidP="00991435">
      <w:pPr>
        <w:tabs>
          <w:tab w:val="left" w:pos="1700"/>
          <w:tab w:val="right" w:leader="dot" w:pos="8505"/>
        </w:tabs>
        <w:suppressAutoHyphens/>
        <w:spacing w:after="120" w:line="240" w:lineRule="atLeast"/>
        <w:ind w:left="2268" w:right="1134" w:hanging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</w:pPr>
      <w:r w:rsidRPr="00991435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>1.</w:t>
      </w:r>
      <w:r w:rsidRPr="00991435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ab/>
      </w:r>
      <w:r w:rsidRPr="00991435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ab/>
        <w:t>The Type Approval Authority which granted approval shall have the right to check the colour-fastness of a type of retro-reflecting device in service.</w:t>
      </w:r>
    </w:p>
    <w:p w14:paraId="65589364" w14:textId="77777777" w:rsidR="00497D14" w:rsidRPr="00991435" w:rsidRDefault="00497D14">
      <w:pPr>
        <w:rPr>
          <w:lang w:val="en-GB"/>
        </w:rPr>
      </w:pPr>
    </w:p>
    <w:p w14:paraId="5E934EDB" w14:textId="3E210AD3" w:rsidR="00497D14" w:rsidRDefault="00991435">
      <w:pPr>
        <w:rPr>
          <w:lang w:val="en-GB"/>
        </w:rPr>
      </w:pPr>
      <w:bookmarkStart w:id="7" w:name="_Hlk78276159"/>
      <w:r w:rsidRPr="00991435">
        <w:rPr>
          <w:lang w:val="en-GB"/>
        </w:rPr>
        <w:t>Proposal for a new 01 series of amendments to UN Regulation No. 150</w:t>
      </w:r>
      <w:bookmarkEnd w:id="7"/>
      <w:r>
        <w:rPr>
          <w:lang w:val="en-GB"/>
        </w:rPr>
        <w:t>:</w:t>
      </w:r>
    </w:p>
    <w:p w14:paraId="331D0B78" w14:textId="62573E00" w:rsidR="00991435" w:rsidRDefault="00991435">
      <w:pPr>
        <w:rPr>
          <w:lang w:val="en-GB"/>
        </w:rPr>
      </w:pPr>
      <w:r>
        <w:rPr>
          <w:lang w:val="en-GB"/>
        </w:rPr>
        <w:t>The Text appears in:</w:t>
      </w:r>
    </w:p>
    <w:p w14:paraId="0DBF049F" w14:textId="77777777" w:rsidR="00991435" w:rsidRPr="00991435" w:rsidRDefault="00991435" w:rsidP="00991435">
      <w:pPr>
        <w:keepNext/>
        <w:keepLines/>
        <w:tabs>
          <w:tab w:val="right" w:pos="851"/>
        </w:tabs>
        <w:suppressAutoHyphens/>
        <w:spacing w:before="360" w:after="240" w:line="300" w:lineRule="exact"/>
        <w:ind w:left="1134" w:right="1134" w:hanging="1134"/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</w:pPr>
      <w:r w:rsidRPr="00991435">
        <w:rPr>
          <w:rFonts w:ascii="Times New Roman" w:eastAsia="Times New Roman" w:hAnsi="Times New Roman" w:cs="Times New Roman"/>
          <w:b/>
          <w:kern w:val="0"/>
          <w:sz w:val="28"/>
          <w:szCs w:val="20"/>
          <w:lang w:val="en-GB"/>
          <w14:ligatures w14:val="none"/>
        </w:rPr>
        <w:t>Annex 9</w:t>
      </w:r>
    </w:p>
    <w:p w14:paraId="6B1C6CF9" w14:textId="77777777" w:rsidR="00991435" w:rsidRPr="00991435" w:rsidRDefault="00991435" w:rsidP="00991435">
      <w:pPr>
        <w:keepNext/>
        <w:keepLines/>
        <w:tabs>
          <w:tab w:val="right" w:pos="851"/>
        </w:tabs>
        <w:suppressAutoHyphens/>
        <w:spacing w:before="360" w:after="120" w:line="300" w:lineRule="exact"/>
        <w:ind w:left="1134" w:right="1134" w:hanging="1134"/>
        <w:outlineLvl w:val="0"/>
        <w:rPr>
          <w:rFonts w:ascii="Times New Roman" w:eastAsia="SimSun" w:hAnsi="Times New Roman" w:cs="Times New Roman"/>
          <w:b/>
          <w:kern w:val="0"/>
          <w:sz w:val="28"/>
          <w:szCs w:val="20"/>
          <w:lang w:val="en-GB"/>
          <w14:ligatures w14:val="none"/>
        </w:rPr>
      </w:pPr>
      <w:r w:rsidRPr="00991435">
        <w:rPr>
          <w:rFonts w:ascii="Times New Roman" w:eastAsia="SimSun" w:hAnsi="Times New Roman" w:cs="Times New Roman"/>
          <w:b/>
          <w:kern w:val="0"/>
          <w:sz w:val="28"/>
          <w:szCs w:val="20"/>
          <w:lang w:val="en-GB"/>
          <w14:ligatures w14:val="none"/>
        </w:rPr>
        <w:t>Part 3 -</w:t>
      </w:r>
      <w:r w:rsidRPr="00991435">
        <w:rPr>
          <w:rFonts w:ascii="Times New Roman" w:eastAsia="SimSun" w:hAnsi="Times New Roman" w:cs="Times New Roman"/>
          <w:b/>
          <w:kern w:val="0"/>
          <w:sz w:val="28"/>
          <w:szCs w:val="20"/>
          <w:lang w:val="en-GB"/>
          <w14:ligatures w14:val="none"/>
        </w:rPr>
        <w:tab/>
        <w:t>Stability of photometric properties</w:t>
      </w:r>
    </w:p>
    <w:p w14:paraId="6FC70293" w14:textId="225EE322" w:rsidR="00991435" w:rsidRPr="00991435" w:rsidRDefault="00991435" w:rsidP="00991435">
      <w:pPr>
        <w:tabs>
          <w:tab w:val="left" w:pos="-867"/>
          <w:tab w:val="left" w:pos="-147"/>
        </w:tabs>
        <w:suppressAutoHyphens/>
        <w:spacing w:after="120" w:line="240" w:lineRule="atLeast"/>
        <w:ind w:left="2268" w:right="1133" w:hanging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>…</w:t>
      </w:r>
    </w:p>
    <w:p w14:paraId="40BAC7C0" w14:textId="77777777" w:rsidR="00991435" w:rsidRPr="00991435" w:rsidRDefault="00991435" w:rsidP="00991435">
      <w:pPr>
        <w:suppressAutoHyphens/>
        <w:spacing w:after="120" w:line="240" w:lineRule="atLeast"/>
        <w:ind w:left="2268" w:right="1133" w:hanging="1134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</w:pPr>
      <w:r w:rsidRPr="00991435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>4.</w:t>
      </w:r>
      <w:r w:rsidRPr="00991435"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  <w:tab/>
        <w:t>The authority which granted approval shall have the right to check the stability in time of the optical properties of a type of rear marking plate in service.</w:t>
      </w:r>
    </w:p>
    <w:p w14:paraId="2688D9E8" w14:textId="77777777" w:rsidR="00991435" w:rsidRPr="00991435" w:rsidRDefault="00991435">
      <w:pPr>
        <w:rPr>
          <w:lang w:val="en-GB"/>
        </w:rPr>
      </w:pPr>
    </w:p>
    <w:p w14:paraId="762579CB" w14:textId="77777777" w:rsidR="00497D14" w:rsidRPr="00497D14" w:rsidRDefault="00497D14">
      <w:pPr>
        <w:rPr>
          <w:lang w:val="en-GB"/>
        </w:rPr>
      </w:pPr>
    </w:p>
    <w:p w14:paraId="1EEAEF6D" w14:textId="77777777" w:rsidR="00497D14" w:rsidRPr="00497D14" w:rsidRDefault="00497D14">
      <w:pPr>
        <w:rPr>
          <w:lang w:val="en-GB"/>
        </w:rPr>
      </w:pPr>
    </w:p>
    <w:sectPr w:rsidR="00497D14" w:rsidRPr="00497D1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Davide Puglisi" w:date="2025-04-09T14:29:00Z" w:initials="DP">
    <w:p w14:paraId="0207629C" w14:textId="77777777" w:rsidR="00497D14" w:rsidRDefault="00497D14" w:rsidP="00497D14">
      <w:pPr>
        <w:pStyle w:val="Testocommento"/>
      </w:pPr>
      <w:r>
        <w:rPr>
          <w:rStyle w:val="Rimandocommento"/>
        </w:rPr>
        <w:annotationRef/>
      </w:r>
      <w:r>
        <w:t>SLR-72: this text is from Annex 21 to R150-00</w:t>
      </w:r>
    </w:p>
  </w:comment>
  <w:comment w:id="1" w:author="Jürgen Ewald, ORAFOL" w:date="2025-07-07T16:35:00Z" w:initials="JEO">
    <w:p w14:paraId="705EB2A4" w14:textId="77777777" w:rsidR="00497D14" w:rsidRDefault="00497D14" w:rsidP="00497D14">
      <w:pPr>
        <w:pStyle w:val="Testocommento"/>
      </w:pPr>
      <w:r>
        <w:rPr>
          <w:rStyle w:val="Rimandocommento"/>
        </w:rPr>
        <w:annotationRef/>
      </w:r>
      <w:r>
        <w:t xml:space="preserve">It was the wish from </w:t>
      </w:r>
      <w:proofErr w:type="spellStart"/>
      <w:r>
        <w:t>japan</w:t>
      </w:r>
      <w:proofErr w:type="spellEnd"/>
      <w:r>
        <w:t xml:space="preserve"> to re-enter this text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207629C" w15:done="0"/>
  <w15:commentEx w15:paraId="705EB2A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207629C" w16cid:durableId="27F7F3D2"/>
  <w16cid:commentId w16cid:paraId="705EB2A4" w16cid:durableId="59847B5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23916" w14:textId="77777777" w:rsidR="002D490E" w:rsidRDefault="002D490E" w:rsidP="00497D14">
      <w:pPr>
        <w:spacing w:after="0" w:line="240" w:lineRule="auto"/>
      </w:pPr>
      <w:r>
        <w:separator/>
      </w:r>
    </w:p>
  </w:endnote>
  <w:endnote w:type="continuationSeparator" w:id="0">
    <w:p w14:paraId="03F94B3F" w14:textId="77777777" w:rsidR="002D490E" w:rsidRDefault="002D490E" w:rsidP="00497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B7937" w14:textId="77777777" w:rsidR="002D490E" w:rsidRDefault="002D490E" w:rsidP="00497D14">
      <w:pPr>
        <w:spacing w:after="0" w:line="240" w:lineRule="auto"/>
      </w:pPr>
      <w:r>
        <w:separator/>
      </w:r>
    </w:p>
  </w:footnote>
  <w:footnote w:type="continuationSeparator" w:id="0">
    <w:p w14:paraId="58645D6D" w14:textId="77777777" w:rsidR="002D490E" w:rsidRDefault="002D490E" w:rsidP="00497D14">
      <w:pPr>
        <w:spacing w:after="0" w:line="240" w:lineRule="auto"/>
      </w:pPr>
      <w:r>
        <w:continuationSeparator/>
      </w:r>
    </w:p>
  </w:footnote>
  <w:footnote w:id="1">
    <w:p w14:paraId="7BF831B7" w14:textId="77777777" w:rsidR="00497D14" w:rsidRPr="00497D14" w:rsidRDefault="00497D14" w:rsidP="00497D14">
      <w:pPr>
        <w:pStyle w:val="Testonotaapidipagina"/>
        <w:rPr>
          <w:lang w:val="en-GB"/>
        </w:rPr>
      </w:pPr>
      <w:r w:rsidRPr="00497D14">
        <w:rPr>
          <w:rStyle w:val="Rimandonotaapidipagina"/>
          <w:lang w:val="en-GB"/>
        </w:rPr>
        <w:tab/>
        <w:t>1</w:t>
      </w:r>
      <w:r w:rsidRPr="00497D14">
        <w:rPr>
          <w:rStyle w:val="Rimandonotaapidipagina"/>
          <w:lang w:val="en-GB"/>
        </w:rPr>
        <w:tab/>
      </w:r>
      <w:r w:rsidRPr="00497D14">
        <w:rPr>
          <w:lang w:val="en-GB"/>
        </w:rPr>
        <w:t>Despite the importance of tests to check the colour-fastness of retro-reflective devices, it is in the present state of the art not yet possible to assess colour-fastness by laboratory tests of limited duration.</w:t>
      </w:r>
    </w:p>
  </w:footnote>
  <w:footnote w:id="2">
    <w:p w14:paraId="3CE5C3C4" w14:textId="77777777" w:rsidR="00497D14" w:rsidRPr="00C977C8" w:rsidRDefault="00497D14" w:rsidP="00497D14">
      <w:pPr>
        <w:pStyle w:val="Testonotaapidipagina"/>
        <w:widowControl w:val="0"/>
        <w:tabs>
          <w:tab w:val="right" w:pos="1020"/>
        </w:tabs>
        <w:rPr>
          <w:lang w:val="en-US"/>
        </w:rPr>
      </w:pPr>
      <w:r>
        <w:tab/>
      </w:r>
      <w:r>
        <w:rPr>
          <w:rStyle w:val="Rimandonotaapidipagina"/>
        </w:rPr>
        <w:footnoteRef/>
      </w:r>
      <w:r w:rsidRPr="00497D14">
        <w:rPr>
          <w:lang w:val="en-GB"/>
        </w:rPr>
        <w:tab/>
        <w:t xml:space="preserve">Despite the importance of tests to check the stability in time of the optical properties of retro-reflecting devices, it is in the present state of the art not yet possible to assess this stability by laboratory tests of limited duration. </w:t>
      </w:r>
    </w:p>
  </w:footnote>
  <w:footnote w:id="3">
    <w:p w14:paraId="7A9D39C2" w14:textId="77777777" w:rsidR="00991435" w:rsidRPr="003C1795" w:rsidRDefault="00991435" w:rsidP="00991435">
      <w:pPr>
        <w:pStyle w:val="Testonotaapidipagina"/>
        <w:widowControl w:val="0"/>
        <w:tabs>
          <w:tab w:val="right" w:pos="1020"/>
        </w:tabs>
        <w:rPr>
          <w:lang w:val="en-US"/>
        </w:rPr>
      </w:pPr>
      <w:r>
        <w:tab/>
      </w:r>
      <w:r>
        <w:rPr>
          <w:rStyle w:val="Rimandonotaapidipagina"/>
        </w:rPr>
        <w:footnoteRef/>
      </w:r>
      <w:r w:rsidRPr="00991435">
        <w:rPr>
          <w:lang w:val="en-GB"/>
        </w:rPr>
        <w:tab/>
        <w:t xml:space="preserve">Despite the importance of tests to check the colour-fastness of retro-reflecting devices, it is in the present state of the art not yet possible to assess colour-fastness by laboratory tests of limited duration. </w:t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avide Puglisi">
    <w15:presenceInfo w15:providerId="Windows Live" w15:userId="8a696cf998f39465"/>
  </w15:person>
  <w15:person w15:author="Jürgen Ewald, ORAFOL">
    <w15:presenceInfo w15:providerId="AD" w15:userId="S-1-5-21-1735605494-4050400507-4219190308-46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D14"/>
    <w:rsid w:val="000B1F68"/>
    <w:rsid w:val="00166228"/>
    <w:rsid w:val="002510E3"/>
    <w:rsid w:val="002D490E"/>
    <w:rsid w:val="002E2E07"/>
    <w:rsid w:val="003F1F1C"/>
    <w:rsid w:val="00497D14"/>
    <w:rsid w:val="00991435"/>
    <w:rsid w:val="00F11C84"/>
    <w:rsid w:val="00F1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980B4"/>
  <w15:chartTrackingRefBased/>
  <w15:docId w15:val="{8E105396-060A-4A75-9711-A68F9858C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97D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97D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97D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97D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97D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97D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97D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97D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97D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7D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97D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97D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97D1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97D1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97D1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97D1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97D1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97D1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97D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97D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97D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97D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97D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97D1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97D1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97D1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97D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97D1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97D14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497D14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97D14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97D1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97D14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497D1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97D14"/>
    <w:pPr>
      <w:spacing w:line="240" w:lineRule="auto"/>
    </w:pPr>
    <w:rPr>
      <w:rFonts w:eastAsia="DengXian"/>
      <w:kern w:val="0"/>
      <w:sz w:val="20"/>
      <w:szCs w:val="20"/>
      <w:lang w:val="en-US" w:eastAsia="zh-CN" w:bidi="he-IL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97D14"/>
    <w:rPr>
      <w:rFonts w:eastAsia="DengXian"/>
      <w:kern w:val="0"/>
      <w:sz w:val="20"/>
      <w:szCs w:val="20"/>
      <w:lang w:val="en-US" w:eastAsia="zh-CN" w:bidi="he-IL"/>
      <w14:ligatures w14:val="none"/>
    </w:rPr>
  </w:style>
  <w:style w:type="character" w:styleId="Rimandonotaapidipagina">
    <w:name w:val="footnote reference"/>
    <w:aliases w:val="4_G,(Footnote Reference),-E Fußnotenzeichen,BVI fnr,Footnote symbol,Footnote,Footnote Reference Superscript,SUPERS, BVI fnr"/>
    <w:rsid w:val="00497D14"/>
    <w:rPr>
      <w:rFonts w:ascii="Times New Roman" w:hAnsi="Times New Roman"/>
      <w:sz w:val="18"/>
      <w:vertAlign w:val="superscrip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97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97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webSettings" Target="web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iki.unece.org/download/attachments/292257901/SLR-73-09_%28HWT-R150%29_R150.01%20Corrections%20retro-reflective%20devices%20%28Rev.%20of%20SLR-72-10-Rev.1%29.docx?api=v2" TargetMode="Externa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Jürgen Ewald, ORAFOL</dc:creator>
  <cp:keywords/>
  <dc:description/>
  <cp:lastModifiedBy>Davide Puglisi</cp:lastModifiedBy>
  <cp:revision>3</cp:revision>
  <dcterms:created xsi:type="dcterms:W3CDTF">2025-08-27T06:44:00Z</dcterms:created>
  <dcterms:modified xsi:type="dcterms:W3CDTF">2025-08-27T07:58:00Z</dcterms:modified>
</cp:coreProperties>
</file>