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16C3AE" w14:textId="1979EC45" w:rsidR="00D47698" w:rsidRDefault="00D47698" w:rsidP="00D47698">
      <w:pPr>
        <w:spacing w:after="0"/>
        <w:jc w:val="right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SLR-74-06</w:t>
      </w:r>
    </w:p>
    <w:p w14:paraId="3BBEC05B" w14:textId="77777777" w:rsidR="00D47698" w:rsidRDefault="00D47698" w:rsidP="00D47DF5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14:paraId="626364EE" w14:textId="035DACE7" w:rsidR="002D05F2" w:rsidRPr="00D47DF5" w:rsidRDefault="00D47DF5" w:rsidP="00D47DF5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D47DF5">
        <w:rPr>
          <w:rFonts w:ascii="Arial" w:hAnsi="Arial" w:cs="Arial"/>
          <w:b/>
          <w:bCs/>
          <w:sz w:val="28"/>
          <w:szCs w:val="28"/>
        </w:rPr>
        <w:t>Draft OICA Input to SLR - Horizontal adjustment of passing-beam/driving-beam and for AFS/ADB</w:t>
      </w:r>
    </w:p>
    <w:p w14:paraId="457ED00D" w14:textId="77777777" w:rsid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7F878D87" w14:textId="77777777" w:rsid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4BB0CF39" w14:textId="37858793" w:rsidR="00D47DF5" w:rsidRPr="00D47DF5" w:rsidRDefault="00D47DF5" w:rsidP="00D47DF5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D47DF5">
        <w:rPr>
          <w:rFonts w:ascii="Arial" w:hAnsi="Arial" w:cs="Arial"/>
          <w:sz w:val="20"/>
          <w:szCs w:val="20"/>
          <w:u w:val="single"/>
        </w:rPr>
        <w:t>Action from SLR-72</w:t>
      </w:r>
    </w:p>
    <w:p w14:paraId="07AA2F38" w14:textId="77777777" w:rsid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4A83851D" w14:textId="77777777" w:rsidR="00D47DF5" w:rsidRPr="00D47DF5" w:rsidRDefault="00D47DF5" w:rsidP="00D47698">
      <w:pPr>
        <w:spacing w:after="0"/>
        <w:jc w:val="both"/>
        <w:rPr>
          <w:rFonts w:ascii="Arial" w:hAnsi="Arial" w:cs="Arial"/>
          <w:sz w:val="20"/>
          <w:szCs w:val="20"/>
        </w:rPr>
      </w:pPr>
      <w:r w:rsidRPr="00D47DF5">
        <w:rPr>
          <w:rFonts w:ascii="Arial" w:hAnsi="Arial" w:cs="Arial"/>
          <w:sz w:val="20"/>
          <w:szCs w:val="20"/>
        </w:rPr>
        <w:t>Mr. Pernkopf offered to draft, with assistance of OICA experts, a text for SLR-74 to introduce a requirement for correct horizontal adjustment of passing-beam/driving-beam and for AFS/ADB.</w:t>
      </w:r>
    </w:p>
    <w:p w14:paraId="4E3284B8" w14:textId="77777777" w:rsid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111C10D9" w14:textId="77777777" w:rsidR="002E02CD" w:rsidRDefault="002E02CD" w:rsidP="00D47DF5">
      <w:pPr>
        <w:spacing w:after="0"/>
        <w:rPr>
          <w:rFonts w:ascii="Arial" w:hAnsi="Arial" w:cs="Arial"/>
          <w:sz w:val="20"/>
          <w:szCs w:val="20"/>
        </w:rPr>
      </w:pPr>
    </w:p>
    <w:p w14:paraId="0775BB40" w14:textId="11911DCE" w:rsidR="00D47DF5" w:rsidRPr="00D47DF5" w:rsidRDefault="00D47DF5" w:rsidP="00D47DF5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D47DF5">
        <w:rPr>
          <w:rFonts w:ascii="Arial" w:hAnsi="Arial" w:cs="Arial"/>
          <w:sz w:val="20"/>
          <w:szCs w:val="20"/>
          <w:u w:val="single"/>
        </w:rPr>
        <w:t>OICA Response</w:t>
      </w:r>
    </w:p>
    <w:p w14:paraId="05A63310" w14:textId="77777777" w:rsid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3AF25E8A" w14:textId="11A17444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OICA is not opposed </w:t>
      </w:r>
      <w:r w:rsidR="009A7C92">
        <w:rPr>
          <w:rFonts w:ascii="Arial" w:hAnsi="Arial" w:cs="Arial"/>
          <w:sz w:val="20"/>
          <w:szCs w:val="20"/>
        </w:rPr>
        <w:t>‘</w:t>
      </w:r>
      <w:r w:rsidRPr="00254FA4">
        <w:rPr>
          <w:rFonts w:ascii="Arial" w:hAnsi="Arial" w:cs="Arial"/>
          <w:sz w:val="20"/>
          <w:szCs w:val="20"/>
        </w:rPr>
        <w:t>in principle</w:t>
      </w:r>
      <w:r w:rsidR="009A7C92">
        <w:rPr>
          <w:rFonts w:ascii="Arial" w:hAnsi="Arial" w:cs="Arial"/>
          <w:sz w:val="20"/>
          <w:szCs w:val="20"/>
        </w:rPr>
        <w:t>’</w:t>
      </w:r>
      <w:r w:rsidRPr="00254FA4">
        <w:rPr>
          <w:rFonts w:ascii="Arial" w:hAnsi="Arial" w:cs="Arial"/>
          <w:sz w:val="20"/>
          <w:szCs w:val="20"/>
        </w:rPr>
        <w:t xml:space="preserve"> to introducing a regulatory requirement for horizontal adjustment of headlamps. However, we respectfully request that this </w:t>
      </w:r>
      <w:r w:rsidRPr="009A7C92">
        <w:rPr>
          <w:rFonts w:ascii="Arial" w:hAnsi="Arial" w:cs="Arial"/>
          <w:b/>
          <w:bCs/>
          <w:sz w:val="20"/>
          <w:szCs w:val="20"/>
        </w:rPr>
        <w:t>topic be withdrawn</w:t>
      </w:r>
      <w:r w:rsidRPr="00254FA4">
        <w:rPr>
          <w:rFonts w:ascii="Arial" w:hAnsi="Arial" w:cs="Arial"/>
          <w:sz w:val="20"/>
          <w:szCs w:val="20"/>
        </w:rPr>
        <w:t xml:space="preserve"> from the current SLR agenda for the following reasons:</w:t>
      </w:r>
    </w:p>
    <w:p w14:paraId="7F219F22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81406" w14:textId="4CEF9368" w:rsidR="00254FA4" w:rsidRPr="00254FA4" w:rsidRDefault="00254FA4" w:rsidP="00D47698">
      <w:pPr>
        <w:pStyle w:val="Paragrafoelenco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The proposal does not contribute to the simplification of </w:t>
      </w:r>
      <w:r>
        <w:rPr>
          <w:rFonts w:ascii="Arial" w:hAnsi="Arial" w:cs="Arial"/>
          <w:sz w:val="20"/>
          <w:szCs w:val="20"/>
        </w:rPr>
        <w:t xml:space="preserve">the </w:t>
      </w:r>
      <w:r w:rsidRPr="00254FA4">
        <w:rPr>
          <w:rFonts w:ascii="Arial" w:hAnsi="Arial" w:cs="Arial"/>
          <w:sz w:val="20"/>
          <w:szCs w:val="20"/>
        </w:rPr>
        <w:t xml:space="preserve">lighting regulations. There is no identified safety concern or ambiguity in the current regulatory text that would justify this </w:t>
      </w:r>
      <w:r w:rsidR="00AE0A2C">
        <w:rPr>
          <w:rFonts w:ascii="Arial" w:hAnsi="Arial" w:cs="Arial"/>
          <w:sz w:val="20"/>
          <w:szCs w:val="20"/>
        </w:rPr>
        <w:t>new requirement</w:t>
      </w:r>
      <w:r w:rsidRPr="00254FA4">
        <w:rPr>
          <w:rFonts w:ascii="Arial" w:hAnsi="Arial" w:cs="Arial"/>
          <w:sz w:val="20"/>
          <w:szCs w:val="20"/>
        </w:rPr>
        <w:t>.</w:t>
      </w:r>
    </w:p>
    <w:p w14:paraId="24F52151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73210D" w14:textId="477045EB" w:rsidR="00254FA4" w:rsidRPr="00254FA4" w:rsidRDefault="00254FA4" w:rsidP="00D47698">
      <w:pPr>
        <w:pStyle w:val="Paragrafoelenco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The topic originated as a question within the SLR group and lacks a formal proposal from a Contracting Party, NGO, or other stakeholder. Without a clear proponent, it is difficult to justify </w:t>
      </w:r>
      <w:r>
        <w:rPr>
          <w:rFonts w:ascii="Arial" w:hAnsi="Arial" w:cs="Arial"/>
          <w:sz w:val="20"/>
          <w:szCs w:val="20"/>
        </w:rPr>
        <w:t>working on</w:t>
      </w:r>
      <w:r w:rsidRPr="00254FA4">
        <w:rPr>
          <w:rFonts w:ascii="Arial" w:hAnsi="Arial" w:cs="Arial"/>
          <w:sz w:val="20"/>
          <w:szCs w:val="20"/>
        </w:rPr>
        <w:t xml:space="preserve"> this issue.</w:t>
      </w:r>
    </w:p>
    <w:p w14:paraId="0FC7B6FC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7BA8A0E" w14:textId="23431D5F" w:rsidR="00254FA4" w:rsidRPr="00254FA4" w:rsidRDefault="00254FA4" w:rsidP="00D47698">
      <w:pPr>
        <w:pStyle w:val="Paragrafoelenco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The SLR group is already managing several longstanding issues that have yet to be resolved. Introducing </w:t>
      </w:r>
      <w:r w:rsidR="00661A6C">
        <w:rPr>
          <w:rFonts w:ascii="Arial" w:hAnsi="Arial" w:cs="Arial"/>
          <w:sz w:val="20"/>
          <w:szCs w:val="20"/>
        </w:rPr>
        <w:t xml:space="preserve">a </w:t>
      </w:r>
      <w:proofErr w:type="gramStart"/>
      <w:r w:rsidR="00661A6C">
        <w:rPr>
          <w:rFonts w:ascii="Arial" w:hAnsi="Arial" w:cs="Arial"/>
          <w:sz w:val="20"/>
          <w:szCs w:val="20"/>
        </w:rPr>
        <w:t>new</w:t>
      </w:r>
      <w:r w:rsidRPr="00254FA4">
        <w:rPr>
          <w:rFonts w:ascii="Arial" w:hAnsi="Arial" w:cs="Arial"/>
          <w:sz w:val="20"/>
          <w:szCs w:val="20"/>
        </w:rPr>
        <w:t xml:space="preserve"> topic risks</w:t>
      </w:r>
      <w:proofErr w:type="gramEnd"/>
      <w:r w:rsidRPr="00254FA4">
        <w:rPr>
          <w:rFonts w:ascii="Arial" w:hAnsi="Arial" w:cs="Arial"/>
          <w:sz w:val="20"/>
          <w:szCs w:val="20"/>
        </w:rPr>
        <w:t xml:space="preserve"> further delaying progress on these existing matters.</w:t>
      </w:r>
    </w:p>
    <w:p w14:paraId="6A4EF933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C6CE86A" w14:textId="5726229B" w:rsidR="00254FA4" w:rsidRPr="00254FA4" w:rsidRDefault="00254FA4" w:rsidP="00D47698">
      <w:pPr>
        <w:pStyle w:val="Paragrafoelenco"/>
        <w:numPr>
          <w:ilvl w:val="0"/>
          <w:numId w:val="4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Need for PTI Harmonization </w:t>
      </w:r>
      <w:r>
        <w:rPr>
          <w:rFonts w:ascii="Arial" w:hAnsi="Arial" w:cs="Arial"/>
          <w:sz w:val="20"/>
          <w:szCs w:val="20"/>
        </w:rPr>
        <w:t xml:space="preserve">- </w:t>
      </w:r>
      <w:r w:rsidRPr="00254FA4">
        <w:rPr>
          <w:rFonts w:ascii="Arial" w:hAnsi="Arial" w:cs="Arial"/>
          <w:sz w:val="20"/>
          <w:szCs w:val="20"/>
        </w:rPr>
        <w:t>To meaningfully address horizontal adjustment requirements, a comprehensive understanding of Periodic Technical Inspection (PTI) specifications across all Contracting Parties is essential. Only then can harmonized requirements be considered.</w:t>
      </w:r>
    </w:p>
    <w:p w14:paraId="491CE148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3FB5887" w14:textId="77777777" w:rsidR="00254FA4" w:rsidRPr="00D47698" w:rsidRDefault="00254FA4" w:rsidP="00254FA4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D47698">
        <w:rPr>
          <w:rFonts w:ascii="Arial" w:hAnsi="Arial" w:cs="Arial"/>
          <w:b/>
          <w:bCs/>
          <w:sz w:val="20"/>
          <w:szCs w:val="20"/>
        </w:rPr>
        <w:t>Illustrative Example:</w:t>
      </w:r>
    </w:p>
    <w:p w14:paraId="0C8016ED" w14:textId="0DD372C9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>We are aware of differing national specifications, such as Germany’s PTI requirement of ±0.5 degrees and the UK’s MOT specification, which prohibits any light directed toward oncoming traffic. These discrepancies highlight the complexity of defining a unif</w:t>
      </w:r>
      <w:r w:rsidR="008258B0">
        <w:rPr>
          <w:rFonts w:ascii="Arial" w:hAnsi="Arial" w:cs="Arial"/>
          <w:sz w:val="20"/>
          <w:szCs w:val="20"/>
        </w:rPr>
        <w:t>orm</w:t>
      </w:r>
      <w:r w:rsidRPr="00254FA4">
        <w:rPr>
          <w:rFonts w:ascii="Arial" w:hAnsi="Arial" w:cs="Arial"/>
          <w:sz w:val="20"/>
          <w:szCs w:val="20"/>
        </w:rPr>
        <w:t xml:space="preserve"> approach.</w:t>
      </w:r>
    </w:p>
    <w:p w14:paraId="28FC3A85" w14:textId="77777777" w:rsidR="00254FA4" w:rsidRPr="00254FA4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0609C1" w14:textId="77777777" w:rsidR="000C6AC9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 xml:space="preserve">Furthermore, the UK is currently conducting a glare study and has expressed significant concern regarding headlamp glare affecting oncoming drivers. </w:t>
      </w:r>
    </w:p>
    <w:p w14:paraId="6028F6F0" w14:textId="77777777" w:rsidR="000C6AC9" w:rsidRDefault="000C6AC9" w:rsidP="00254FA4">
      <w:pPr>
        <w:spacing w:after="0"/>
        <w:rPr>
          <w:rFonts w:ascii="Arial" w:hAnsi="Arial" w:cs="Arial"/>
          <w:sz w:val="20"/>
          <w:szCs w:val="20"/>
        </w:rPr>
      </w:pPr>
    </w:p>
    <w:p w14:paraId="54D85F5F" w14:textId="6ABFB2E8" w:rsidR="009F2B15" w:rsidRPr="009F2B15" w:rsidRDefault="009F2B15" w:rsidP="00254FA4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9F2B15">
        <w:rPr>
          <w:rFonts w:ascii="Arial" w:hAnsi="Arial" w:cs="Arial"/>
          <w:b/>
          <w:bCs/>
          <w:sz w:val="20"/>
          <w:szCs w:val="20"/>
        </w:rPr>
        <w:t>Conclusion:</w:t>
      </w:r>
    </w:p>
    <w:p w14:paraId="61ED4391" w14:textId="6F2D133C" w:rsidR="002E02CD" w:rsidRDefault="00254FA4" w:rsidP="00D47698">
      <w:pPr>
        <w:spacing w:after="0"/>
        <w:jc w:val="both"/>
        <w:rPr>
          <w:rFonts w:ascii="Arial" w:hAnsi="Arial" w:cs="Arial"/>
          <w:sz w:val="20"/>
          <w:szCs w:val="20"/>
        </w:rPr>
      </w:pPr>
      <w:r w:rsidRPr="00254FA4">
        <w:rPr>
          <w:rFonts w:ascii="Arial" w:hAnsi="Arial" w:cs="Arial"/>
          <w:sz w:val="20"/>
          <w:szCs w:val="20"/>
        </w:rPr>
        <w:t>Until PTI specifications from all Contracting Parties are available and reviewed, it is premature to discuss harmonized requirements.</w:t>
      </w:r>
      <w:r w:rsidR="009F2B15" w:rsidRPr="009F2B15">
        <w:rPr>
          <w:rFonts w:ascii="Arial" w:hAnsi="Arial" w:cs="Arial"/>
          <w:sz w:val="20"/>
          <w:szCs w:val="20"/>
        </w:rPr>
        <w:t xml:space="preserve"> </w:t>
      </w:r>
      <w:r w:rsidR="009F2B15">
        <w:rPr>
          <w:rFonts w:ascii="Arial" w:hAnsi="Arial" w:cs="Arial"/>
          <w:sz w:val="20"/>
          <w:szCs w:val="20"/>
        </w:rPr>
        <w:t>W</w:t>
      </w:r>
      <w:r w:rsidR="009F2B15" w:rsidRPr="00254FA4">
        <w:rPr>
          <w:rFonts w:ascii="Arial" w:hAnsi="Arial" w:cs="Arial"/>
          <w:sz w:val="20"/>
          <w:szCs w:val="20"/>
        </w:rPr>
        <w:t xml:space="preserve">e request that this topic </w:t>
      </w:r>
      <w:r w:rsidR="004348C8">
        <w:rPr>
          <w:rFonts w:ascii="Arial" w:hAnsi="Arial" w:cs="Arial"/>
          <w:sz w:val="20"/>
          <w:szCs w:val="20"/>
        </w:rPr>
        <w:t>is</w:t>
      </w:r>
      <w:r w:rsidR="009F2B15" w:rsidRPr="00254FA4">
        <w:rPr>
          <w:rFonts w:ascii="Arial" w:hAnsi="Arial" w:cs="Arial"/>
          <w:sz w:val="20"/>
          <w:szCs w:val="20"/>
        </w:rPr>
        <w:t xml:space="preserve"> withdrawn from the current SLR</w:t>
      </w:r>
      <w:r w:rsidR="004348C8">
        <w:rPr>
          <w:rFonts w:ascii="Arial" w:hAnsi="Arial" w:cs="Arial"/>
          <w:sz w:val="20"/>
          <w:szCs w:val="20"/>
        </w:rPr>
        <w:t xml:space="preserve"> agenda.</w:t>
      </w:r>
    </w:p>
    <w:p w14:paraId="12B82856" w14:textId="77777777" w:rsidR="00254FA4" w:rsidRDefault="00254FA4" w:rsidP="00254FA4">
      <w:pPr>
        <w:spacing w:after="0"/>
        <w:rPr>
          <w:rFonts w:ascii="Arial" w:hAnsi="Arial" w:cs="Arial"/>
          <w:sz w:val="20"/>
          <w:szCs w:val="20"/>
        </w:rPr>
      </w:pPr>
    </w:p>
    <w:p w14:paraId="5FC66933" w14:textId="77777777" w:rsidR="00D47698" w:rsidRDefault="00D47698" w:rsidP="00254FA4">
      <w:pPr>
        <w:spacing w:after="0"/>
        <w:rPr>
          <w:rFonts w:ascii="Arial" w:hAnsi="Arial" w:cs="Arial"/>
          <w:sz w:val="20"/>
          <w:szCs w:val="20"/>
        </w:rPr>
      </w:pPr>
    </w:p>
    <w:p w14:paraId="11EBA73F" w14:textId="2F41E9E4" w:rsidR="002E02CD" w:rsidRPr="002E02CD" w:rsidRDefault="002E02CD" w:rsidP="00D47DF5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2E02CD">
        <w:rPr>
          <w:rFonts w:ascii="Arial" w:hAnsi="Arial" w:cs="Arial"/>
          <w:sz w:val="20"/>
          <w:szCs w:val="20"/>
          <w:u w:val="single"/>
        </w:rPr>
        <w:t xml:space="preserve">German PTI </w:t>
      </w:r>
      <w:r>
        <w:rPr>
          <w:rFonts w:ascii="Arial" w:hAnsi="Arial" w:cs="Arial"/>
          <w:sz w:val="20"/>
          <w:szCs w:val="20"/>
          <w:u w:val="single"/>
        </w:rPr>
        <w:t>Requirements</w:t>
      </w:r>
    </w:p>
    <w:p w14:paraId="06DFF7E5" w14:textId="3A4B2EAE" w:rsidR="002E02CD" w:rsidRDefault="002E02CD" w:rsidP="00D47DF5">
      <w:pPr>
        <w:spacing w:after="0"/>
        <w:rPr>
          <w:rFonts w:ascii="Arial" w:hAnsi="Arial" w:cs="Arial"/>
          <w:sz w:val="20"/>
          <w:szCs w:val="20"/>
        </w:rPr>
      </w:pPr>
      <w:r>
        <w:object w:dxaOrig="1508" w:dyaOrig="983" w14:anchorId="32747F7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.75pt;height:49.5pt" o:ole="">
            <v:imagedata r:id="rId8" o:title=""/>
          </v:shape>
          <o:OLEObject Type="Embed" ProgID="Acrobat.Document.DC" ShapeID="_x0000_i1025" DrawAspect="Icon" ObjectID="_1818600894" r:id="rId9"/>
        </w:object>
      </w:r>
    </w:p>
    <w:p w14:paraId="62A37F60" w14:textId="77777777" w:rsidR="002E02CD" w:rsidRDefault="002E02CD" w:rsidP="00D47DF5">
      <w:pPr>
        <w:spacing w:after="0"/>
        <w:rPr>
          <w:rFonts w:ascii="Arial" w:hAnsi="Arial" w:cs="Arial"/>
          <w:sz w:val="20"/>
          <w:szCs w:val="20"/>
        </w:rPr>
      </w:pPr>
    </w:p>
    <w:p w14:paraId="018B3EF4" w14:textId="77777777" w:rsidR="00D47698" w:rsidRDefault="00D47698" w:rsidP="00D47DF5">
      <w:pPr>
        <w:spacing w:after="0"/>
        <w:rPr>
          <w:rFonts w:ascii="Arial" w:hAnsi="Arial" w:cs="Arial"/>
          <w:sz w:val="20"/>
          <w:szCs w:val="20"/>
        </w:rPr>
      </w:pPr>
    </w:p>
    <w:p w14:paraId="1407C456" w14:textId="77777777" w:rsidR="00D47698" w:rsidRDefault="00D47698" w:rsidP="00D47DF5">
      <w:pPr>
        <w:spacing w:after="0"/>
        <w:rPr>
          <w:rFonts w:ascii="Arial" w:hAnsi="Arial" w:cs="Arial"/>
          <w:sz w:val="20"/>
          <w:szCs w:val="20"/>
        </w:rPr>
      </w:pPr>
    </w:p>
    <w:p w14:paraId="11B58C3D" w14:textId="77777777" w:rsidR="00D47698" w:rsidRDefault="00D47698" w:rsidP="00D47DF5">
      <w:pPr>
        <w:spacing w:after="0"/>
        <w:rPr>
          <w:rFonts w:ascii="Arial" w:hAnsi="Arial" w:cs="Arial"/>
          <w:sz w:val="20"/>
          <w:szCs w:val="20"/>
        </w:rPr>
      </w:pPr>
    </w:p>
    <w:p w14:paraId="69082DC2" w14:textId="72A8C7BB" w:rsidR="002E02CD" w:rsidRPr="00D47DF5" w:rsidRDefault="002E02CD" w:rsidP="002E02CD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D47DF5">
        <w:rPr>
          <w:rFonts w:ascii="Arial" w:hAnsi="Arial" w:cs="Arial"/>
          <w:sz w:val="20"/>
          <w:szCs w:val="20"/>
          <w:u w:val="single"/>
        </w:rPr>
        <w:t xml:space="preserve">UK </w:t>
      </w:r>
      <w:r>
        <w:rPr>
          <w:rFonts w:ascii="Arial" w:hAnsi="Arial" w:cs="Arial"/>
          <w:sz w:val="20"/>
          <w:szCs w:val="20"/>
          <w:u w:val="single"/>
        </w:rPr>
        <w:t>PTI (</w:t>
      </w:r>
      <w:r w:rsidRPr="00D47DF5">
        <w:rPr>
          <w:rFonts w:ascii="Arial" w:hAnsi="Arial" w:cs="Arial"/>
          <w:sz w:val="20"/>
          <w:szCs w:val="20"/>
          <w:u w:val="single"/>
        </w:rPr>
        <w:t>MOT</w:t>
      </w:r>
      <w:r>
        <w:rPr>
          <w:rFonts w:ascii="Arial" w:hAnsi="Arial" w:cs="Arial"/>
          <w:sz w:val="20"/>
          <w:szCs w:val="20"/>
          <w:u w:val="single"/>
        </w:rPr>
        <w:t>)</w:t>
      </w:r>
      <w:r w:rsidRPr="00D47DF5">
        <w:rPr>
          <w:rFonts w:ascii="Arial" w:hAnsi="Arial" w:cs="Arial"/>
          <w:sz w:val="20"/>
          <w:szCs w:val="20"/>
          <w:u w:val="single"/>
        </w:rPr>
        <w:t xml:space="preserve"> </w:t>
      </w:r>
      <w:r>
        <w:rPr>
          <w:rFonts w:ascii="Arial" w:hAnsi="Arial" w:cs="Arial"/>
          <w:sz w:val="20"/>
          <w:szCs w:val="20"/>
          <w:u w:val="single"/>
        </w:rPr>
        <w:t>Requirements</w:t>
      </w:r>
    </w:p>
    <w:p w14:paraId="2714EE56" w14:textId="77777777" w:rsidR="002E02CD" w:rsidRPr="00D47DF5" w:rsidRDefault="002E02CD" w:rsidP="00D47DF5">
      <w:pPr>
        <w:spacing w:after="0"/>
        <w:rPr>
          <w:rFonts w:ascii="Arial" w:hAnsi="Arial" w:cs="Arial"/>
          <w:sz w:val="20"/>
          <w:szCs w:val="20"/>
        </w:rPr>
      </w:pPr>
    </w:p>
    <w:p w14:paraId="174FEB09" w14:textId="4AF95B97" w:rsidR="00D47DF5" w:rsidRP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  <w:r w:rsidRPr="00D47DF5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50E61C90" wp14:editId="2CDD9066">
            <wp:extent cx="5593080" cy="3576320"/>
            <wp:effectExtent l="0" t="0" r="7620" b="5080"/>
            <wp:docPr id="16676368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357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F86347" w14:textId="77777777" w:rsidR="00D47DF5" w:rsidRPr="00D47DF5" w:rsidRDefault="00D47DF5" w:rsidP="00D47DF5">
      <w:pPr>
        <w:spacing w:after="0"/>
        <w:rPr>
          <w:rFonts w:ascii="Arial" w:hAnsi="Arial" w:cs="Arial"/>
          <w:sz w:val="20"/>
          <w:szCs w:val="20"/>
        </w:rPr>
      </w:pPr>
    </w:p>
    <w:p w14:paraId="29118ABE" w14:textId="0B76476A" w:rsidR="002E02CD" w:rsidRDefault="002E02CD" w:rsidP="00D47DF5">
      <w:pPr>
        <w:spacing w:after="0"/>
        <w:rPr>
          <w:rFonts w:ascii="Arial" w:hAnsi="Arial" w:cs="Arial"/>
          <w:sz w:val="20"/>
          <w:szCs w:val="20"/>
        </w:rPr>
      </w:pPr>
      <w:hyperlink r:id="rId12" w:anchor="section-4-1-2" w:history="1">
        <w:r w:rsidRPr="00BE681B">
          <w:rPr>
            <w:rStyle w:val="Collegamentoipertestuale"/>
            <w:rFonts w:ascii="Arial" w:hAnsi="Arial" w:cs="Arial"/>
            <w:sz w:val="20"/>
            <w:szCs w:val="20"/>
          </w:rPr>
          <w:t>https://www.gov.uk/guidance/mot-inspection-manual-for-private-passenger-and-light-commercial-vehicles/4-lamps-reflectors-and-electrical-equipment#section-4-1-2</w:t>
        </w:r>
      </w:hyperlink>
    </w:p>
    <w:p w14:paraId="3DE52E85" w14:textId="77777777" w:rsidR="002E02CD" w:rsidRPr="00D47DF5" w:rsidRDefault="002E02CD" w:rsidP="00D47DF5">
      <w:pPr>
        <w:spacing w:after="0"/>
        <w:rPr>
          <w:rFonts w:ascii="Arial" w:hAnsi="Arial" w:cs="Arial"/>
          <w:sz w:val="20"/>
          <w:szCs w:val="20"/>
        </w:rPr>
      </w:pPr>
    </w:p>
    <w:sectPr w:rsidR="002E02CD" w:rsidRPr="00D47D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42773"/>
    <w:multiLevelType w:val="hybridMultilevel"/>
    <w:tmpl w:val="285215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779E2"/>
    <w:multiLevelType w:val="hybridMultilevel"/>
    <w:tmpl w:val="B784D1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787815"/>
    <w:multiLevelType w:val="hybridMultilevel"/>
    <w:tmpl w:val="8F9CCC0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3C36371"/>
    <w:multiLevelType w:val="hybridMultilevel"/>
    <w:tmpl w:val="8CF633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7983456">
    <w:abstractNumId w:val="2"/>
  </w:num>
  <w:num w:numId="2" w16cid:durableId="530068211">
    <w:abstractNumId w:val="3"/>
  </w:num>
  <w:num w:numId="3" w16cid:durableId="1929339262">
    <w:abstractNumId w:val="1"/>
  </w:num>
  <w:num w:numId="4" w16cid:durableId="1212706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DF5"/>
    <w:rsid w:val="000C6AC9"/>
    <w:rsid w:val="001C1EFC"/>
    <w:rsid w:val="00254FA4"/>
    <w:rsid w:val="00262DD0"/>
    <w:rsid w:val="002D05F2"/>
    <w:rsid w:val="002E02CD"/>
    <w:rsid w:val="00326648"/>
    <w:rsid w:val="0042500F"/>
    <w:rsid w:val="004348C8"/>
    <w:rsid w:val="00661A6C"/>
    <w:rsid w:val="00664D9F"/>
    <w:rsid w:val="006E142B"/>
    <w:rsid w:val="008258B0"/>
    <w:rsid w:val="008E2A30"/>
    <w:rsid w:val="009149E7"/>
    <w:rsid w:val="009A7C92"/>
    <w:rsid w:val="009F2B15"/>
    <w:rsid w:val="00AD0593"/>
    <w:rsid w:val="00AE0A2C"/>
    <w:rsid w:val="00B1195F"/>
    <w:rsid w:val="00D47698"/>
    <w:rsid w:val="00D47DF5"/>
    <w:rsid w:val="00DB37DC"/>
    <w:rsid w:val="00F14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F66DB"/>
  <w15:chartTrackingRefBased/>
  <w15:docId w15:val="{7C3161FC-7009-4F5B-90F7-3A3537D54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47D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47D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47D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47D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47D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47D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47D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47D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47D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47D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47D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47D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47DF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47DF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47DF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47DF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47DF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47DF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47D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47D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47D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47D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47D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47DF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47DF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47DF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47D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47DF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47DF5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E02CD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E02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uk/guidance/mot-inspection-manual-for-private-passenger-and-light-commercial-vehicles/4-lamps-reflectors-and-electrical-equipmen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2.png@01DC1831.579551E0" TargetMode="External"/><Relationship Id="rId5" Type="http://schemas.openxmlformats.org/officeDocument/2006/relationships/styles" Target="styles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173682337B1C44AFF169B14264B100" ma:contentTypeVersion="16" ma:contentTypeDescription="Create a new document." ma:contentTypeScope="" ma:versionID="68c3f47ceae7988e607ba8df8ddd792c">
  <xsd:schema xmlns:xsd="http://www.w3.org/2001/XMLSchema" xmlns:xs="http://www.w3.org/2001/XMLSchema" xmlns:p="http://schemas.microsoft.com/office/2006/metadata/properties" xmlns:ns2="55fe7849-b6e8-481a-8633-ce2d604738e4" xmlns:ns3="bdfc80f8-a1ce-4be7-b449-f0c9969cc63a" targetNamespace="http://schemas.microsoft.com/office/2006/metadata/properties" ma:root="true" ma:fieldsID="8433342ec890eb0ffab37299f2a6e0ca" ns2:_="" ns3:_="">
    <xsd:import namespace="55fe7849-b6e8-481a-8633-ce2d604738e4"/>
    <xsd:import namespace="bdfc80f8-a1ce-4be7-b449-f0c9969cc6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2:MediaServiceBillingMetadata" minOccurs="0"/>
                <xsd:element ref="ns2:lcf76f155ced4ddcb4097134ff3c332f" minOccurs="0"/>
                <xsd:element ref="ns3:TaxCatchAll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fe7849-b6e8-481a-8633-ce2d604738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36c5493f-5547-47cb-89d6-009cd59f94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fc80f8-a1ce-4be7-b449-f0c9969cc63a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372bcaf9-3f78-4b10-a9ae-8ca1ea272b00}" ma:internalName="TaxCatchAll" ma:showField="CatchAllData" ma:web="bdfc80f8-a1ce-4be7-b449-f0c9969cc6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dfc80f8-a1ce-4be7-b449-f0c9969cc63a" xsi:nil="true"/>
    <lcf76f155ced4ddcb4097134ff3c332f xmlns="55fe7849-b6e8-481a-8633-ce2d604738e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5F5BF43-10F5-4DF2-9744-9CB88BD66A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EA827B-FC40-4422-8861-CEC739C47E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fe7849-b6e8-481a-8633-ce2d604738e4"/>
    <ds:schemaRef ds:uri="bdfc80f8-a1ce-4be7-b449-f0c9969cc6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CAD777-9AE0-444C-BC42-833BE169B1E8}">
  <ds:schemaRefs>
    <ds:schemaRef ds:uri="http://schemas.microsoft.com/office/2006/metadata/properties"/>
    <ds:schemaRef ds:uri="http://schemas.microsoft.com/office/infopath/2007/PartnerControls"/>
    <ds:schemaRef ds:uri="bdfc80f8-a1ce-4be7-b449-f0c9969cc63a"/>
    <ds:schemaRef ds:uri="55fe7849-b6e8-481a-8633-ce2d604738e4"/>
  </ds:schemaRefs>
</ds:datastoreItem>
</file>

<file path=docMetadata/LabelInfo.xml><?xml version="1.0" encoding="utf-8"?>
<clbl:labelList xmlns:clbl="http://schemas.microsoft.com/office/2020/mipLabelMetadata">
  <clbl:label id="{01539558-85db-458f-a2d1-52f077800fa4}" enabled="0" method="" siteId="{01539558-85db-458f-a2d1-52f077800f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Grainger</dc:creator>
  <cp:keywords/>
  <dc:description/>
  <cp:lastModifiedBy>Davide Puglisi</cp:lastModifiedBy>
  <cp:revision>4</cp:revision>
  <dcterms:created xsi:type="dcterms:W3CDTF">2025-09-03T08:16:00Z</dcterms:created>
  <dcterms:modified xsi:type="dcterms:W3CDTF">2025-09-05T16:08:00Z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0x0101004D173682337B1C44AFF169B14264B100</vt:lpwstr>
  </property>
  <property fmtid="{D5CDD505-2E9C-101B-9397-08002B2CF9AE}" pid="3" name="MediaServiceImageTags">
    <vt:lpwstr/>
  </property>
</Properties>
</file>