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4E2F77">
              <w:t>202</w:t>
            </w:r>
            <w:r w:rsidR="001940CA" w:rsidRPr="004E2F7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103A12">
        <w:rPr>
          <w:rFonts w:asciiTheme="majorBidi" w:hAnsiTheme="majorBidi" w:cstheme="majorBidi"/>
        </w:rPr>
        <w:t xml:space="preserve">Geneva, </w:t>
      </w:r>
      <w:r w:rsidR="008D24BC" w:rsidRPr="00103A12">
        <w:rPr>
          <w:rFonts w:asciiTheme="majorBidi" w:hAnsiTheme="majorBidi" w:cstheme="majorBidi"/>
        </w:rPr>
        <w:t>1</w:t>
      </w:r>
      <w:r w:rsidRPr="00103A12">
        <w:rPr>
          <w:rFonts w:asciiTheme="majorBidi" w:hAnsiTheme="majorBidi" w:cstheme="majorBidi"/>
        </w:rPr>
        <w:t>–</w:t>
      </w:r>
      <w:r w:rsidR="008D24BC" w:rsidRPr="00103A12">
        <w:rPr>
          <w:rFonts w:asciiTheme="majorBidi" w:hAnsiTheme="majorBidi" w:cstheme="majorBidi"/>
        </w:rPr>
        <w:t>4</w:t>
      </w:r>
      <w:r w:rsidRPr="00103A12">
        <w:rPr>
          <w:rFonts w:asciiTheme="majorBidi" w:hAnsiTheme="majorBidi" w:cstheme="majorBidi"/>
        </w:rPr>
        <w:t xml:space="preserve"> </w:t>
      </w:r>
      <w:r w:rsidR="00463D81" w:rsidRPr="00103A12">
        <w:rPr>
          <w:rFonts w:asciiTheme="majorBidi" w:hAnsiTheme="majorBidi" w:cstheme="majorBidi"/>
        </w:rPr>
        <w:t>December</w:t>
      </w:r>
      <w:r w:rsidRPr="00103A12">
        <w:rPr>
          <w:rFonts w:asciiTheme="majorBidi" w:hAnsiTheme="majorBidi" w:cstheme="majorBidi"/>
        </w:rPr>
        <w:t xml:space="preserve"> 202</w:t>
      </w:r>
      <w:r w:rsidR="004A41CE" w:rsidRPr="00103A12">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2A333702" w:rsidR="004A41CE" w:rsidRPr="00912205" w:rsidRDefault="00103A12" w:rsidP="004A41CE">
      <w:pPr>
        <w:rPr>
          <w:bCs/>
        </w:rPr>
      </w:pPr>
      <w:r w:rsidRPr="00103A12">
        <w:rPr>
          <w:b/>
        </w:rPr>
        <w:t>UN Regulation No. 17 (Strength of seats, their anchorages and head restraints</w:t>
      </w:r>
      <w:r w:rsidR="00BE4395" w:rsidRPr="00752061">
        <w:rPr>
          <w:b/>
        </w:rPr>
        <w:t>)</w:t>
      </w:r>
    </w:p>
    <w:p w14:paraId="01958BDD" w14:textId="4D2C67BB" w:rsidR="00A17DEE" w:rsidRPr="0079666C" w:rsidRDefault="00E34913" w:rsidP="00A17DEE">
      <w:pPr>
        <w:pStyle w:val="HChG"/>
        <w:jc w:val="both"/>
      </w:pPr>
      <w:r w:rsidRPr="00764116">
        <w:tab/>
      </w:r>
      <w:r w:rsidRPr="00764116">
        <w:tab/>
      </w:r>
      <w:bookmarkStart w:id="0" w:name="_Hlk206434188"/>
      <w:r w:rsidR="00103A12" w:rsidRPr="009246C2">
        <w:t xml:space="preserve">Proposal for </w:t>
      </w:r>
      <w:r w:rsidR="00103A12" w:rsidRPr="00287BDD">
        <w:t xml:space="preserve">supplement 1 to the 10 </w:t>
      </w:r>
      <w:r w:rsidR="00103A12">
        <w:t>s</w:t>
      </w:r>
      <w:r w:rsidR="00103A12" w:rsidRPr="00287BDD">
        <w:t xml:space="preserve">eries of </w:t>
      </w:r>
      <w:r w:rsidR="00103A12">
        <w:t>a</w:t>
      </w:r>
      <w:r w:rsidR="00103A12" w:rsidRPr="00287BDD">
        <w:t xml:space="preserve">mendments, for supplement 2 to the 11 series and for supplement 1 to the 12 series of amendments to </w:t>
      </w:r>
      <w:bookmarkStart w:id="1" w:name="_Hlk207285447"/>
      <w:r w:rsidR="00103A12" w:rsidRPr="00287BDD">
        <w:t>UN Regulation No. 17</w:t>
      </w:r>
      <w:r w:rsidR="00103A12" w:rsidRPr="0079666C">
        <w:t xml:space="preserve"> </w:t>
      </w:r>
      <w:r w:rsidR="00103A12" w:rsidRPr="006344F3">
        <w:t>(Strength of seats, their anchorages and head restraints</w:t>
      </w:r>
      <w:bookmarkEnd w:id="1"/>
      <w:r w:rsidR="00BE4395" w:rsidRPr="009246C2">
        <w:t>)</w:t>
      </w:r>
      <w:bookmarkEnd w:id="0"/>
      <w:r w:rsidR="00A17DEE" w:rsidRPr="0079666C">
        <w:footnoteReference w:customMarkFollows="1" w:id="2"/>
        <w:t>*</w:t>
      </w:r>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103A12">
        <w:t>Germany</w:t>
      </w:r>
      <w:r w:rsidR="008A4DC3" w:rsidRPr="00103A12">
        <w:t xml:space="preserve"> on behalf of</w:t>
      </w:r>
      <w:r w:rsidR="00BD1759" w:rsidRPr="00103A12">
        <w:t xml:space="preserve"> the</w:t>
      </w:r>
      <w:r w:rsidR="00BD1759" w:rsidRPr="00BD1759">
        <w:t xml:space="preserve"> GRSP Task Force AVRS (Automated Vehicle Regulation Screening)</w:t>
      </w:r>
    </w:p>
    <w:p w14:paraId="23093893" w14:textId="26EEF44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r w:rsidRPr="004D6B96">
        <w:rPr>
          <w:bCs/>
          <w:sz w:val="20"/>
        </w:rPr>
        <w:t>bold</w:t>
      </w:r>
      <w:r w:rsidRPr="00143CF1">
        <w:rPr>
          <w:b w:val="0"/>
          <w:sz w:val="20"/>
        </w:rPr>
        <w:t>“</w:t>
      </w:r>
      <w:r>
        <w:rPr>
          <w:b w:val="0"/>
          <w:sz w:val="20"/>
        </w:rPr>
        <w:t xml:space="preserve"> </w:t>
      </w:r>
      <w:r w:rsidRPr="00143CF1">
        <w:rPr>
          <w:b w:val="0"/>
          <w:sz w:val="20"/>
        </w:rPr>
        <w:t>for new or strikethrough for deleted characters</w:t>
      </w:r>
      <w:r w:rsidRPr="00103A12">
        <w:rPr>
          <w:b w:val="0"/>
          <w:sz w:val="20"/>
        </w:rPr>
        <w:t xml:space="preserve">. </w:t>
      </w:r>
      <w:r w:rsidR="00AD499D" w:rsidRPr="00103A12">
        <w:rPr>
          <w:b w:val="0"/>
          <w:sz w:val="20"/>
        </w:rPr>
        <w:t>T</w:t>
      </w:r>
      <w:r w:rsidR="000502EA" w:rsidRPr="00103A12">
        <w:rPr>
          <w:b w:val="0"/>
          <w:sz w:val="20"/>
        </w:rPr>
        <w:t>h</w:t>
      </w:r>
      <w:r w:rsidR="00565771" w:rsidRPr="00103A12">
        <w:rPr>
          <w:b w:val="0"/>
          <w:sz w:val="20"/>
        </w:rPr>
        <w:t>is</w:t>
      </w:r>
      <w:r w:rsidR="000502EA" w:rsidRPr="00103A12">
        <w:rPr>
          <w:b w:val="0"/>
          <w:sz w:val="20"/>
        </w:rPr>
        <w:t xml:space="preserve"> document </w:t>
      </w:r>
      <w:r w:rsidR="00221BBD" w:rsidRPr="00103A12">
        <w:rPr>
          <w:b w:val="0"/>
          <w:sz w:val="20"/>
        </w:rPr>
        <w:t xml:space="preserve">is </w:t>
      </w:r>
      <w:r w:rsidR="000502EA" w:rsidRPr="00103A12">
        <w:rPr>
          <w:b w:val="0"/>
          <w:sz w:val="20"/>
        </w:rPr>
        <w:t>superseding Informal Document GRSP-77-</w:t>
      </w:r>
      <w:r w:rsidR="00103A12" w:rsidRPr="00103A12">
        <w:rPr>
          <w:b w:val="0"/>
          <w:sz w:val="20"/>
        </w:rPr>
        <w:t>61</w:t>
      </w:r>
      <w:r w:rsidR="00CD1F38" w:rsidRPr="00103A12">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F9E46E4" w14:textId="4A911598" w:rsidR="00A56081" w:rsidRPr="007455C2" w:rsidRDefault="00565771" w:rsidP="00A56081">
      <w:pPr>
        <w:pStyle w:val="SingleTxtG"/>
        <w:keepNext/>
        <w:tabs>
          <w:tab w:val="clear" w:pos="1701"/>
          <w:tab w:val="clear" w:pos="2268"/>
          <w:tab w:val="clear" w:pos="2835"/>
        </w:tabs>
        <w:rPr>
          <w:i/>
          <w:iCs/>
        </w:rPr>
      </w:pPr>
      <w:r>
        <w:rPr>
          <w:lang w:eastAsia="en-IE"/>
        </w:rPr>
        <w:t>x</w:t>
      </w:r>
      <w:r w:rsidR="00A56081" w:rsidRPr="00A56081">
        <w:rPr>
          <w:i/>
          <w:iCs/>
        </w:rPr>
        <w:t xml:space="preserve"> </w:t>
      </w:r>
      <w:r w:rsidR="00A56081">
        <w:rPr>
          <w:i/>
          <w:iCs/>
        </w:rPr>
        <w:t>Insert</w:t>
      </w:r>
      <w:r w:rsidR="00A56081" w:rsidRPr="007455C2">
        <w:rPr>
          <w:i/>
          <w:iCs/>
        </w:rPr>
        <w:t xml:space="preserve"> a new paragraph 0</w:t>
      </w:r>
      <w:r w:rsidR="00A56081">
        <w:rPr>
          <w:i/>
          <w:iCs/>
        </w:rPr>
        <w:t xml:space="preserve">., </w:t>
      </w:r>
      <w:r w:rsidR="00A56081" w:rsidRPr="00686EBC">
        <w:t>to read:</w:t>
      </w:r>
    </w:p>
    <w:p w14:paraId="16126D46" w14:textId="77777777" w:rsidR="00A56081" w:rsidRPr="00C22E17" w:rsidRDefault="00A56081" w:rsidP="00A56081">
      <w:pPr>
        <w:pStyle w:val="SingleTxtG"/>
        <w:tabs>
          <w:tab w:val="clear" w:pos="1701"/>
          <w:tab w:val="clear" w:pos="2268"/>
          <w:tab w:val="clear" w:pos="2835"/>
        </w:tabs>
        <w:ind w:left="2268" w:hanging="1134"/>
        <w:rPr>
          <w:rFonts w:eastAsiaTheme="minorEastAsia"/>
          <w:b/>
          <w:bCs/>
        </w:rPr>
      </w:pPr>
      <w:bookmarkStart w:id="2" w:name="_Hlk182312371"/>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5BF6E51A" w14:textId="408374AB" w:rsidR="00A56081" w:rsidRPr="00D2617F" w:rsidRDefault="00A56081" w:rsidP="00A56081">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287BDD">
        <w:rPr>
          <w:b/>
          <w:bCs/>
        </w:rPr>
        <w:t xml:space="preserve">supplement 1 to the 10 </w:t>
      </w:r>
      <w:r>
        <w:rPr>
          <w:b/>
          <w:bCs/>
        </w:rPr>
        <w:t>s</w:t>
      </w:r>
      <w:r w:rsidRPr="00287BDD">
        <w:rPr>
          <w:b/>
          <w:bCs/>
        </w:rPr>
        <w:t>eries</w:t>
      </w:r>
      <w:r w:rsidRPr="00D2617F">
        <w:rPr>
          <w:b/>
          <w:bCs/>
        </w:rPr>
        <w:t>, s</w:t>
      </w:r>
      <w:r>
        <w:rPr>
          <w:b/>
          <w:bCs/>
        </w:rPr>
        <w:t xml:space="preserve">upplement 2 of the </w:t>
      </w:r>
      <w:r w:rsidRPr="00D2617F">
        <w:rPr>
          <w:b/>
          <w:bCs/>
        </w:rPr>
        <w:t>11 series and supplement 1 to the 12 series</w:t>
      </w:r>
      <w:r w:rsidRPr="00D2617F">
        <w:t xml:space="preserve"> </w:t>
      </w:r>
      <w:r w:rsidRPr="00D2617F">
        <w:rPr>
          <w:b/>
          <w:bCs/>
        </w:rPr>
        <w:t>of amendments:</w:t>
      </w:r>
      <w:r w:rsidRPr="00D2617F">
        <w:rPr>
          <w:rFonts w:eastAsiaTheme="minorEastAsia"/>
          <w:b/>
          <w:bCs/>
        </w:rPr>
        <w:t xml:space="preserve"> </w:t>
      </w:r>
    </w:p>
    <w:p w14:paraId="280CE379" w14:textId="083187BC" w:rsidR="00A56081" w:rsidRDefault="00A56081" w:rsidP="00F07483">
      <w:pPr>
        <w:spacing w:line="240" w:lineRule="auto"/>
        <w:ind w:left="2268" w:right="992" w:hanging="1134"/>
        <w:jc w:val="both"/>
        <w:rPr>
          <w:rFonts w:eastAsiaTheme="minorEastAsia"/>
          <w:b/>
          <w:bCs/>
        </w:rPr>
      </w:pPr>
      <w:r w:rsidRPr="00D2617F">
        <w:rPr>
          <w:rFonts w:eastAsiaTheme="minorEastAsia"/>
          <w:b/>
          <w:bCs/>
        </w:rPr>
        <w:t>0.1.1.</w:t>
      </w:r>
      <w:r w:rsidRPr="00D2617F">
        <w:rPr>
          <w:rFonts w:eastAsiaTheme="minorEastAsia"/>
          <w:b/>
          <w:bCs/>
        </w:rPr>
        <w:tab/>
      </w:r>
      <w:bookmarkStart w:id="3" w:name="_Hlk188257662"/>
      <w:r w:rsidRPr="00D2617F">
        <w:rPr>
          <w:b/>
          <w:bCs/>
          <w:lang w:val="en-US"/>
        </w:rPr>
        <w:t xml:space="preserve">The Regulation is amended to account for vehicles of category </w:t>
      </w:r>
      <w:bookmarkEnd w:id="3"/>
      <w:r w:rsidRPr="00D2617F">
        <w:rPr>
          <w:rFonts w:eastAsiaTheme="minorEastAsia"/>
          <w:b/>
          <w:bCs/>
        </w:rPr>
        <w:t>X</w:t>
      </w:r>
      <w:r w:rsidRPr="00D2617F">
        <w:rPr>
          <w:rFonts w:eastAsiaTheme="minorEastAsia"/>
          <w:b/>
          <w:bCs/>
          <w:vertAlign w:val="superscript"/>
        </w:rPr>
        <w:t>1</w:t>
      </w:r>
      <w:r w:rsidRPr="00D2617F">
        <w:rPr>
          <w:rFonts w:eastAsiaTheme="minorEastAsia"/>
          <w:b/>
          <w:bCs/>
        </w:rPr>
        <w:t>. Vehicles of category Y</w:t>
      </w:r>
      <w:r w:rsidRPr="00D2617F">
        <w:rPr>
          <w:rFonts w:eastAsiaTheme="minorEastAsia"/>
          <w:b/>
          <w:bCs/>
          <w:vertAlign w:val="superscript"/>
        </w:rPr>
        <w:t>1</w:t>
      </w:r>
      <w:r w:rsidRPr="00D2617F">
        <w:rPr>
          <w:rFonts w:eastAsiaTheme="minorEastAsia"/>
          <w:b/>
          <w:bCs/>
        </w:rPr>
        <w:t xml:space="preserve"> are not in the scope of this Regulation.</w:t>
      </w:r>
    </w:p>
    <w:p w14:paraId="429480A3" w14:textId="77777777" w:rsidR="00F07483" w:rsidRDefault="00F07483" w:rsidP="00F07483">
      <w:pPr>
        <w:spacing w:line="240" w:lineRule="auto"/>
        <w:ind w:left="2268" w:right="992" w:hanging="1134"/>
        <w:jc w:val="both"/>
        <w:rPr>
          <w:b/>
          <w:bCs/>
        </w:rPr>
      </w:pPr>
    </w:p>
    <w:p w14:paraId="47998257" w14:textId="6A71BA81" w:rsidR="00A56081" w:rsidRPr="004D7E74" w:rsidRDefault="00A56081" w:rsidP="00A56081">
      <w:pPr>
        <w:pStyle w:val="SingleTxtG"/>
        <w:tabs>
          <w:tab w:val="clear" w:pos="1701"/>
          <w:tab w:val="clear" w:pos="2268"/>
          <w:tab w:val="clear" w:pos="2835"/>
        </w:tabs>
        <w:ind w:left="2268" w:hanging="1134"/>
        <w:rPr>
          <w:b/>
          <w:bCs/>
        </w:rPr>
      </w:pPr>
      <w:r w:rsidRPr="004D7E74">
        <w:rPr>
          <w:b/>
          <w:bCs/>
        </w:rPr>
        <w:t>0.1.2.</w:t>
      </w:r>
      <w:r w:rsidRPr="004D7E74">
        <w:rPr>
          <w:b/>
          <w:bCs/>
        </w:rPr>
        <w:tab/>
        <w:t>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taken into account if not already covered by this amendment.</w:t>
      </w:r>
    </w:p>
    <w:p w14:paraId="484C68DD" w14:textId="77777777" w:rsidR="00A56081" w:rsidRPr="00D2617F" w:rsidRDefault="00A56081" w:rsidP="00A56081">
      <w:pPr>
        <w:pStyle w:val="SingleTxtG"/>
        <w:tabs>
          <w:tab w:val="clear" w:pos="1701"/>
          <w:tab w:val="clear" w:pos="2268"/>
          <w:tab w:val="clear" w:pos="2835"/>
        </w:tabs>
        <w:ind w:left="2268" w:hanging="1134"/>
        <w:rPr>
          <w:rFonts w:eastAsiaTheme="minorEastAsia"/>
          <w:b/>
          <w:bCs/>
        </w:rPr>
      </w:pPr>
      <w:r w:rsidRPr="00D2617F">
        <w:rPr>
          <w:rFonts w:eastAsiaTheme="minorEastAsia"/>
          <w:b/>
          <w:bCs/>
        </w:rPr>
        <w:t xml:space="preserve">0.1.3. </w:t>
      </w:r>
      <w:r w:rsidRPr="00D2617F">
        <w:rPr>
          <w:rFonts w:eastAsiaTheme="minorEastAsia"/>
          <w:b/>
          <w:bCs/>
        </w:rPr>
        <w:tab/>
        <w:t>In case of vehicles equipped with an Automated Driving System (ADS)</w:t>
      </w:r>
      <w:r w:rsidRPr="00D2617F">
        <w:rPr>
          <w:rFonts w:eastAsiaTheme="minorEastAsia"/>
          <w:b/>
          <w:bCs/>
          <w:vertAlign w:val="superscript"/>
        </w:rPr>
        <w:t>1</w:t>
      </w:r>
      <w:r w:rsidRPr="00D2617F">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53A6FD33" w14:textId="77777777" w:rsidR="00A56081" w:rsidRPr="00A56081" w:rsidRDefault="00A56081" w:rsidP="00A56081">
      <w:pPr>
        <w:pStyle w:val="SingleTxtG"/>
        <w:tabs>
          <w:tab w:val="clear" w:pos="1701"/>
          <w:tab w:val="clear" w:pos="2268"/>
          <w:tab w:val="clear" w:pos="2835"/>
        </w:tabs>
        <w:ind w:left="2268" w:hanging="1134"/>
        <w:rPr>
          <w:b/>
          <w:bCs/>
          <w:strike/>
          <w:color w:val="FF0000"/>
        </w:rPr>
      </w:pPr>
    </w:p>
    <w:p w14:paraId="571CE00C" w14:textId="77777777" w:rsidR="00A56081" w:rsidRDefault="00A56081" w:rsidP="00A56081">
      <w:pPr>
        <w:pStyle w:val="SingleTxtG"/>
        <w:keepNext/>
        <w:tabs>
          <w:tab w:val="clear" w:pos="1701"/>
          <w:tab w:val="clear" w:pos="2268"/>
          <w:tab w:val="clear" w:pos="2835"/>
        </w:tabs>
      </w:pPr>
      <w:r w:rsidRPr="00F252A8">
        <w:rPr>
          <w:i/>
        </w:rPr>
        <w:t>Paragraph</w:t>
      </w:r>
      <w:r>
        <w:rPr>
          <w:i/>
        </w:rPr>
        <w:t xml:space="preserve"> 1.</w:t>
      </w:r>
      <w:r w:rsidRPr="00F252A8">
        <w:rPr>
          <w:i/>
          <w:iCs/>
        </w:rPr>
        <w:t>,</w:t>
      </w:r>
      <w:r>
        <w:rPr>
          <w:i/>
          <w:iCs/>
        </w:rPr>
        <w:t xml:space="preserve"> </w:t>
      </w:r>
      <w:r w:rsidRPr="009345C7">
        <w:t>amend to read:</w:t>
      </w:r>
    </w:p>
    <w:p w14:paraId="09CC1FD4" w14:textId="77777777" w:rsidR="00A56081" w:rsidRPr="0089281E" w:rsidRDefault="00A56081" w:rsidP="00A56081">
      <w:pPr>
        <w:pStyle w:val="SingleTxtG"/>
        <w:tabs>
          <w:tab w:val="clear" w:pos="1701"/>
          <w:tab w:val="clear" w:pos="2268"/>
          <w:tab w:val="clear" w:pos="2835"/>
        </w:tabs>
        <w:ind w:left="2268" w:hanging="1134"/>
        <w:rPr>
          <w:b/>
          <w:bCs/>
        </w:rPr>
      </w:pPr>
      <w:r>
        <w:t>“</w:t>
      </w:r>
      <w:r w:rsidRPr="00287BDD">
        <w:t>1.</w:t>
      </w:r>
      <w:r w:rsidRPr="00287BDD">
        <w:tab/>
      </w:r>
      <w:r w:rsidRPr="00287BDD">
        <w:tab/>
        <w:t>Scope</w:t>
      </w:r>
    </w:p>
    <w:p w14:paraId="76EDB7F7" w14:textId="77777777" w:rsidR="00A56081" w:rsidRPr="003D4461" w:rsidRDefault="00A56081" w:rsidP="00A56081">
      <w:pPr>
        <w:pStyle w:val="SingleTxtG"/>
        <w:tabs>
          <w:tab w:val="clear" w:pos="1701"/>
          <w:tab w:val="clear" w:pos="2268"/>
          <w:tab w:val="clear" w:pos="2835"/>
        </w:tabs>
        <w:ind w:left="2268" w:hanging="1134"/>
      </w:pPr>
      <w:r>
        <w:tab/>
      </w:r>
      <w:r w:rsidRPr="003D4461">
        <w:t>This Regulation applies to:</w:t>
      </w:r>
    </w:p>
    <w:p w14:paraId="18B78887" w14:textId="77777777" w:rsidR="00A56081" w:rsidRPr="003D4461" w:rsidRDefault="00A56081" w:rsidP="00A56081">
      <w:pPr>
        <w:pStyle w:val="SingleTxtG"/>
        <w:tabs>
          <w:tab w:val="clear" w:pos="1701"/>
          <w:tab w:val="clear" w:pos="2268"/>
          <w:tab w:val="clear" w:pos="2835"/>
        </w:tabs>
        <w:ind w:left="2835" w:hanging="567"/>
      </w:pPr>
      <w:r w:rsidRPr="003D4461">
        <w:t>(a)</w:t>
      </w:r>
      <w:r w:rsidRPr="003D4461">
        <w:tab/>
        <w:t>Vehicles of categories M</w:t>
      </w:r>
      <w:r w:rsidRPr="00D61F18">
        <w:rPr>
          <w:vertAlign w:val="subscript"/>
        </w:rPr>
        <w:t>1</w:t>
      </w:r>
      <w:r w:rsidRPr="00AA79FB">
        <w:rPr>
          <w:szCs w:val="18"/>
          <w:vertAlign w:val="superscript"/>
        </w:rPr>
        <w:t>1</w:t>
      </w:r>
      <w:r w:rsidRPr="003D4461">
        <w:t xml:space="preserve"> and N</w:t>
      </w:r>
      <w:r w:rsidRPr="00AD41A5">
        <w:rPr>
          <w:vertAlign w:val="subscript"/>
        </w:rPr>
        <w:footnoteReference w:id="3"/>
      </w:r>
      <w:r w:rsidRPr="00CA1C9B">
        <w:rPr>
          <w:vertAlign w:val="superscript"/>
        </w:rPr>
        <w:t xml:space="preserve"> </w:t>
      </w:r>
      <w:r w:rsidRPr="003D4461">
        <w:t xml:space="preserve"> with regard to the strength of seats and their anchorages and with regard to their head restraints;</w:t>
      </w:r>
    </w:p>
    <w:p w14:paraId="53FD5804" w14:textId="77777777" w:rsidR="00A56081" w:rsidRPr="003D4461" w:rsidRDefault="00A56081" w:rsidP="00A56081">
      <w:pPr>
        <w:pStyle w:val="SingleTxtG"/>
        <w:tabs>
          <w:tab w:val="clear" w:pos="1701"/>
          <w:tab w:val="clear" w:pos="2268"/>
          <w:tab w:val="clear" w:pos="2835"/>
        </w:tabs>
        <w:ind w:left="2835" w:hanging="567"/>
      </w:pPr>
      <w:r w:rsidRPr="003D4461">
        <w:t>(b)</w:t>
      </w:r>
      <w:r w:rsidRPr="003D4461">
        <w:tab/>
        <w:t>Vehicles of categories M</w:t>
      </w:r>
      <w:r w:rsidRPr="00D61F18">
        <w:rPr>
          <w:vertAlign w:val="subscript"/>
        </w:rPr>
        <w:t>2</w:t>
      </w:r>
      <w:r w:rsidRPr="003D4461">
        <w:t xml:space="preserve"> and M</w:t>
      </w:r>
      <w:r w:rsidRPr="00D61F18">
        <w:rPr>
          <w:vertAlign w:val="subscript"/>
        </w:rPr>
        <w:t>3</w:t>
      </w:r>
      <w:r w:rsidRPr="003D4461">
        <w:t xml:space="preserve"> with regard to seats not covered by Regulation No. 80, in respect of the strength of seats and their anchorages, and in respect of their head restraints;</w:t>
      </w:r>
    </w:p>
    <w:p w14:paraId="39267B67" w14:textId="77777777" w:rsidR="00A56081" w:rsidRPr="003D4461" w:rsidRDefault="00A56081" w:rsidP="00A56081">
      <w:pPr>
        <w:pStyle w:val="SingleTxtG"/>
        <w:tabs>
          <w:tab w:val="clear" w:pos="1701"/>
          <w:tab w:val="clear" w:pos="2268"/>
          <w:tab w:val="clear" w:pos="2835"/>
        </w:tabs>
        <w:ind w:left="2835" w:hanging="567"/>
      </w:pPr>
      <w:r w:rsidRPr="003D4461">
        <w:t>(c)</w:t>
      </w:r>
      <w:r w:rsidRPr="003D4461">
        <w:tab/>
        <w:t>Vehicles of category M</w:t>
      </w:r>
      <w:r w:rsidRPr="00AF10B0">
        <w:rPr>
          <w:vertAlign w:val="subscript"/>
        </w:rPr>
        <w:t>1</w:t>
      </w:r>
      <w:r w:rsidRPr="003D4461">
        <w:t xml:space="preserve"> with regard to the design of the rear parts of seat backs and the design of devices intended to protect the occupants from the danger resulting from the displacement of luggage in a frontal impact.</w:t>
      </w:r>
    </w:p>
    <w:p w14:paraId="1458F21E" w14:textId="77777777" w:rsidR="00A56081" w:rsidRDefault="00A56081" w:rsidP="00A56081">
      <w:pPr>
        <w:pStyle w:val="SingleTxtG"/>
        <w:tabs>
          <w:tab w:val="clear" w:pos="1701"/>
          <w:tab w:val="clear" w:pos="2268"/>
          <w:tab w:val="clear" w:pos="2835"/>
        </w:tabs>
        <w:ind w:left="2268" w:hanging="1134"/>
      </w:pPr>
      <w:r w:rsidRPr="003D4461">
        <w:tab/>
        <w:t>It does not apply to vehicles with regard to side-facing or rearward-facing seats, or to any head restraint fitted to these seats, with the exception vehicles of category M</w:t>
      </w:r>
      <w:r w:rsidRPr="00AF10B0">
        <w:rPr>
          <w:vertAlign w:val="subscript"/>
        </w:rPr>
        <w:t>2</w:t>
      </w:r>
      <w:r w:rsidRPr="003D4461">
        <w:t xml:space="preserve"> and M</w:t>
      </w:r>
      <w:r w:rsidRPr="00AF10B0">
        <w:rPr>
          <w:vertAlign w:val="subscript"/>
        </w:rPr>
        <w:t>3</w:t>
      </w:r>
      <w:r w:rsidRPr="003D4461">
        <w:t xml:space="preserve"> of classes A and I, subject to the provisions of paragraph 5.1.1.</w:t>
      </w:r>
    </w:p>
    <w:p w14:paraId="334D1841" w14:textId="77777777" w:rsidR="00A56081" w:rsidRPr="00885D82" w:rsidRDefault="00A56081" w:rsidP="00A56081">
      <w:pPr>
        <w:pStyle w:val="SingleTxtG"/>
        <w:tabs>
          <w:tab w:val="clear" w:pos="1701"/>
          <w:tab w:val="clear" w:pos="2268"/>
          <w:tab w:val="clear" w:pos="2835"/>
        </w:tabs>
        <w:ind w:left="2268" w:hanging="1134"/>
      </w:pPr>
      <w:r>
        <w:tab/>
      </w:r>
      <w:r w:rsidRPr="0089281E">
        <w:t>Vehicles of other categories may also be approved under this Regulation, in respect of the strength of seats and their anchorages, and in respect of their head restraints.</w:t>
      </w:r>
    </w:p>
    <w:bookmarkEnd w:id="2"/>
    <w:p w14:paraId="2FA847A9" w14:textId="77777777" w:rsidR="00A56081" w:rsidRDefault="00A56081" w:rsidP="00A56081">
      <w:pPr>
        <w:pStyle w:val="SingleTxtG"/>
        <w:tabs>
          <w:tab w:val="clear" w:pos="1701"/>
          <w:tab w:val="clear" w:pos="2268"/>
          <w:tab w:val="clear" w:pos="2835"/>
        </w:tabs>
        <w:ind w:left="2268" w:hanging="1134"/>
        <w:rPr>
          <w:b/>
          <w:bCs/>
        </w:rPr>
      </w:pPr>
      <w:r>
        <w:rPr>
          <w:b/>
          <w:bCs/>
        </w:rPr>
        <w:tab/>
        <w:t xml:space="preserve">This Regulation does not </w:t>
      </w:r>
      <w:r w:rsidRPr="009C5F83">
        <w:rPr>
          <w:b/>
          <w:bCs/>
        </w:rPr>
        <w:t>apply to vehicles of category Y</w:t>
      </w:r>
      <w:r>
        <w:rPr>
          <w:b/>
          <w:bCs/>
        </w:rPr>
        <w:t>.”</w:t>
      </w:r>
    </w:p>
    <w:p w14:paraId="722D553B" w14:textId="77777777" w:rsidR="00FD302D" w:rsidRDefault="00FD302D" w:rsidP="00A56081">
      <w:pPr>
        <w:pStyle w:val="SingleTxtG"/>
        <w:keepNext/>
        <w:tabs>
          <w:tab w:val="clear" w:pos="1701"/>
          <w:tab w:val="clear" w:pos="2268"/>
          <w:tab w:val="clear" w:pos="2835"/>
        </w:tabs>
        <w:rPr>
          <w:rFonts w:eastAsia="DengXian"/>
          <w:i/>
          <w:lang w:eastAsia="zh-CN"/>
        </w:rPr>
      </w:pPr>
    </w:p>
    <w:p w14:paraId="65D1F443" w14:textId="5BAC0AF6" w:rsidR="00A56081" w:rsidRDefault="00A56081" w:rsidP="00A56081">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193AA5">
        <w:t>amend</w:t>
      </w:r>
      <w:r w:rsidRPr="00310475">
        <w:rPr>
          <w:rFonts w:eastAsia="DengXian"/>
          <w:iCs/>
          <w:lang w:eastAsia="zh-CN"/>
        </w:rPr>
        <w:t xml:space="preserve"> to read:</w:t>
      </w:r>
    </w:p>
    <w:p w14:paraId="42948E53" w14:textId="77777777" w:rsidR="00A56081" w:rsidRPr="00414B22" w:rsidRDefault="00A56081" w:rsidP="00A56081">
      <w:pPr>
        <w:pStyle w:val="SingleTxtG"/>
        <w:tabs>
          <w:tab w:val="clear" w:pos="1701"/>
          <w:tab w:val="clear" w:pos="2268"/>
          <w:tab w:val="clear" w:pos="2835"/>
        </w:tabs>
        <w:ind w:left="2268" w:hanging="1134"/>
        <w:rPr>
          <w:iCs/>
          <w:color w:val="0000FF"/>
          <w:szCs w:val="18"/>
        </w:rPr>
      </w:pPr>
      <w:r w:rsidRPr="00C0664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193AA5">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3942CC5C" w14:textId="77777777" w:rsidR="00FD302D" w:rsidRDefault="00FD302D" w:rsidP="00A56081">
      <w:pPr>
        <w:pStyle w:val="SingleTxtG"/>
        <w:keepNext/>
        <w:tabs>
          <w:tab w:val="clear" w:pos="1701"/>
          <w:tab w:val="clear" w:pos="2268"/>
          <w:tab w:val="clear" w:pos="2835"/>
        </w:tabs>
        <w:rPr>
          <w:i/>
          <w:iCs/>
        </w:rPr>
      </w:pPr>
    </w:p>
    <w:p w14:paraId="5824D3C7" w14:textId="502BBEC8" w:rsidR="00A56081" w:rsidRDefault="00A56081" w:rsidP="00A56081">
      <w:pPr>
        <w:pStyle w:val="SingleTxtG"/>
        <w:keepNext/>
        <w:tabs>
          <w:tab w:val="clear" w:pos="1701"/>
          <w:tab w:val="clear" w:pos="2268"/>
          <w:tab w:val="clear" w:pos="2835"/>
        </w:tabs>
        <w:rPr>
          <w:i/>
          <w:iCs/>
        </w:rPr>
      </w:pPr>
      <w:r>
        <w:rPr>
          <w:i/>
          <w:iCs/>
        </w:rPr>
        <w:t xml:space="preserve">Annex 14, </w:t>
      </w:r>
      <w:r w:rsidRPr="00CC48B3">
        <w:rPr>
          <w:i/>
          <w:iCs/>
        </w:rPr>
        <w:t>paragraph</w:t>
      </w:r>
      <w:r>
        <w:rPr>
          <w:i/>
          <w:iCs/>
        </w:rPr>
        <w:t xml:space="preserve"> </w:t>
      </w:r>
      <w:r w:rsidRPr="00CA1AD8">
        <w:rPr>
          <w:i/>
          <w:iCs/>
        </w:rPr>
        <w:t>3.1.7.8.</w:t>
      </w:r>
      <w:r>
        <w:rPr>
          <w:i/>
          <w:iCs/>
        </w:rPr>
        <w:t xml:space="preserve">, </w:t>
      </w:r>
      <w:r w:rsidRPr="00193AA5">
        <w:t>amend</w:t>
      </w:r>
      <w:r w:rsidRPr="00C35EFB">
        <w:rPr>
          <w:iCs/>
        </w:rPr>
        <w:t xml:space="preserve"> to read:</w:t>
      </w:r>
    </w:p>
    <w:p w14:paraId="17DD5A07" w14:textId="77777777" w:rsidR="00A56081" w:rsidRPr="00CA1AD8" w:rsidRDefault="00A56081" w:rsidP="00A56081">
      <w:pPr>
        <w:pStyle w:val="SingleTxtG"/>
        <w:tabs>
          <w:tab w:val="clear" w:pos="1701"/>
          <w:tab w:val="clear" w:pos="2268"/>
          <w:tab w:val="clear" w:pos="2835"/>
        </w:tabs>
        <w:ind w:left="2268" w:hanging="1134"/>
        <w:rPr>
          <w:lang w:val="en-IE"/>
        </w:rPr>
      </w:pPr>
      <w:r>
        <w:t>“</w:t>
      </w:r>
      <w:r w:rsidRPr="00CA1AD8">
        <w:t>3.1.7.8.</w:t>
      </w:r>
      <w:r>
        <w:tab/>
      </w:r>
      <w:r w:rsidRPr="00CA1AD8">
        <w:t xml:space="preserve">The upper legs of the </w:t>
      </w:r>
      <w:r w:rsidRPr="00CA1AD8">
        <w:rPr>
          <w:b/>
          <w:bCs/>
          <w:strike/>
        </w:rPr>
        <w:t>driver</w:t>
      </w:r>
      <w:r w:rsidRPr="00CA1AD8">
        <w:t xml:space="preserve"> dummy shall rest against the seat cushion to the extent permitted by placement of the feet. Adjust the spacing of the legs so that the centreline of the knees and ankles is 200 mm (±10mm) apart and ensure that the knees are level.</w:t>
      </w:r>
      <w:r>
        <w:t>”</w:t>
      </w:r>
    </w:p>
    <w:p w14:paraId="5E58494D" w14:textId="77777777" w:rsidR="00FD302D" w:rsidRDefault="00FD302D" w:rsidP="00A56081">
      <w:pPr>
        <w:pStyle w:val="SingleTxtG"/>
        <w:keepNext/>
        <w:tabs>
          <w:tab w:val="clear" w:pos="1701"/>
          <w:tab w:val="clear" w:pos="2268"/>
          <w:tab w:val="clear" w:pos="2835"/>
        </w:tabs>
        <w:rPr>
          <w:i/>
          <w:iCs/>
        </w:rPr>
      </w:pPr>
    </w:p>
    <w:p w14:paraId="21D38521" w14:textId="52A6A6C2" w:rsidR="00A56081" w:rsidRPr="00193AA5" w:rsidRDefault="00A56081" w:rsidP="00A56081">
      <w:pPr>
        <w:pStyle w:val="SingleTxtG"/>
        <w:keepNext/>
        <w:tabs>
          <w:tab w:val="clear" w:pos="1701"/>
          <w:tab w:val="clear" w:pos="2268"/>
          <w:tab w:val="clear" w:pos="2835"/>
        </w:tabs>
      </w:pPr>
      <w:r>
        <w:rPr>
          <w:i/>
          <w:iCs/>
        </w:rPr>
        <w:t>Annex 15,</w:t>
      </w:r>
      <w:r w:rsidRPr="00CC48B3">
        <w:rPr>
          <w:i/>
          <w:iCs/>
        </w:rPr>
        <w:t xml:space="preserve"> paragraph</w:t>
      </w:r>
      <w:r>
        <w:rPr>
          <w:i/>
          <w:iCs/>
        </w:rPr>
        <w:t xml:space="preserve"> 1</w:t>
      </w:r>
      <w:r w:rsidRPr="00CA1AD8">
        <w:rPr>
          <w:i/>
          <w:iCs/>
        </w:rPr>
        <w:t>.</w:t>
      </w:r>
      <w:r>
        <w:rPr>
          <w:i/>
          <w:iCs/>
        </w:rPr>
        <w:t>,</w:t>
      </w:r>
      <w:r w:rsidRPr="00193AA5">
        <w:t xml:space="preserve"> amend to read:</w:t>
      </w:r>
    </w:p>
    <w:p w14:paraId="4AA6FA83" w14:textId="77777777" w:rsidR="00A56081" w:rsidRPr="006344F3" w:rsidRDefault="00A56081" w:rsidP="00A56081">
      <w:pPr>
        <w:pStyle w:val="SingleTxtG"/>
        <w:tabs>
          <w:tab w:val="clear" w:pos="1701"/>
          <w:tab w:val="clear" w:pos="2268"/>
          <w:tab w:val="clear" w:pos="2835"/>
        </w:tabs>
        <w:ind w:left="2268" w:hanging="1134"/>
      </w:pPr>
      <w:r>
        <w:t>“1.</w:t>
      </w:r>
      <w:r>
        <w:tab/>
      </w:r>
      <w:r w:rsidRPr="006344F3">
        <w:t>Purpose</w:t>
      </w:r>
    </w:p>
    <w:p w14:paraId="02E53DEC" w14:textId="77777777" w:rsidR="00A56081" w:rsidRPr="006344F3" w:rsidRDefault="00A56081" w:rsidP="00A56081">
      <w:pPr>
        <w:pStyle w:val="SingleTxtG"/>
        <w:tabs>
          <w:tab w:val="clear" w:pos="1701"/>
          <w:tab w:val="clear" w:pos="2268"/>
          <w:tab w:val="clear" w:pos="2835"/>
        </w:tabs>
        <w:ind w:left="2268" w:hanging="1134"/>
      </w:pPr>
      <w:r>
        <w:tab/>
      </w:r>
      <w:r>
        <w:tab/>
      </w:r>
      <w:r w:rsidRPr="006344F3">
        <w:t xml:space="preserve">Procedures for folding or retracting head restraints in all designated seating positions equipped with head restraints, except </w:t>
      </w:r>
      <w:r w:rsidRPr="00411099">
        <w:rPr>
          <w:strike/>
        </w:rPr>
        <w:t>the</w:t>
      </w:r>
      <w:r w:rsidRPr="006344F3">
        <w:t xml:space="preserve"> </w:t>
      </w:r>
      <w:r w:rsidRPr="00411099">
        <w:rPr>
          <w:b/>
          <w:bCs/>
        </w:rPr>
        <w:t>a</w:t>
      </w:r>
      <w:r w:rsidRPr="006344F3">
        <w:t xml:space="preserve"> driver’s designated seating position.</w:t>
      </w:r>
      <w:r>
        <w:t>”</w:t>
      </w: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r w:rsidRPr="00093B7B">
        <w:rPr>
          <w:snapToGrid w:val="0"/>
          <w:lang w:val="en-US" w:eastAsia="ja-JP"/>
        </w:rPr>
        <w:tab/>
      </w:r>
      <w:r w:rsidRPr="00093B7B">
        <w:rPr>
          <w:snapToGrid w:val="0"/>
          <w:lang w:val="en-US" w:eastAsia="ja-JP"/>
        </w:rPr>
        <w:tab/>
      </w:r>
      <w:r w:rsidRPr="00434258">
        <w:rPr>
          <w:lang w:val="de-DE"/>
        </w:rPr>
        <w:t>Justification</w:t>
      </w:r>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See paragrap</w:t>
      </w:r>
      <w:r w:rsidRPr="00FD302D">
        <w:rPr>
          <w:lang w:val="de-DE"/>
        </w:rPr>
        <w:t>h 0</w:t>
      </w:r>
      <w:r w:rsidR="005873C3" w:rsidRPr="00FD302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9A350B" w14:textId="77777777" w:rsidR="002E3DAD" w:rsidRDefault="002E3DAD"/>
  </w:endnote>
  <w:endnote w:type="continuationSeparator" w:id="0">
    <w:p w14:paraId="7AD5B405" w14:textId="77777777" w:rsidR="002E3DAD" w:rsidRDefault="002E3DAD"/>
  </w:endnote>
  <w:endnote w:type="continuationNotice" w:id="1">
    <w:p w14:paraId="7E6B57DA" w14:textId="77777777" w:rsidR="002E3DAD" w:rsidRDefault="002E3D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FC0CAF" w14:textId="77777777" w:rsidR="002E3DAD" w:rsidRPr="000B175B" w:rsidRDefault="002E3DAD" w:rsidP="000B175B">
      <w:pPr>
        <w:tabs>
          <w:tab w:val="right" w:pos="2155"/>
        </w:tabs>
        <w:spacing w:after="80"/>
        <w:ind w:left="680"/>
        <w:rPr>
          <w:u w:val="single"/>
        </w:rPr>
      </w:pPr>
      <w:r>
        <w:rPr>
          <w:u w:val="single"/>
        </w:rPr>
        <w:tab/>
      </w:r>
    </w:p>
  </w:footnote>
  <w:footnote w:type="continuationSeparator" w:id="0">
    <w:p w14:paraId="64E4E70C" w14:textId="77777777" w:rsidR="002E3DAD" w:rsidRPr="00FC68B7" w:rsidRDefault="002E3DAD" w:rsidP="00FC68B7">
      <w:pPr>
        <w:tabs>
          <w:tab w:val="left" w:pos="2155"/>
        </w:tabs>
        <w:spacing w:after="80"/>
        <w:ind w:left="680"/>
        <w:rPr>
          <w:u w:val="single"/>
        </w:rPr>
      </w:pPr>
      <w:r>
        <w:rPr>
          <w:u w:val="single"/>
        </w:rPr>
        <w:tab/>
      </w:r>
    </w:p>
  </w:footnote>
  <w:footnote w:type="continuationNotice" w:id="1">
    <w:p w14:paraId="305F88E0" w14:textId="77777777" w:rsidR="002E3DAD" w:rsidRDefault="002E3DAD"/>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262AEEE1" w14:textId="1C601CEC" w:rsidR="00A56081" w:rsidRPr="008C3E86" w:rsidRDefault="00A56081" w:rsidP="00A56081">
      <w:pPr>
        <w:pStyle w:val="FootnoteText"/>
        <w:widowControl w:val="0"/>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3A12"/>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3F66"/>
    <w:rsid w:val="002D5FFE"/>
    <w:rsid w:val="002D6E53"/>
    <w:rsid w:val="002E17F9"/>
    <w:rsid w:val="002E3DAD"/>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2EF3"/>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2F77"/>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852"/>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2061"/>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56081"/>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064E"/>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2644C"/>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617F"/>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07483"/>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302D"/>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3</Pages>
  <Words>622</Words>
  <Characters>3552</Characters>
  <Application>Microsoft Office Word</Application>
  <DocSecurity>4</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2025-09-04T16:35:00Z</dcterms:created>
  <dcterms:modified xsi:type="dcterms:W3CDTF">2025-09-04T16:35:00Z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