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457CA9">
              <w:t>202</w:t>
            </w:r>
            <w:r w:rsidR="001940CA" w:rsidRPr="00457CA9">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457CA9">
        <w:rPr>
          <w:rFonts w:asciiTheme="majorBidi" w:hAnsiTheme="majorBidi" w:cstheme="majorBidi"/>
        </w:rPr>
        <w:t xml:space="preserve">Geneva, </w:t>
      </w:r>
      <w:r w:rsidR="008D24BC" w:rsidRPr="00457CA9">
        <w:rPr>
          <w:rFonts w:asciiTheme="majorBidi" w:hAnsiTheme="majorBidi" w:cstheme="majorBidi"/>
        </w:rPr>
        <w:t>1</w:t>
      </w:r>
      <w:r w:rsidRPr="00457CA9">
        <w:rPr>
          <w:rFonts w:asciiTheme="majorBidi" w:hAnsiTheme="majorBidi" w:cstheme="majorBidi"/>
        </w:rPr>
        <w:t>–</w:t>
      </w:r>
      <w:r w:rsidR="008D24BC" w:rsidRPr="00457CA9">
        <w:rPr>
          <w:rFonts w:asciiTheme="majorBidi" w:hAnsiTheme="majorBidi" w:cstheme="majorBidi"/>
        </w:rPr>
        <w:t>4</w:t>
      </w:r>
      <w:r w:rsidRPr="00457CA9">
        <w:rPr>
          <w:rFonts w:asciiTheme="majorBidi" w:hAnsiTheme="majorBidi" w:cstheme="majorBidi"/>
        </w:rPr>
        <w:t xml:space="preserve"> </w:t>
      </w:r>
      <w:r w:rsidR="00463D81" w:rsidRPr="00457CA9">
        <w:rPr>
          <w:rFonts w:asciiTheme="majorBidi" w:hAnsiTheme="majorBidi" w:cstheme="majorBidi"/>
        </w:rPr>
        <w:t>December</w:t>
      </w:r>
      <w:r w:rsidRPr="00457CA9">
        <w:rPr>
          <w:rFonts w:asciiTheme="majorBidi" w:hAnsiTheme="majorBidi" w:cstheme="majorBidi"/>
        </w:rPr>
        <w:t xml:space="preserve"> 202</w:t>
      </w:r>
      <w:r w:rsidR="004A41CE" w:rsidRPr="00457CA9">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46F88D76" w:rsidR="004A41CE" w:rsidRPr="00912205" w:rsidRDefault="00457CA9" w:rsidP="004A41CE">
      <w:pPr>
        <w:rPr>
          <w:bCs/>
        </w:rPr>
      </w:pPr>
      <w:r w:rsidRPr="00457CA9">
        <w:rPr>
          <w:b/>
        </w:rPr>
        <w:t>UN Regulation No. 153 (Fuel system integrity and electric power train safety at rear-end collision)</w:t>
      </w:r>
    </w:p>
    <w:p w14:paraId="01958BDD" w14:textId="6AC5DEF1" w:rsidR="00A17DEE" w:rsidRPr="0079666C" w:rsidRDefault="00E34913" w:rsidP="00A17DEE">
      <w:pPr>
        <w:pStyle w:val="HChG"/>
        <w:jc w:val="both"/>
      </w:pPr>
      <w:r w:rsidRPr="00764116">
        <w:tab/>
      </w:r>
      <w:r w:rsidRPr="00764116">
        <w:tab/>
      </w:r>
      <w:bookmarkStart w:id="0" w:name="_Hlk206434188"/>
      <w:r w:rsidR="00457CA9" w:rsidRPr="00457CA9">
        <w:t xml:space="preserve">Proposal for supplement 1 to the 01 series of amendments to </w:t>
      </w:r>
      <w:bookmarkStart w:id="1" w:name="_Hlk207983124"/>
      <w:r w:rsidR="00457CA9" w:rsidRPr="00457CA9">
        <w:t xml:space="preserve">UN Regulation No. 153 (Fuel system integrity and electric power train safety at rear-end </w:t>
      </w:r>
      <w:proofErr w:type="gramStart"/>
      <w:r w:rsidR="00457CA9" w:rsidRPr="00457CA9">
        <w:t>collision</w:t>
      </w:r>
      <w:r w:rsidR="00BE4395" w:rsidRPr="009246C2">
        <w:t>)</w:t>
      </w:r>
      <w:bookmarkEnd w:id="0"/>
      <w:bookmarkEnd w:id="1"/>
      <w:r w:rsidR="00A17DEE" w:rsidRPr="0079666C">
        <w:footnoteReference w:customMarkFollows="1" w:id="2"/>
        <w:t>*</w:t>
      </w:r>
      <w:proofErr w:type="gramEnd"/>
    </w:p>
    <w:p w14:paraId="612351E2" w14:textId="3EB0B6F9" w:rsidR="00A17DEE" w:rsidRPr="00457CA9" w:rsidRDefault="00A17DEE" w:rsidP="00A17DEE">
      <w:pPr>
        <w:pStyle w:val="H1G"/>
      </w:pPr>
      <w:r w:rsidRPr="0079666C">
        <w:tab/>
      </w:r>
      <w:r w:rsidRPr="0079666C">
        <w:tab/>
      </w:r>
      <w:r w:rsidR="00BD1759" w:rsidRPr="00457CA9">
        <w:t>Submitted by</w:t>
      </w:r>
      <w:r w:rsidR="0065450C" w:rsidRPr="00457CA9">
        <w:t xml:space="preserve"> Germany</w:t>
      </w:r>
      <w:r w:rsidR="008A4DC3" w:rsidRPr="00457CA9">
        <w:t xml:space="preserve"> on behalf of</w:t>
      </w:r>
      <w:r w:rsidR="00BD1759" w:rsidRPr="00457CA9">
        <w:t xml:space="preserve"> the GRSP Task Force AVRS (Automated Vehicle Regulation Screening)</w:t>
      </w:r>
    </w:p>
    <w:p w14:paraId="23093893" w14:textId="20906723" w:rsidR="00A17DEE" w:rsidRPr="00143CF1" w:rsidRDefault="00A17DEE" w:rsidP="00A17DEE">
      <w:pPr>
        <w:pStyle w:val="HChG"/>
        <w:rPr>
          <w:b w:val="0"/>
          <w:sz w:val="20"/>
        </w:rPr>
      </w:pPr>
      <w:r w:rsidRPr="00457CA9">
        <w:rPr>
          <w:b w:val="0"/>
          <w:sz w:val="20"/>
        </w:rPr>
        <w:tab/>
      </w:r>
      <w:r w:rsidRPr="00457CA9">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457CA9">
        <w:rPr>
          <w:bCs/>
          <w:sz w:val="20"/>
        </w:rPr>
        <w:t>bold</w:t>
      </w:r>
      <w:r w:rsidRPr="00457CA9">
        <w:rPr>
          <w:b w:val="0"/>
          <w:sz w:val="20"/>
        </w:rPr>
        <w:t>“ for</w:t>
      </w:r>
      <w:proofErr w:type="gramEnd"/>
      <w:r w:rsidRPr="00457CA9">
        <w:rPr>
          <w:b w:val="0"/>
          <w:sz w:val="20"/>
        </w:rPr>
        <w:t xml:space="preserve"> new or strikethrough for deleted characters. </w:t>
      </w:r>
      <w:r w:rsidR="00AD499D" w:rsidRPr="00457CA9">
        <w:rPr>
          <w:b w:val="0"/>
          <w:sz w:val="20"/>
        </w:rPr>
        <w:t>T</w:t>
      </w:r>
      <w:r w:rsidR="000502EA" w:rsidRPr="00457CA9">
        <w:rPr>
          <w:b w:val="0"/>
          <w:sz w:val="20"/>
        </w:rPr>
        <w:t>h</w:t>
      </w:r>
      <w:r w:rsidR="00565771" w:rsidRPr="00457CA9">
        <w:rPr>
          <w:b w:val="0"/>
          <w:sz w:val="20"/>
        </w:rPr>
        <w:t>is</w:t>
      </w:r>
      <w:r w:rsidR="000502EA" w:rsidRPr="00457CA9">
        <w:rPr>
          <w:b w:val="0"/>
          <w:sz w:val="20"/>
        </w:rPr>
        <w:t xml:space="preserve"> document </w:t>
      </w:r>
      <w:r w:rsidR="00221BBD" w:rsidRPr="00457CA9">
        <w:rPr>
          <w:b w:val="0"/>
          <w:sz w:val="20"/>
        </w:rPr>
        <w:t xml:space="preserve">is </w:t>
      </w:r>
      <w:r w:rsidR="000502EA" w:rsidRPr="00457CA9">
        <w:rPr>
          <w:b w:val="0"/>
          <w:sz w:val="20"/>
        </w:rPr>
        <w:t>superseding Informal Document GRSP-77-</w:t>
      </w:r>
      <w:r w:rsidR="00457CA9" w:rsidRPr="00457CA9">
        <w:rPr>
          <w:b w:val="0"/>
          <w:sz w:val="20"/>
        </w:rPr>
        <w:t>71</w:t>
      </w:r>
      <w:r w:rsidR="00CD1F38" w:rsidRPr="00457CA9">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1EDB2CA2" w14:textId="77777777" w:rsidR="00457CA9" w:rsidRPr="005B1A3D" w:rsidRDefault="00457CA9" w:rsidP="00457CA9">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r>
        <w:rPr>
          <w:rFonts w:eastAsiaTheme="minorEastAsia"/>
          <w:b/>
          <w:bCs/>
        </w:rPr>
        <w:tab/>
      </w:r>
    </w:p>
    <w:p w14:paraId="594BFA4C" w14:textId="77777777" w:rsidR="00457CA9" w:rsidRPr="00457CA9" w:rsidRDefault="00457CA9" w:rsidP="00AA696A">
      <w:pPr>
        <w:pStyle w:val="SingleTxtG"/>
        <w:tabs>
          <w:tab w:val="clear" w:pos="1701"/>
          <w:tab w:val="clear" w:pos="2268"/>
          <w:tab w:val="clear" w:pos="2835"/>
        </w:tabs>
        <w:ind w:left="2268" w:hanging="1134"/>
        <w:rPr>
          <w:rFonts w:eastAsiaTheme="minorEastAsia"/>
        </w:rPr>
      </w:pPr>
      <w:r w:rsidRPr="00457CA9">
        <w:rPr>
          <w:rFonts w:eastAsiaTheme="minorEastAsia"/>
        </w:rPr>
        <w:t>“0.</w:t>
      </w:r>
      <w:r w:rsidRPr="00457CA9">
        <w:rPr>
          <w:rFonts w:eastAsiaTheme="minorEastAsia"/>
        </w:rPr>
        <w:tab/>
        <w:t xml:space="preserve">Introduction </w:t>
      </w:r>
    </w:p>
    <w:p w14:paraId="52CE1F55" w14:textId="77777777" w:rsidR="00457CA9" w:rsidRPr="00457CA9" w:rsidRDefault="00457CA9" w:rsidP="00AA696A">
      <w:pPr>
        <w:pStyle w:val="SingleTxtG"/>
        <w:tabs>
          <w:tab w:val="clear" w:pos="1701"/>
          <w:tab w:val="clear" w:pos="2268"/>
          <w:tab w:val="clear" w:pos="2835"/>
        </w:tabs>
        <w:ind w:left="2268" w:hanging="1134"/>
        <w:rPr>
          <w:rFonts w:eastAsiaTheme="minorEastAsia"/>
        </w:rPr>
      </w:pPr>
      <w:r w:rsidRPr="00457CA9">
        <w:rPr>
          <w:rFonts w:eastAsiaTheme="minorEastAsia"/>
        </w:rPr>
        <w:t>0.1.</w:t>
      </w:r>
      <w:r w:rsidRPr="00457CA9">
        <w:rPr>
          <w:rFonts w:eastAsiaTheme="minorEastAsia"/>
        </w:rPr>
        <w:tab/>
        <w:t xml:space="preserve">For </w:t>
      </w:r>
      <w:r w:rsidRPr="00457CA9">
        <w:t>supplement 1 to the 01 series of amendments:</w:t>
      </w:r>
      <w:r w:rsidRPr="00457CA9">
        <w:rPr>
          <w:rFonts w:eastAsiaTheme="minorEastAsia"/>
        </w:rPr>
        <w:t xml:space="preserve"> </w:t>
      </w:r>
    </w:p>
    <w:p w14:paraId="4894E508" w14:textId="455749FF" w:rsidR="00457CA9" w:rsidRDefault="00457CA9" w:rsidP="00AA696A">
      <w:pPr>
        <w:pStyle w:val="SingleTxtG"/>
        <w:tabs>
          <w:tab w:val="clear" w:pos="1701"/>
          <w:tab w:val="clear" w:pos="2268"/>
          <w:tab w:val="clear" w:pos="2835"/>
        </w:tabs>
        <w:ind w:left="2268" w:hanging="1134"/>
        <w:rPr>
          <w:lang w:val="en-US"/>
        </w:rPr>
      </w:pPr>
      <w:r w:rsidRPr="00457CA9">
        <w:rPr>
          <w:rFonts w:eastAsiaTheme="minorEastAsia"/>
        </w:rPr>
        <w:t>0.1.1.</w:t>
      </w:r>
      <w:r w:rsidRPr="00457CA9">
        <w:rPr>
          <w:rFonts w:eastAsiaTheme="minorEastAsia"/>
        </w:rPr>
        <w:tab/>
      </w:r>
      <w:r w:rsidRPr="00457CA9">
        <w:rPr>
          <w:lang w:val="en-US"/>
        </w:rPr>
        <w:t>The Regulation is amended to account for vehicles of category X</w:t>
      </w:r>
      <w:r w:rsidR="004E1B0C" w:rsidRPr="004E1B0C">
        <w:rPr>
          <w:vertAlign w:val="superscript"/>
          <w:lang w:val="en-US"/>
        </w:rPr>
        <w:t>1</w:t>
      </w:r>
      <w:r w:rsidRPr="00457CA9">
        <w:rPr>
          <w:lang w:val="en-US"/>
        </w:rPr>
        <w:t xml:space="preserve"> and Y</w:t>
      </w:r>
      <w:r w:rsidR="004E1B0C" w:rsidRPr="004E1B0C">
        <w:rPr>
          <w:vertAlign w:val="superscript"/>
          <w:lang w:val="en-US"/>
        </w:rPr>
        <w:t>1</w:t>
      </w:r>
      <w:r w:rsidRPr="00457CA9">
        <w:rPr>
          <w:lang w:val="en-US"/>
        </w:rPr>
        <w:t>.</w:t>
      </w:r>
    </w:p>
    <w:p w14:paraId="2B1C83E3" w14:textId="5F2706A8" w:rsidR="00AA696A" w:rsidRDefault="00AA696A" w:rsidP="00AA696A">
      <w:pPr>
        <w:spacing w:line="240" w:lineRule="auto"/>
        <w:ind w:left="2268" w:right="992" w:hanging="1134"/>
        <w:contextualSpacing/>
        <w:jc w:val="both"/>
        <w:rPr>
          <w:rFonts w:eastAsiaTheme="minorEastAsia"/>
          <w:color w:val="000000" w:themeColor="text1"/>
        </w:rPr>
      </w:pPr>
      <w:r w:rsidRPr="00E5405C">
        <w:rPr>
          <w:rFonts w:eastAsiaTheme="minorEastAsia"/>
          <w:color w:val="000000" w:themeColor="text1"/>
        </w:rPr>
        <w:t xml:space="preserve">0.1.2. </w:t>
      </w:r>
      <w:r w:rsidRPr="00E5405C">
        <w:rPr>
          <w:rFonts w:eastAsiaTheme="minorEastAsia"/>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E5405C">
        <w:rPr>
          <w:rFonts w:eastAsiaTheme="minorEastAsia"/>
          <w:color w:val="000000" w:themeColor="text1"/>
        </w:rPr>
        <w:t>taken into account</w:t>
      </w:r>
      <w:proofErr w:type="gramEnd"/>
      <w:r w:rsidRPr="00E5405C">
        <w:rPr>
          <w:rFonts w:eastAsiaTheme="minorEastAsia"/>
          <w:color w:val="000000" w:themeColor="text1"/>
        </w:rPr>
        <w:t xml:space="preserve"> if not already covered by this amendment.</w:t>
      </w:r>
    </w:p>
    <w:p w14:paraId="2004B1DF" w14:textId="77777777" w:rsidR="00AA696A" w:rsidRPr="00E5405C" w:rsidRDefault="00AA696A" w:rsidP="00AA696A">
      <w:pPr>
        <w:spacing w:line="240" w:lineRule="auto"/>
        <w:ind w:left="2268" w:right="992" w:hanging="1134"/>
        <w:contextualSpacing/>
        <w:jc w:val="both"/>
        <w:rPr>
          <w:rFonts w:eastAsiaTheme="minorEastAsia"/>
          <w:color w:val="000000" w:themeColor="text1"/>
        </w:rPr>
      </w:pPr>
    </w:p>
    <w:p w14:paraId="7FFC6C4F" w14:textId="77777777" w:rsidR="00AA696A" w:rsidRPr="00E5405C" w:rsidRDefault="00AA696A" w:rsidP="00AA696A">
      <w:pPr>
        <w:spacing w:line="240" w:lineRule="auto"/>
        <w:ind w:left="2268" w:right="992" w:hanging="1134"/>
        <w:contextualSpacing/>
        <w:jc w:val="both"/>
        <w:rPr>
          <w:rFonts w:eastAsiaTheme="minorEastAsia"/>
        </w:rPr>
      </w:pPr>
      <w:r w:rsidRPr="00E5405C">
        <w:rPr>
          <w:rFonts w:eastAsiaTheme="minorEastAsia"/>
        </w:rPr>
        <w:t>0.1.3.</w:t>
      </w:r>
      <w:r w:rsidRPr="00E5405C">
        <w:rPr>
          <w:rFonts w:eastAsiaTheme="minorEastAsia"/>
        </w:rPr>
        <w:tab/>
        <w:t>In case of vehicles equipped with an Automated Driving System (ADS)</w:t>
      </w:r>
      <w:r w:rsidRPr="00E5405C">
        <w:rPr>
          <w:vertAlign w:val="superscript"/>
          <w:lang w:val="en-IE" w:eastAsia="en-IE"/>
        </w:rPr>
        <w:t xml:space="preserve"> 1</w:t>
      </w:r>
      <w:r w:rsidRPr="00E5405C">
        <w:rPr>
          <w:rFonts w:eastAsiaTheme="minorEastAsia"/>
        </w:rPr>
        <w:t xml:space="preserve"> other than vehicles of categories X and Y, in the manual driving mode no special provisions or exemptions apply. In a mode where an ADS feature is active the relevant ADS requirements apply."</w:t>
      </w:r>
    </w:p>
    <w:p w14:paraId="67A4DB95" w14:textId="77777777" w:rsidR="00AA696A" w:rsidRPr="00457CA9" w:rsidRDefault="00AA696A" w:rsidP="00457CA9">
      <w:pPr>
        <w:pStyle w:val="SingleTxtG"/>
        <w:tabs>
          <w:tab w:val="clear" w:pos="1701"/>
          <w:tab w:val="clear" w:pos="2268"/>
          <w:tab w:val="clear" w:pos="2835"/>
        </w:tabs>
        <w:ind w:left="2268" w:hanging="1134"/>
        <w:rPr>
          <w:rFonts w:eastAsiaTheme="minorEastAsia"/>
        </w:rPr>
      </w:pPr>
    </w:p>
    <w:p w14:paraId="2EF640ED" w14:textId="77777777" w:rsidR="00457CA9" w:rsidRDefault="00457CA9" w:rsidP="00457CA9">
      <w:pPr>
        <w:pStyle w:val="SingleTxtG"/>
        <w:keepNext/>
        <w:tabs>
          <w:tab w:val="clear" w:pos="1701"/>
          <w:tab w:val="clear" w:pos="2268"/>
          <w:tab w:val="clear" w:pos="2835"/>
        </w:tabs>
        <w:rPr>
          <w:rFonts w:eastAsia="DengXian"/>
          <w:i/>
          <w:lang w:eastAsia="zh-CN"/>
        </w:rPr>
      </w:pPr>
    </w:p>
    <w:p w14:paraId="132345FE" w14:textId="0C3A2DA8" w:rsidR="00457CA9" w:rsidRDefault="00457CA9" w:rsidP="00457CA9">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074E46E6" w14:textId="14C2E725" w:rsidR="00E07A6A" w:rsidRDefault="00457CA9" w:rsidP="00457CA9">
      <w:pPr>
        <w:adjustRightInd w:val="0"/>
        <w:snapToGrid w:val="0"/>
        <w:spacing w:after="120" w:line="240" w:lineRule="auto"/>
        <w:ind w:left="1276" w:right="1134" w:hanging="142"/>
        <w:rPr>
          <w:lang w:val="en-US" w:eastAsia="en-IE"/>
        </w:rPr>
      </w:pPr>
      <w:r>
        <w:t>“</w:t>
      </w:r>
      <w:r w:rsidRPr="00AA79FB">
        <w:rPr>
          <w:szCs w:val="18"/>
          <w:vertAlign w:val="superscript"/>
        </w:rPr>
        <w:t>1</w:t>
      </w:r>
      <w:r w:rsidRPr="00AA79FB">
        <w:rPr>
          <w:szCs w:val="18"/>
        </w:rPr>
        <w:t xml:space="preserve">As defined in the </w:t>
      </w:r>
      <w:r w:rsidRPr="00950266">
        <w:t>Consolidated</w:t>
      </w:r>
      <w:r w:rsidRPr="00AA79FB">
        <w:rPr>
          <w:szCs w:val="18"/>
        </w:rPr>
        <w:t xml:space="preserve">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457CA9">
        <w:rPr>
          <w:lang w:val="de-DE"/>
        </w:rPr>
        <w:t xml:space="preserve">See </w:t>
      </w:r>
      <w:proofErr w:type="spellStart"/>
      <w:r w:rsidRPr="00457CA9">
        <w:rPr>
          <w:lang w:val="de-DE"/>
        </w:rPr>
        <w:t>paragraph</w:t>
      </w:r>
      <w:proofErr w:type="spellEnd"/>
      <w:r w:rsidRPr="00457CA9">
        <w:rPr>
          <w:lang w:val="de-DE"/>
        </w:rPr>
        <w:t xml:space="preserve"> 0</w:t>
      </w:r>
      <w:r w:rsidR="005873C3" w:rsidRPr="00457CA9">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57CA9"/>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B0C"/>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A696A"/>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2</Pages>
  <Words>327</Words>
  <Characters>2064</Characters>
  <Application>Microsoft Office Word</Application>
  <DocSecurity>0</DocSecurity>
  <Lines>17</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2025-09-05T15:10:00Z</dcterms:created>
  <dcterms:modified xsi:type="dcterms:W3CDTF">2025-09-05T15:10:00Z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