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3F5AB32B" w:rsidR="00101C00" w:rsidRPr="009641B8" w:rsidRDefault="00AE31A0" w:rsidP="00101C00">
      <w:pPr>
        <w:pStyle w:val="HChG"/>
        <w:rPr>
          <w:szCs w:val="28"/>
        </w:rPr>
      </w:pPr>
      <w:r w:rsidRPr="009641B8">
        <w:tab/>
      </w:r>
      <w:r w:rsidRPr="009641B8">
        <w:tab/>
      </w:r>
      <w:r w:rsidR="0010419F" w:rsidRPr="000846F8">
        <w:rPr>
          <w:szCs w:val="28"/>
        </w:rPr>
        <w:t xml:space="preserve">Proposal for </w:t>
      </w:r>
      <w:r w:rsidR="0010419F">
        <w:rPr>
          <w:szCs w:val="28"/>
        </w:rPr>
        <w:t xml:space="preserve">supplement 1 to the </w:t>
      </w:r>
      <w:r w:rsidR="0010419F" w:rsidRPr="000846F8">
        <w:rPr>
          <w:szCs w:val="28"/>
        </w:rPr>
        <w:t>0</w:t>
      </w:r>
      <w:r w:rsidR="0010419F">
        <w:rPr>
          <w:szCs w:val="28"/>
        </w:rPr>
        <w:t>2</w:t>
      </w:r>
      <w:r w:rsidR="0010419F" w:rsidRPr="000846F8">
        <w:rPr>
          <w:szCs w:val="28"/>
        </w:rPr>
        <w:t xml:space="preserve"> Series of Amendments to </w:t>
      </w:r>
      <w:r w:rsidR="0010419F">
        <w:rPr>
          <w:szCs w:val="28"/>
        </w:rPr>
        <w:t xml:space="preserve">UN </w:t>
      </w:r>
      <w:r w:rsidR="0010419F" w:rsidRPr="000846F8">
        <w:rPr>
          <w:szCs w:val="28"/>
        </w:rPr>
        <w:t>Regulation No.</w:t>
      </w:r>
      <w:r w:rsidR="0010419F" w:rsidRPr="000846F8">
        <w:t> </w:t>
      </w:r>
      <w:r w:rsidR="0010419F">
        <w:rPr>
          <w:szCs w:val="28"/>
        </w:rPr>
        <w:t>66</w:t>
      </w:r>
      <w:r w:rsidR="0010419F" w:rsidRPr="000846F8">
        <w:rPr>
          <w:szCs w:val="28"/>
        </w:rPr>
        <w:t xml:space="preserve"> (</w:t>
      </w:r>
      <w:r w:rsidR="0010419F">
        <w:t>Strength of the Superstructure</w:t>
      </w:r>
      <w:r w:rsidR="0010419F"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2B04DDE4"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FC32A4">
        <w:rPr>
          <w:b w:val="0"/>
          <w:sz w:val="20"/>
        </w:rPr>
        <w:t>2</w:t>
      </w:r>
      <w:r w:rsidR="0012177C">
        <w:rPr>
          <w:b w:val="0"/>
          <w:sz w:val="20"/>
        </w:rPr>
        <w:t>4</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FC32A4">
        <w:rPr>
          <w:b w:val="0"/>
          <w:sz w:val="20"/>
        </w:rPr>
        <w:t>2</w:t>
      </w:r>
      <w:r w:rsidR="0012177C">
        <w:rPr>
          <w:b w:val="0"/>
          <w:sz w:val="20"/>
        </w:rPr>
        <w:t>4</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BAED9BF" w14:textId="77777777" w:rsidR="00907D69" w:rsidRPr="00953521" w:rsidRDefault="00907D69" w:rsidP="00907D69">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Insert new paragraphs 0. and 0.1. to 0.</w:t>
      </w:r>
      <w:r>
        <w:rPr>
          <w:rFonts w:eastAsia="DengXian"/>
          <w:i/>
          <w:lang w:eastAsia="zh-CN"/>
        </w:rPr>
        <w:t>1.2.</w:t>
      </w:r>
      <w:r w:rsidRPr="00953521">
        <w:rPr>
          <w:rFonts w:eastAsia="DengXian"/>
          <w:i/>
          <w:lang w:eastAsia="zh-CN"/>
        </w:rPr>
        <w:t>,</w:t>
      </w:r>
      <w:r w:rsidRPr="00953521">
        <w:rPr>
          <w:rFonts w:eastAsia="DengXian"/>
          <w:iCs/>
          <w:lang w:eastAsia="zh-CN"/>
        </w:rPr>
        <w:t xml:space="preserve"> to read:</w:t>
      </w:r>
    </w:p>
    <w:p w14:paraId="0DE45978" w14:textId="77777777" w:rsidR="00907D69" w:rsidRPr="00953521" w:rsidRDefault="00907D69" w:rsidP="00907D69">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0C490559" w14:textId="6F8409BB" w:rsidR="00907D69" w:rsidRPr="00124FAF" w:rsidRDefault="00907D69" w:rsidP="00907D69">
      <w:pPr>
        <w:pStyle w:val="SingleTxtG"/>
        <w:ind w:left="2268" w:hanging="1134"/>
      </w:pPr>
      <w:r w:rsidRPr="00124FAF">
        <w:t>0.1.</w:t>
      </w:r>
      <w:r w:rsidRPr="00124FAF">
        <w:tab/>
      </w:r>
      <w:r w:rsidRPr="00124FAF">
        <w:tab/>
        <w:t xml:space="preserve">Supplement 1 to the 02 series of amendments is introduced to take into account vehicles of </w:t>
      </w:r>
      <w:proofErr w:type="spellStart"/>
      <w:r w:rsidRPr="00124FAF">
        <w:t>categor</w:t>
      </w:r>
      <w:r w:rsidRPr="00124FAF">
        <w:rPr>
          <w:strike/>
          <w:color w:val="FF0000"/>
        </w:rPr>
        <w:t>ies</w:t>
      </w:r>
      <w:r w:rsidR="007405C5" w:rsidRPr="00124FAF">
        <w:rPr>
          <w:color w:val="FF0000"/>
        </w:rPr>
        <w:t>y</w:t>
      </w:r>
      <w:proofErr w:type="spellEnd"/>
      <w:r w:rsidRPr="00124FAF">
        <w:t xml:space="preserve"> X</w:t>
      </w:r>
      <w:r w:rsidR="007405C5" w:rsidRPr="00124FAF">
        <w:t xml:space="preserve"> </w:t>
      </w:r>
      <w:r w:rsidR="00F67A97" w:rsidRPr="00F67A97">
        <w:rPr>
          <w:color w:val="FF0000"/>
          <w:vertAlign w:val="superscript"/>
        </w:rPr>
        <w:t>1</w:t>
      </w:r>
      <w:r w:rsidR="007405C5" w:rsidRPr="00124FAF">
        <w:rPr>
          <w:strike/>
          <w:color w:val="FF0000"/>
        </w:rPr>
        <w:t>and Y</w:t>
      </w:r>
      <w:r w:rsidRPr="00124FAF">
        <w:t xml:space="preserve">, as well as conventional vehicles which are equipped with an Automated Driving System </w:t>
      </w:r>
      <w:r w:rsidRPr="00F67A97">
        <w:rPr>
          <w:strike/>
          <w:color w:val="FF0000"/>
        </w:rPr>
        <w:t>Feature of Type 2 (ADSF-2)</w:t>
      </w:r>
      <w:r w:rsidR="00F67A97">
        <w:t xml:space="preserve"> </w:t>
      </w:r>
      <w:r w:rsidR="00F67A97" w:rsidRPr="00F67A97">
        <w:rPr>
          <w:color w:val="FF0000"/>
        </w:rPr>
        <w:t xml:space="preserve">(ADS </w:t>
      </w:r>
      <w:r w:rsidR="00F67A97" w:rsidRPr="00F67A97">
        <w:rPr>
          <w:color w:val="FF0000"/>
          <w:vertAlign w:val="superscript"/>
        </w:rPr>
        <w:t>1</w:t>
      </w:r>
      <w:r w:rsidR="00F67A97" w:rsidRPr="00F67A97">
        <w:rPr>
          <w:color w:val="FF0000"/>
        </w:rPr>
        <w:t>)</w:t>
      </w:r>
      <w:r w:rsidRPr="00124FAF">
        <w:t>.</w:t>
      </w:r>
    </w:p>
    <w:p w14:paraId="685ED603" w14:textId="77777777" w:rsidR="00907D69" w:rsidRPr="00124FAF" w:rsidRDefault="00907D69" w:rsidP="00907D69">
      <w:pPr>
        <w:spacing w:line="240" w:lineRule="auto"/>
        <w:ind w:left="2268" w:right="992" w:hanging="1134"/>
        <w:contextualSpacing/>
        <w:jc w:val="both"/>
        <w:rPr>
          <w:rFonts w:eastAsiaTheme="minorEastAsia"/>
          <w:color w:val="000000" w:themeColor="text1"/>
        </w:rPr>
      </w:pPr>
      <w:r w:rsidRPr="00124FAF">
        <w:rPr>
          <w:rFonts w:eastAsiaTheme="minorEastAsia"/>
          <w:color w:val="000000" w:themeColor="text1"/>
        </w:rPr>
        <w:t xml:space="preserve">0.1.1. </w:t>
      </w:r>
      <w:r w:rsidRPr="00124FAF">
        <w:rPr>
          <w:rFonts w:eastAsiaTheme="minorEastAsia"/>
          <w:color w:val="000000" w:themeColor="text1"/>
        </w:rPr>
        <w:tab/>
      </w:r>
      <w:r w:rsidRPr="00124FAF">
        <w:rPr>
          <w:rFonts w:eastAsiaTheme="minorEastAsia"/>
        </w:rPr>
        <w:t xml:space="preserve">The Regulation was originally drafted for vehicles with driver’s compartment and manual driving controls. It is the intention of this new amendment to keep the spirit of the Regulation and to extend its application to vehicles without driver, driver’s compartment and without manual driving controls </w:t>
      </w:r>
      <w:r w:rsidRPr="00124FAF">
        <w:rPr>
          <w:rFonts w:eastAsiaTheme="minorEastAsia"/>
          <w:color w:val="000000" w:themeColor="text1"/>
        </w:rPr>
        <w:t>in the vehicle</w:t>
      </w:r>
      <w:r w:rsidRPr="00124FAF">
        <w:rPr>
          <w:rFonts w:eastAsiaTheme="minorEastAsia"/>
        </w:rPr>
        <w:t>. In the absence of driver/driver’s compartment/manual driving controls in the vehicle, provisions related to them shall not be taken into account if not already covered by this amendment.</w:t>
      </w:r>
    </w:p>
    <w:p w14:paraId="19451127" w14:textId="77777777" w:rsidR="00907D69" w:rsidRPr="00124FAF" w:rsidRDefault="00907D69" w:rsidP="00907D69">
      <w:pPr>
        <w:spacing w:line="240" w:lineRule="auto"/>
        <w:ind w:left="2268" w:right="992" w:hanging="1134"/>
        <w:contextualSpacing/>
        <w:jc w:val="both"/>
        <w:rPr>
          <w:rFonts w:eastAsiaTheme="minorEastAsia"/>
          <w:color w:val="000000" w:themeColor="text1"/>
        </w:rPr>
      </w:pPr>
    </w:p>
    <w:p w14:paraId="09AFB367" w14:textId="5D5A57C7" w:rsidR="00907D69" w:rsidRPr="00FC0D9B" w:rsidRDefault="00907D69" w:rsidP="00907D69">
      <w:pPr>
        <w:spacing w:line="240" w:lineRule="auto"/>
        <w:ind w:left="2268" w:right="992" w:hanging="1134"/>
        <w:contextualSpacing/>
        <w:jc w:val="both"/>
        <w:rPr>
          <w:rFonts w:eastAsiaTheme="minorEastAsia"/>
          <w:b/>
          <w:bCs/>
          <w:color w:val="000000" w:themeColor="text1"/>
        </w:rPr>
      </w:pPr>
      <w:r w:rsidRPr="00124FAF">
        <w:rPr>
          <w:rFonts w:eastAsiaTheme="minorEastAsia"/>
          <w:color w:val="000000" w:themeColor="text1"/>
        </w:rPr>
        <w:t xml:space="preserve">0.1.2. </w:t>
      </w:r>
      <w:r w:rsidRPr="00124FAF">
        <w:rPr>
          <w:rFonts w:eastAsiaTheme="minorEastAsia"/>
          <w:color w:val="000000" w:themeColor="text1"/>
        </w:rPr>
        <w:tab/>
        <w:t xml:space="preserve">In case of vehicles equipped with an ADS </w:t>
      </w:r>
      <w:r w:rsidRPr="00474591">
        <w:rPr>
          <w:rFonts w:eastAsiaTheme="minorEastAsia"/>
          <w:strike/>
          <w:color w:val="FF0000"/>
        </w:rPr>
        <w:t xml:space="preserve">other than vehicles of </w:t>
      </w:r>
      <w:r w:rsidR="007405C5" w:rsidRPr="00474591">
        <w:rPr>
          <w:strike/>
          <w:color w:val="FF0000"/>
        </w:rPr>
        <w:t>categories X and Y</w:t>
      </w:r>
      <w:r w:rsidRPr="00474591">
        <w:rPr>
          <w:rFonts w:eastAsiaTheme="minorEastAsia"/>
          <w:strike/>
          <w:color w:val="FF0000"/>
        </w:rPr>
        <w:t>, in the manual driving mode,</w:t>
      </w:r>
      <w:r w:rsidRPr="00474591">
        <w:rPr>
          <w:rFonts w:eastAsiaTheme="minorEastAsia"/>
          <w:color w:val="FF0000"/>
        </w:rPr>
        <w:t xml:space="preserve"> </w:t>
      </w:r>
      <w:r w:rsidR="00647D0D">
        <w:rPr>
          <w:rFonts w:eastAsiaTheme="minorEastAsia"/>
          <w:color w:val="FF0000"/>
        </w:rPr>
        <w:t xml:space="preserve">in any driving mode, no </w:t>
      </w:r>
      <w:r w:rsidRPr="00124FAF">
        <w:rPr>
          <w:rFonts w:eastAsiaTheme="minorEastAsia"/>
          <w:color w:val="000000" w:themeColor="text1"/>
        </w:rPr>
        <w:t xml:space="preserve">special provisions or exemptions </w:t>
      </w:r>
      <w:r w:rsidRPr="00647D0D">
        <w:rPr>
          <w:rFonts w:eastAsiaTheme="minorEastAsia"/>
          <w:strike/>
          <w:color w:val="FF0000"/>
        </w:rPr>
        <w:t>do not</w:t>
      </w:r>
      <w:r w:rsidRPr="00124FAF">
        <w:rPr>
          <w:rFonts w:eastAsiaTheme="minorEastAsia"/>
          <w:color w:val="000000" w:themeColor="text1"/>
        </w:rPr>
        <w:t xml:space="preserve"> apply. </w:t>
      </w:r>
      <w:r w:rsidRPr="00CA508D">
        <w:rPr>
          <w:rFonts w:eastAsiaTheme="minorEastAsia"/>
          <w:strike/>
          <w:color w:val="FF0000"/>
        </w:rPr>
        <w:t>In a mode where an ADS feature is active basically the same requirements apply.</w:t>
      </w:r>
      <w:r w:rsidRPr="00124FAF">
        <w:rPr>
          <w:rFonts w:eastAsiaTheme="minorEastAsia"/>
          <w:color w:val="000000" w:themeColor="text1"/>
        </w:rPr>
        <w:t>"</w:t>
      </w:r>
    </w:p>
    <w:p w14:paraId="34822CAB" w14:textId="77777777" w:rsidR="00907D69" w:rsidRPr="00953521" w:rsidRDefault="00907D69" w:rsidP="00907D69">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1.1., footnote 1, </w:t>
      </w:r>
      <w:r w:rsidRPr="00953521">
        <w:rPr>
          <w:rFonts w:eastAsia="DengXian"/>
          <w:iCs/>
          <w:lang w:eastAsia="zh-CN"/>
        </w:rPr>
        <w:t>amend to read:</w:t>
      </w:r>
    </w:p>
    <w:p w14:paraId="00F86315" w14:textId="77777777" w:rsidR="00907D69" w:rsidRPr="00953521" w:rsidRDefault="00907D69" w:rsidP="00907D69">
      <w:pPr>
        <w:pStyle w:val="Voetnoottekst"/>
      </w:pPr>
      <w:r w:rsidRPr="00953521">
        <w:rPr>
          <w:vertAlign w:val="superscript"/>
        </w:rPr>
        <w:tab/>
      </w:r>
      <w:r>
        <w:rPr>
          <w:szCs w:val="18"/>
          <w:vertAlign w:val="superscript"/>
        </w:rPr>
        <w:t>"</w:t>
      </w:r>
      <w:r w:rsidRPr="00953521">
        <w:rPr>
          <w:szCs w:val="18"/>
          <w:vertAlign w:val="superscript"/>
        </w:rPr>
        <w:t>1</w:t>
      </w:r>
      <w:r w:rsidRPr="00953521">
        <w:rPr>
          <w:szCs w:val="18"/>
          <w:vertAlign w:val="superscript"/>
        </w:rPr>
        <w:tab/>
      </w:r>
      <w:bookmarkStart w:id="0" w:name="+ÿ!J$YERUUIL_NR;290Rfn1"/>
      <w:bookmarkStart w:id="1" w:name="Rfn1"/>
      <w:bookmarkEnd w:id="0"/>
      <w:r w:rsidRPr="001763F3">
        <w:rPr>
          <w:strike/>
          <w:szCs w:val="18"/>
        </w:rPr>
        <w:t>As defined in Annex 7 of the Consolidated Resolution of the Construction of Vehicles  (R.E.3) (TRANS/WP.29/78/Rev.1/Amend.2</w:t>
      </w:r>
      <w:r>
        <w:rPr>
          <w:strike/>
          <w:szCs w:val="18"/>
        </w:rPr>
        <w:t xml:space="preserve"> aa last amended by Amend.4)</w:t>
      </w:r>
      <w:r w:rsidRPr="00895FF8">
        <w:rPr>
          <w:szCs w:val="18"/>
        </w:rPr>
        <w:t>.</w:t>
      </w:r>
      <w:r w:rsidRPr="00953521">
        <w:rPr>
          <w:szCs w:val="18"/>
        </w:rPr>
        <w:tab/>
      </w:r>
      <w:r>
        <w:rPr>
          <w:szCs w:val="18"/>
        </w:rPr>
        <w:br/>
      </w:r>
      <w:r w:rsidRPr="001763F3">
        <w:rPr>
          <w:b/>
          <w:bCs/>
        </w:rPr>
        <w:t>As defined in the Consolidated Resolution on the Construction of Vehicles (R.E.3.), document ECE/TRANS/WP.29/78/Rev.8, para. 2 -</w:t>
      </w:r>
      <w:r w:rsidRPr="00953521">
        <w:t xml:space="preserve"> </w:t>
      </w:r>
      <w:bookmarkEnd w:id="1"/>
      <w:r>
        <w:br/>
      </w:r>
      <w:hyperlink r:id="rId11" w:history="1">
        <w:r w:rsidRPr="00953521">
          <w:rPr>
            <w:rStyle w:val="Hyperlink"/>
            <w:b/>
            <w:bCs/>
            <w:szCs w:val="18"/>
          </w:rPr>
          <w:t>https://unece.org/transport/vehicle-regulations/wp29/resolutions</w:t>
        </w:r>
      </w:hyperlink>
      <w:r>
        <w:rPr>
          <w:rStyle w:val="Hyperlink"/>
          <w:iCs/>
          <w:color w:val="auto"/>
          <w:szCs w:val="18"/>
        </w:rPr>
        <w:t>"</w:t>
      </w:r>
    </w:p>
    <w:p w14:paraId="53FDD0A1" w14:textId="77777777" w:rsidR="00907D69" w:rsidRPr="00953521" w:rsidRDefault="00907D69" w:rsidP="00907D69">
      <w:pPr>
        <w:autoSpaceDE w:val="0"/>
        <w:autoSpaceDN w:val="0"/>
        <w:adjustRightInd w:val="0"/>
        <w:spacing w:before="120" w:after="120" w:line="240" w:lineRule="auto"/>
        <w:ind w:left="1134" w:right="1134"/>
        <w:jc w:val="both"/>
        <w:rPr>
          <w:rFonts w:eastAsia="DengXian"/>
          <w:i/>
          <w:lang w:eastAsia="zh-CN"/>
        </w:rPr>
      </w:pPr>
      <w:r w:rsidRPr="00953521">
        <w:rPr>
          <w:rFonts w:eastAsia="DengXian"/>
          <w:i/>
          <w:lang w:eastAsia="zh-CN"/>
        </w:rPr>
        <w:t xml:space="preserve">Paragraph </w:t>
      </w:r>
      <w:r>
        <w:rPr>
          <w:rFonts w:eastAsia="DengXian"/>
          <w:i/>
          <w:lang w:eastAsia="zh-CN"/>
        </w:rPr>
        <w:t>2</w:t>
      </w:r>
      <w:r w:rsidRPr="00953521">
        <w:rPr>
          <w:rFonts w:eastAsia="DengXian"/>
          <w:i/>
          <w:lang w:eastAsia="zh-CN"/>
        </w:rPr>
        <w:t>.</w:t>
      </w:r>
      <w:r>
        <w:rPr>
          <w:rFonts w:eastAsia="DengXian"/>
          <w:i/>
          <w:lang w:eastAsia="zh-CN"/>
        </w:rPr>
        <w:t>15</w:t>
      </w:r>
      <w:r w:rsidRPr="00953521">
        <w:rPr>
          <w:rFonts w:eastAsia="DengXian"/>
          <w:i/>
          <w:lang w:eastAsia="zh-CN"/>
        </w:rPr>
        <w:t xml:space="preserve">., </w:t>
      </w:r>
      <w:r w:rsidRPr="00953521">
        <w:rPr>
          <w:rFonts w:eastAsia="DengXian"/>
          <w:iCs/>
          <w:lang w:eastAsia="zh-CN"/>
        </w:rPr>
        <w:t>amend to read:</w:t>
      </w:r>
    </w:p>
    <w:p w14:paraId="4B398C93" w14:textId="77777777" w:rsidR="00907D69" w:rsidRDefault="00907D69" w:rsidP="00907D69">
      <w:pPr>
        <w:ind w:left="2268" w:right="1134" w:hanging="1134"/>
        <w:jc w:val="both"/>
        <w:rPr>
          <w:color w:val="000000"/>
        </w:rPr>
      </w:pPr>
      <w:r>
        <w:t>"2.15.</w:t>
      </w:r>
      <w:r>
        <w:tab/>
      </w:r>
      <w:r w:rsidRPr="00D903C4">
        <w:tab/>
      </w:r>
      <w:r>
        <w:rPr>
          <w:i/>
          <w:iCs/>
        </w:rPr>
        <w:t>"</w:t>
      </w:r>
      <w:r w:rsidRPr="00D903C4">
        <w:rPr>
          <w:i/>
          <w:iCs/>
        </w:rPr>
        <w:t>Unladen kerb mass</w:t>
      </w:r>
      <w:r>
        <w:rPr>
          <w:i/>
          <w:iCs/>
        </w:rPr>
        <w:t>"</w:t>
      </w:r>
      <w:r w:rsidRPr="00D903C4">
        <w:t xml:space="preserve"> (Mk) means the mass of the vehicle in running order, unoccupied and unladen but with the addition of 75 kg for the mass of the driver, the mass of fuel corresponding to 90 per cent of the capacity of the fuel tank specified by the manufacturer, and the masses of coolant, lubricant, tools and spare wheel, if any.</w:t>
      </w:r>
      <w:r w:rsidRPr="00CF038A">
        <w:t xml:space="preserve"> </w:t>
      </w:r>
      <w:r w:rsidRPr="00CF038A">
        <w:rPr>
          <w:b/>
          <w:bCs/>
        </w:rPr>
        <w:t>For vehicles of category X</w:t>
      </w:r>
      <w:r>
        <w:rPr>
          <w:b/>
          <w:bCs/>
        </w:rPr>
        <w:t>,</w:t>
      </w:r>
      <w:r w:rsidRPr="00CF038A">
        <w:rPr>
          <w:b/>
          <w:bCs/>
        </w:rPr>
        <w:t xml:space="preserve"> the driver’s mass is not</w:t>
      </w:r>
      <w:r>
        <w:rPr>
          <w:b/>
          <w:bCs/>
        </w:rPr>
        <w:t xml:space="preserve"> </w:t>
      </w:r>
      <w:r w:rsidRPr="00CF038A">
        <w:rPr>
          <w:b/>
          <w:bCs/>
        </w:rPr>
        <w:t>included</w:t>
      </w:r>
      <w:r>
        <w:rPr>
          <w:color w:val="000000"/>
        </w:rPr>
        <w:t>"</w:t>
      </w:r>
    </w:p>
    <w:p w14:paraId="79D2D1C5" w14:textId="77777777" w:rsidR="00907D69" w:rsidRPr="00A55388" w:rsidRDefault="00907D69" w:rsidP="00907D69">
      <w:pPr>
        <w:spacing w:before="120" w:after="120"/>
        <w:ind w:left="2268" w:right="1134" w:hanging="1134"/>
        <w:jc w:val="both"/>
        <w:rPr>
          <w:strike/>
          <w:color w:val="FF0000"/>
        </w:rPr>
      </w:pPr>
      <w:r w:rsidRPr="00A55388">
        <w:rPr>
          <w:i/>
          <w:iCs/>
          <w:strike/>
          <w:color w:val="FF0000"/>
        </w:rPr>
        <w:t>Insert new paragraphs 2.34. and 2.35.,</w:t>
      </w:r>
      <w:r w:rsidRPr="00A55388">
        <w:rPr>
          <w:strike/>
          <w:color w:val="FF0000"/>
        </w:rPr>
        <w:t xml:space="preserve"> to read:</w:t>
      </w:r>
    </w:p>
    <w:p w14:paraId="7391E733" w14:textId="77777777" w:rsidR="00907D69" w:rsidRPr="00A55388" w:rsidRDefault="00907D69" w:rsidP="00907D69">
      <w:pPr>
        <w:pStyle w:val="para"/>
        <w:rPr>
          <w:strike/>
          <w:color w:val="FF0000"/>
          <w:lang w:val="en-GB"/>
        </w:rPr>
      </w:pPr>
      <w:r w:rsidRPr="00A55388">
        <w:rPr>
          <w:strike/>
          <w:color w:val="FF0000"/>
          <w:lang w:val="en-GB"/>
        </w:rPr>
        <w:t>"2.34.</w:t>
      </w:r>
      <w:r w:rsidRPr="00A55388">
        <w:rPr>
          <w:strike/>
          <w:color w:val="FF0000"/>
          <w:lang w:val="en-GB"/>
        </w:rPr>
        <w:tab/>
        <w:t>"</w:t>
      </w:r>
      <w:r w:rsidRPr="00A55388">
        <w:rPr>
          <w:i/>
          <w:strike/>
          <w:color w:val="FF0000"/>
          <w:lang w:val="en-GB"/>
        </w:rPr>
        <w:t>ADS feature of type 1 (ADSF-1)</w:t>
      </w:r>
      <w:r w:rsidRPr="00A55388">
        <w:rPr>
          <w:strike/>
          <w:color w:val="FF0000"/>
          <w:lang w:val="en-GB"/>
        </w:rPr>
        <w:t>" means an ADS</w:t>
      </w:r>
      <w:r w:rsidRPr="00A55388">
        <w:rPr>
          <w:strike/>
          <w:color w:val="FF0000"/>
          <w:vertAlign w:val="superscript"/>
          <w:lang w:val="en-GB"/>
        </w:rPr>
        <w:t>1</w:t>
      </w:r>
      <w:r w:rsidRPr="00A55388">
        <w:rPr>
          <w:strike/>
          <w:color w:val="FF0000"/>
          <w:lang w:val="en-GB"/>
        </w:rPr>
        <w:t xml:space="preserve"> feature which includes an ADS fallback response requiring a fallback user</w:t>
      </w:r>
    </w:p>
    <w:p w14:paraId="4ADE0927" w14:textId="34D1E6D9" w:rsidR="00E52320" w:rsidRPr="00A55388" w:rsidRDefault="00907D69" w:rsidP="00907D69">
      <w:pPr>
        <w:pStyle w:val="para"/>
        <w:rPr>
          <w:strike/>
          <w:color w:val="FF0000"/>
        </w:rPr>
      </w:pPr>
      <w:r w:rsidRPr="00A55388">
        <w:rPr>
          <w:strike/>
          <w:color w:val="FF0000"/>
          <w:lang w:val="en-GB"/>
        </w:rPr>
        <w:t>2.35.</w:t>
      </w:r>
      <w:r w:rsidRPr="00A55388">
        <w:rPr>
          <w:strike/>
          <w:color w:val="FF0000"/>
          <w:lang w:val="en-GB"/>
        </w:rPr>
        <w:tab/>
      </w:r>
      <w:r w:rsidRPr="00A55388">
        <w:rPr>
          <w:i/>
          <w:iCs/>
          <w:strike/>
          <w:color w:val="FF0000"/>
          <w:lang w:val="en-GB"/>
        </w:rPr>
        <w:t>"ADS feature of type 2 (ADSF-2)"</w:t>
      </w:r>
      <w:r w:rsidRPr="00A55388">
        <w:rPr>
          <w:strike/>
          <w:color w:val="FF0000"/>
          <w:lang w:val="en-GB"/>
        </w:rPr>
        <w:t xml:space="preserve"> means an ADS feature which does not include an ADS fallback response requiring a fallback user."</w:t>
      </w:r>
    </w:p>
    <w:p w14:paraId="43120971" w14:textId="77777777" w:rsidR="00E52320" w:rsidRPr="00B7129A" w:rsidRDefault="00E52320" w:rsidP="00E52320">
      <w:pPr>
        <w:ind w:left="567" w:firstLine="567"/>
        <w:rPr>
          <w:bCs/>
          <w:lang w:val="en-US"/>
        </w:rPr>
      </w:pPr>
    </w:p>
    <w:p w14:paraId="420396CD" w14:textId="77777777" w:rsidR="00592B12" w:rsidRPr="000846F8" w:rsidRDefault="00592B12" w:rsidP="00592B12">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592B12">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BCE2AD" w14:textId="77777777" w:rsidR="00BB3B9F" w:rsidRDefault="00BB3B9F"/>
  </w:endnote>
  <w:endnote w:type="continuationSeparator" w:id="0">
    <w:p w14:paraId="1A6907FD" w14:textId="77777777" w:rsidR="00BB3B9F" w:rsidRDefault="00BB3B9F"/>
  </w:endnote>
  <w:endnote w:type="continuationNotice" w:id="1">
    <w:p w14:paraId="03312FD1" w14:textId="77777777" w:rsidR="00BB3B9F" w:rsidRDefault="00BB3B9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C88379" w14:textId="77777777" w:rsidR="00BB3B9F" w:rsidRPr="000B175B" w:rsidRDefault="00BB3B9F" w:rsidP="000B175B">
      <w:pPr>
        <w:tabs>
          <w:tab w:val="right" w:pos="2155"/>
        </w:tabs>
        <w:spacing w:after="80"/>
        <w:ind w:left="680"/>
        <w:rPr>
          <w:u w:val="single"/>
        </w:rPr>
      </w:pPr>
      <w:r>
        <w:rPr>
          <w:u w:val="single"/>
        </w:rPr>
        <w:tab/>
      </w:r>
    </w:p>
  </w:footnote>
  <w:footnote w:type="continuationSeparator" w:id="0">
    <w:p w14:paraId="07C5B769" w14:textId="77777777" w:rsidR="00BB3B9F" w:rsidRPr="00FC68B7" w:rsidRDefault="00BB3B9F" w:rsidP="00FC68B7">
      <w:pPr>
        <w:tabs>
          <w:tab w:val="left" w:pos="2155"/>
        </w:tabs>
        <w:spacing w:after="80"/>
        <w:ind w:left="680"/>
        <w:rPr>
          <w:u w:val="single"/>
        </w:rPr>
      </w:pPr>
      <w:r>
        <w:rPr>
          <w:u w:val="single"/>
        </w:rPr>
        <w:tab/>
      </w:r>
    </w:p>
  </w:footnote>
  <w:footnote w:type="continuationNotice" w:id="1">
    <w:p w14:paraId="4A9DACAA" w14:textId="77777777" w:rsidR="00BB3B9F" w:rsidRDefault="00BB3B9F"/>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81CE0"/>
    <w:rsid w:val="00084D30"/>
    <w:rsid w:val="00087DDC"/>
    <w:rsid w:val="00090320"/>
    <w:rsid w:val="000929A7"/>
    <w:rsid w:val="000931C0"/>
    <w:rsid w:val="00095BBA"/>
    <w:rsid w:val="000964E3"/>
    <w:rsid w:val="00097003"/>
    <w:rsid w:val="000A2E09"/>
    <w:rsid w:val="000A7061"/>
    <w:rsid w:val="000B175B"/>
    <w:rsid w:val="000B3A0F"/>
    <w:rsid w:val="000B743B"/>
    <w:rsid w:val="000C11A4"/>
    <w:rsid w:val="000D2E13"/>
    <w:rsid w:val="000D3A4E"/>
    <w:rsid w:val="000D41C6"/>
    <w:rsid w:val="000E0415"/>
    <w:rsid w:val="000E57EF"/>
    <w:rsid w:val="000E7406"/>
    <w:rsid w:val="000F7715"/>
    <w:rsid w:val="00101C00"/>
    <w:rsid w:val="0010419F"/>
    <w:rsid w:val="00112120"/>
    <w:rsid w:val="0012177C"/>
    <w:rsid w:val="00124FAF"/>
    <w:rsid w:val="0013785F"/>
    <w:rsid w:val="00143BF8"/>
    <w:rsid w:val="00145183"/>
    <w:rsid w:val="00156B99"/>
    <w:rsid w:val="0016113F"/>
    <w:rsid w:val="0016358F"/>
    <w:rsid w:val="00166124"/>
    <w:rsid w:val="00175911"/>
    <w:rsid w:val="0018395E"/>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AC"/>
    <w:rsid w:val="00262DBA"/>
    <w:rsid w:val="00264ED8"/>
    <w:rsid w:val="0026581E"/>
    <w:rsid w:val="00267A12"/>
    <w:rsid w:val="002707DF"/>
    <w:rsid w:val="0027237A"/>
    <w:rsid w:val="00275642"/>
    <w:rsid w:val="00275B39"/>
    <w:rsid w:val="0028259C"/>
    <w:rsid w:val="00285619"/>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D7F43"/>
    <w:rsid w:val="003E0092"/>
    <w:rsid w:val="003E278A"/>
    <w:rsid w:val="003E4FFF"/>
    <w:rsid w:val="003E603C"/>
    <w:rsid w:val="00400F4B"/>
    <w:rsid w:val="00404AA7"/>
    <w:rsid w:val="00405F46"/>
    <w:rsid w:val="00413520"/>
    <w:rsid w:val="0041433F"/>
    <w:rsid w:val="00414B22"/>
    <w:rsid w:val="00425255"/>
    <w:rsid w:val="004325CB"/>
    <w:rsid w:val="004353FE"/>
    <w:rsid w:val="00440A07"/>
    <w:rsid w:val="00462880"/>
    <w:rsid w:val="0046461C"/>
    <w:rsid w:val="004667F1"/>
    <w:rsid w:val="00467350"/>
    <w:rsid w:val="0047134C"/>
    <w:rsid w:val="00474591"/>
    <w:rsid w:val="00476F24"/>
    <w:rsid w:val="00477DA4"/>
    <w:rsid w:val="00480745"/>
    <w:rsid w:val="004A0575"/>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240DC"/>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47D0D"/>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28D5"/>
    <w:rsid w:val="0072632A"/>
    <w:rsid w:val="007358E8"/>
    <w:rsid w:val="00736ECE"/>
    <w:rsid w:val="007405C5"/>
    <w:rsid w:val="007416DA"/>
    <w:rsid w:val="00742F86"/>
    <w:rsid w:val="0074533B"/>
    <w:rsid w:val="00751B23"/>
    <w:rsid w:val="00762145"/>
    <w:rsid w:val="007643BC"/>
    <w:rsid w:val="00773BF8"/>
    <w:rsid w:val="00780C68"/>
    <w:rsid w:val="00784FA1"/>
    <w:rsid w:val="00786787"/>
    <w:rsid w:val="0079080A"/>
    <w:rsid w:val="00792646"/>
    <w:rsid w:val="007959FE"/>
    <w:rsid w:val="00797E79"/>
    <w:rsid w:val="007A084E"/>
    <w:rsid w:val="007A0CF1"/>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43E91"/>
    <w:rsid w:val="008506B6"/>
    <w:rsid w:val="00857A35"/>
    <w:rsid w:val="0086358D"/>
    <w:rsid w:val="0086364E"/>
    <w:rsid w:val="008642E9"/>
    <w:rsid w:val="00866893"/>
    <w:rsid w:val="00866F02"/>
    <w:rsid w:val="00867D18"/>
    <w:rsid w:val="00871F9A"/>
    <w:rsid w:val="00871FD5"/>
    <w:rsid w:val="00875071"/>
    <w:rsid w:val="008816C9"/>
    <w:rsid w:val="0088172E"/>
    <w:rsid w:val="00881EFA"/>
    <w:rsid w:val="008828F4"/>
    <w:rsid w:val="008879CB"/>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07D69"/>
    <w:rsid w:val="00915888"/>
    <w:rsid w:val="009173AD"/>
    <w:rsid w:val="0092315E"/>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35DB"/>
    <w:rsid w:val="00A5475D"/>
    <w:rsid w:val="00A54DEB"/>
    <w:rsid w:val="00A55388"/>
    <w:rsid w:val="00A56E93"/>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478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A339B"/>
    <w:rsid w:val="00BA5547"/>
    <w:rsid w:val="00BA5D6B"/>
    <w:rsid w:val="00BB23CC"/>
    <w:rsid w:val="00BB3B9F"/>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17ED2"/>
    <w:rsid w:val="00C21B75"/>
    <w:rsid w:val="00C261FE"/>
    <w:rsid w:val="00C32822"/>
    <w:rsid w:val="00C33FAF"/>
    <w:rsid w:val="00C37129"/>
    <w:rsid w:val="00C463DD"/>
    <w:rsid w:val="00C53E43"/>
    <w:rsid w:val="00C5647D"/>
    <w:rsid w:val="00C63517"/>
    <w:rsid w:val="00C745C3"/>
    <w:rsid w:val="00C838ED"/>
    <w:rsid w:val="00C85ED5"/>
    <w:rsid w:val="00C91A7B"/>
    <w:rsid w:val="00C97011"/>
    <w:rsid w:val="00C978F5"/>
    <w:rsid w:val="00CA24A4"/>
    <w:rsid w:val="00CA508D"/>
    <w:rsid w:val="00CB0EA5"/>
    <w:rsid w:val="00CB280F"/>
    <w:rsid w:val="00CB330B"/>
    <w:rsid w:val="00CB348D"/>
    <w:rsid w:val="00CB40FB"/>
    <w:rsid w:val="00CC1D22"/>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704E5"/>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43204"/>
    <w:rsid w:val="00E52320"/>
    <w:rsid w:val="00E54E90"/>
    <w:rsid w:val="00E6414C"/>
    <w:rsid w:val="00E64D13"/>
    <w:rsid w:val="00E64DFE"/>
    <w:rsid w:val="00E71624"/>
    <w:rsid w:val="00E71A29"/>
    <w:rsid w:val="00E7260F"/>
    <w:rsid w:val="00E75620"/>
    <w:rsid w:val="00E83D85"/>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4E44"/>
    <w:rsid w:val="00F0761D"/>
    <w:rsid w:val="00F101C2"/>
    <w:rsid w:val="00F20ED8"/>
    <w:rsid w:val="00F21786"/>
    <w:rsid w:val="00F25D06"/>
    <w:rsid w:val="00F314A5"/>
    <w:rsid w:val="00F31CFF"/>
    <w:rsid w:val="00F37391"/>
    <w:rsid w:val="00F3742B"/>
    <w:rsid w:val="00F41FDB"/>
    <w:rsid w:val="00F50597"/>
    <w:rsid w:val="00F5649E"/>
    <w:rsid w:val="00F56D63"/>
    <w:rsid w:val="00F609A9"/>
    <w:rsid w:val="00F67A97"/>
    <w:rsid w:val="00F749C0"/>
    <w:rsid w:val="00F77AF2"/>
    <w:rsid w:val="00F80161"/>
    <w:rsid w:val="00F80C99"/>
    <w:rsid w:val="00F867EC"/>
    <w:rsid w:val="00F9152E"/>
    <w:rsid w:val="00F91B2B"/>
    <w:rsid w:val="00FA70DC"/>
    <w:rsid w:val="00FB359A"/>
    <w:rsid w:val="00FC03CD"/>
    <w:rsid w:val="00FC0646"/>
    <w:rsid w:val="00FC32A4"/>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6</TotalTime>
  <Pages>2</Pages>
  <Words>444</Words>
  <Characters>2448</Characters>
  <Application>Microsoft Office Word</Application>
  <DocSecurity>0</DocSecurity>
  <Lines>20</Lines>
  <Paragraphs>5</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12</cp:revision>
  <cp:lastPrinted>2021-04-08T13:15:00Z</cp:lastPrinted>
  <dcterms:created xsi:type="dcterms:W3CDTF">2025-10-03T12:39:00Z</dcterms:created>
  <dcterms:modified xsi:type="dcterms:W3CDTF">2025-10-04T19:24:00Z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