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page" w:horzAnchor="margin" w:tblpY="1346"/>
        <w:tblW w:w="9649" w:type="dxa"/>
        <w:tblCellSpacing w:w="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9"/>
      </w:tblGrid>
      <w:tr w:rsidR="00CA0252" w:rsidRPr="00AD06AE" w14:paraId="2210B9A7" w14:textId="77777777" w:rsidTr="00F503A7">
        <w:trPr>
          <w:trHeight w:val="108"/>
          <w:tblCellSpacing w:w="29" w:type="dxa"/>
        </w:trPr>
        <w:tc>
          <w:tcPr>
            <w:tcW w:w="9418" w:type="dxa"/>
            <w:vAlign w:val="center"/>
          </w:tcPr>
          <w:p w14:paraId="63612D38" w14:textId="77777777" w:rsidR="00CA0252" w:rsidRPr="00AD06AE" w:rsidRDefault="00CA0252" w:rsidP="00F503A7">
            <w:pPr>
              <w:jc w:val="center"/>
              <w:rPr>
                <w:rFonts w:ascii="Roboto" w:hAnsi="Roboto"/>
                <w:sz w:val="18"/>
                <w:szCs w:val="18"/>
              </w:rPr>
            </w:pPr>
            <w:r>
              <w:rPr>
                <w:rFonts w:ascii="Roboto" w:hAnsi="Roboto"/>
                <w:sz w:val="18"/>
                <w:szCs w:val="18"/>
              </w:rPr>
              <w:t>ADS IWG Change Request</w:t>
            </w:r>
          </w:p>
        </w:tc>
      </w:tr>
      <w:tr w:rsidR="00CA0252" w:rsidRPr="00AD06AE" w14:paraId="6B1982AD" w14:textId="77777777" w:rsidTr="00F503A7">
        <w:trPr>
          <w:trHeight w:val="288"/>
          <w:tblCellSpacing w:w="29" w:type="dxa"/>
        </w:trPr>
        <w:tc>
          <w:tcPr>
            <w:tcW w:w="9418" w:type="dxa"/>
            <w:tcBorders>
              <w:top w:val="single" w:sz="4" w:space="0" w:color="auto"/>
              <w:left w:val="single" w:sz="4" w:space="0" w:color="auto"/>
              <w:bottom w:val="single" w:sz="4" w:space="0" w:color="auto"/>
              <w:right w:val="single" w:sz="4" w:space="0" w:color="auto"/>
            </w:tcBorders>
            <w:vAlign w:val="center"/>
          </w:tcPr>
          <w:p w14:paraId="76AEFC41" w14:textId="77777777" w:rsidR="00CA0252" w:rsidRPr="00CA0252" w:rsidRDefault="00CA0252" w:rsidP="00F503A7">
            <w:pPr>
              <w:rPr>
                <w:rFonts w:ascii="Roboto" w:hAnsi="Roboto"/>
                <w:i/>
                <w:iCs/>
                <w:sz w:val="16"/>
                <w:szCs w:val="16"/>
              </w:rPr>
            </w:pPr>
            <w:r w:rsidRPr="00CA0252">
              <w:rPr>
                <w:rFonts w:ascii="Roboto" w:hAnsi="Roboto"/>
                <w:i/>
                <w:iCs/>
                <w:sz w:val="16"/>
                <w:szCs w:val="16"/>
              </w:rPr>
              <w:t>One request per form</w:t>
            </w:r>
          </w:p>
          <w:p w14:paraId="3210397B" w14:textId="77777777" w:rsidR="00CA0252" w:rsidRPr="00CA0252" w:rsidRDefault="00CA0252" w:rsidP="00F503A7">
            <w:pPr>
              <w:rPr>
                <w:rFonts w:ascii="Roboto" w:hAnsi="Roboto"/>
                <w:i/>
                <w:iCs/>
                <w:sz w:val="16"/>
                <w:szCs w:val="16"/>
              </w:rPr>
            </w:pPr>
            <w:r w:rsidRPr="00CA0252">
              <w:rPr>
                <w:rFonts w:ascii="Roboto" w:hAnsi="Roboto"/>
                <w:i/>
                <w:iCs/>
                <w:sz w:val="16"/>
                <w:szCs w:val="16"/>
              </w:rPr>
              <w:t>Please submit requests as separate documents</w:t>
            </w:r>
          </w:p>
          <w:p w14:paraId="337A04DE" w14:textId="77777777" w:rsidR="00CA0252" w:rsidRPr="00CA0252" w:rsidRDefault="00CA0252" w:rsidP="00F503A7">
            <w:pPr>
              <w:rPr>
                <w:rFonts w:ascii="Roboto" w:hAnsi="Roboto"/>
                <w:i/>
                <w:iCs/>
                <w:sz w:val="18"/>
                <w:szCs w:val="18"/>
              </w:rPr>
            </w:pPr>
            <w:r w:rsidRPr="00CA0252">
              <w:rPr>
                <w:rFonts w:ascii="Roboto" w:hAnsi="Roboto"/>
                <w:i/>
                <w:iCs/>
                <w:sz w:val="16"/>
                <w:szCs w:val="16"/>
              </w:rPr>
              <w:t>Shaded blocks for use by secretariat</w:t>
            </w:r>
          </w:p>
        </w:tc>
      </w:tr>
    </w:tbl>
    <w:tbl>
      <w:tblPr>
        <w:tblStyle w:val="TableGrid"/>
        <w:tblpPr w:leftFromText="180" w:rightFromText="180" w:vertAnchor="page" w:horzAnchor="margin" w:tblpY="2586"/>
        <w:tblW w:w="9649" w:type="dxa"/>
        <w:tblCellSpacing w:w="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bottom w:w="58" w:type="dxa"/>
        </w:tblCellMar>
        <w:tblLook w:val="04A0" w:firstRow="1" w:lastRow="0" w:firstColumn="1" w:lastColumn="0" w:noHBand="0" w:noVBand="1"/>
      </w:tblPr>
      <w:tblGrid>
        <w:gridCol w:w="1476"/>
        <w:gridCol w:w="4032"/>
        <w:gridCol w:w="4141"/>
      </w:tblGrid>
      <w:tr w:rsidR="00F503A7" w:rsidRPr="00AD06AE" w14:paraId="17FA18C9" w14:textId="77777777" w:rsidTr="00B05D8D">
        <w:trPr>
          <w:tblCellSpacing w:w="29" w:type="dxa"/>
        </w:trPr>
        <w:tc>
          <w:tcPr>
            <w:tcW w:w="1389" w:type="dxa"/>
          </w:tcPr>
          <w:p w14:paraId="4CB7125F" w14:textId="77777777" w:rsidR="00F503A7" w:rsidRPr="00AD06AE" w:rsidRDefault="00F503A7" w:rsidP="00D00053">
            <w:pPr>
              <w:jc w:val="right"/>
              <w:rPr>
                <w:rFonts w:ascii="Roboto" w:hAnsi="Roboto"/>
                <w:sz w:val="18"/>
                <w:szCs w:val="18"/>
              </w:rPr>
            </w:pPr>
            <w:r>
              <w:rPr>
                <w:rFonts w:ascii="Roboto" w:hAnsi="Roboto"/>
                <w:sz w:val="18"/>
                <w:szCs w:val="18"/>
              </w:rPr>
              <w:t>Date</w:t>
            </w:r>
          </w:p>
        </w:tc>
        <w:tc>
          <w:tcPr>
            <w:tcW w:w="3974" w:type="dxa"/>
            <w:tcBorders>
              <w:top w:val="single" w:sz="4" w:space="0" w:color="auto"/>
              <w:left w:val="single" w:sz="4" w:space="0" w:color="auto"/>
              <w:bottom w:val="single" w:sz="4" w:space="0" w:color="auto"/>
              <w:right w:val="single" w:sz="4" w:space="0" w:color="auto"/>
            </w:tcBorders>
            <w:vAlign w:val="center"/>
          </w:tcPr>
          <w:p w14:paraId="2648932A" w14:textId="588D1351" w:rsidR="00F503A7" w:rsidRPr="00415C07" w:rsidRDefault="00AA65AE" w:rsidP="00D00053">
            <w:pPr>
              <w:jc w:val="center"/>
              <w:rPr>
                <w:rFonts w:ascii="Roboto" w:hAnsi="Roboto"/>
                <w:sz w:val="18"/>
                <w:szCs w:val="18"/>
              </w:rPr>
            </w:pPr>
            <w:r>
              <w:rPr>
                <w:rFonts w:ascii="Roboto" w:eastAsia="Roboto" w:hAnsi="Roboto" w:cs="Roboto"/>
                <w:sz w:val="18"/>
                <w:szCs w:val="18"/>
              </w:rPr>
              <w:t>22 April 2026</w:t>
            </w:r>
          </w:p>
        </w:tc>
        <w:tc>
          <w:tcPr>
            <w:tcW w:w="4054" w:type="dxa"/>
          </w:tcPr>
          <w:p w14:paraId="49428521" w14:textId="77777777" w:rsidR="00F503A7" w:rsidRPr="00AD06AE" w:rsidRDefault="00F503A7" w:rsidP="00D00053">
            <w:pPr>
              <w:rPr>
                <w:rFonts w:ascii="Roboto" w:hAnsi="Roboto"/>
                <w:sz w:val="18"/>
                <w:szCs w:val="18"/>
              </w:rPr>
            </w:pPr>
            <w:r w:rsidRPr="004545CA">
              <w:rPr>
                <w:rFonts w:ascii="Roboto" w:hAnsi="Roboto"/>
                <w:i/>
                <w:iCs/>
                <w:sz w:val="16"/>
                <w:szCs w:val="16"/>
              </w:rPr>
              <w:t>Please use month name (e.g., “January”)</w:t>
            </w:r>
          </w:p>
        </w:tc>
      </w:tr>
      <w:tr w:rsidR="00F503A7" w:rsidRPr="00AD06AE" w14:paraId="53B495B8" w14:textId="77777777" w:rsidTr="00B05D8D">
        <w:trPr>
          <w:tblCellSpacing w:w="29" w:type="dxa"/>
        </w:trPr>
        <w:tc>
          <w:tcPr>
            <w:tcW w:w="1389" w:type="dxa"/>
          </w:tcPr>
          <w:p w14:paraId="709589AB" w14:textId="77777777" w:rsidR="00F503A7" w:rsidRPr="00AD06AE" w:rsidRDefault="00F503A7" w:rsidP="00D00053">
            <w:pPr>
              <w:jc w:val="right"/>
              <w:rPr>
                <w:rFonts w:ascii="Roboto" w:hAnsi="Roboto"/>
                <w:sz w:val="18"/>
                <w:szCs w:val="18"/>
              </w:rPr>
            </w:pPr>
            <w:r w:rsidRPr="00AD06AE">
              <w:rPr>
                <w:rFonts w:ascii="Roboto" w:hAnsi="Roboto"/>
                <w:sz w:val="18"/>
                <w:szCs w:val="18"/>
              </w:rPr>
              <w:t>Document</w:t>
            </w:r>
          </w:p>
        </w:tc>
        <w:tc>
          <w:tcPr>
            <w:tcW w:w="397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3CF5D3B" w14:textId="52A481CE" w:rsidR="00F503A7" w:rsidRPr="00AD06AE" w:rsidRDefault="00AA65AE" w:rsidP="00D00053">
            <w:pPr>
              <w:jc w:val="center"/>
              <w:rPr>
                <w:rFonts w:ascii="Roboto" w:hAnsi="Roboto"/>
                <w:sz w:val="18"/>
                <w:szCs w:val="18"/>
              </w:rPr>
            </w:pPr>
            <w:r>
              <w:rPr>
                <w:rFonts w:ascii="Roboto" w:hAnsi="Roboto"/>
                <w:sz w:val="18"/>
                <w:szCs w:val="18"/>
              </w:rPr>
              <w:t>ADS-20-18/Rev.1</w:t>
            </w:r>
          </w:p>
        </w:tc>
        <w:tc>
          <w:tcPr>
            <w:tcW w:w="4054" w:type="dxa"/>
          </w:tcPr>
          <w:p w14:paraId="353880DE" w14:textId="77777777" w:rsidR="00F503A7" w:rsidRPr="00AD06AE" w:rsidRDefault="00F503A7" w:rsidP="00D00053">
            <w:pPr>
              <w:rPr>
                <w:rFonts w:ascii="Roboto" w:hAnsi="Roboto"/>
                <w:sz w:val="18"/>
                <w:szCs w:val="18"/>
              </w:rPr>
            </w:pPr>
          </w:p>
        </w:tc>
      </w:tr>
      <w:tr w:rsidR="00F503A7" w:rsidRPr="00AD06AE" w14:paraId="612B8F93" w14:textId="77777777" w:rsidTr="00B05D8D">
        <w:trPr>
          <w:tblCellSpacing w:w="29" w:type="dxa"/>
        </w:trPr>
        <w:tc>
          <w:tcPr>
            <w:tcW w:w="1389" w:type="dxa"/>
          </w:tcPr>
          <w:p w14:paraId="51E0A236" w14:textId="77777777" w:rsidR="00F503A7" w:rsidRPr="00AD06AE" w:rsidRDefault="00F503A7" w:rsidP="00D00053">
            <w:pPr>
              <w:jc w:val="right"/>
              <w:rPr>
                <w:rFonts w:ascii="Roboto" w:hAnsi="Roboto"/>
                <w:sz w:val="18"/>
                <w:szCs w:val="18"/>
              </w:rPr>
            </w:pPr>
            <w:r>
              <w:rPr>
                <w:rFonts w:ascii="Roboto" w:hAnsi="Roboto"/>
                <w:sz w:val="18"/>
                <w:szCs w:val="18"/>
              </w:rPr>
              <w:t>Agenda Item</w:t>
            </w:r>
          </w:p>
        </w:tc>
        <w:tc>
          <w:tcPr>
            <w:tcW w:w="397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1BBE0D0" w14:textId="4A1B4415" w:rsidR="00F503A7" w:rsidRPr="00AD06AE" w:rsidRDefault="00AA65AE" w:rsidP="00D00053">
            <w:pPr>
              <w:jc w:val="center"/>
              <w:rPr>
                <w:rFonts w:ascii="Roboto" w:hAnsi="Roboto"/>
                <w:sz w:val="18"/>
                <w:szCs w:val="18"/>
              </w:rPr>
            </w:pPr>
            <w:r>
              <w:rPr>
                <w:rFonts w:ascii="Roboto" w:hAnsi="Roboto"/>
                <w:sz w:val="18"/>
                <w:szCs w:val="18"/>
              </w:rPr>
              <w:t>5.2. DDT Performance</w:t>
            </w:r>
          </w:p>
        </w:tc>
        <w:tc>
          <w:tcPr>
            <w:tcW w:w="4054" w:type="dxa"/>
          </w:tcPr>
          <w:p w14:paraId="0FAC5452" w14:textId="77777777" w:rsidR="00F503A7" w:rsidRPr="00AD06AE" w:rsidRDefault="00F503A7" w:rsidP="00D00053">
            <w:pPr>
              <w:rPr>
                <w:rFonts w:ascii="Roboto" w:hAnsi="Roboto"/>
                <w:sz w:val="18"/>
                <w:szCs w:val="18"/>
              </w:rPr>
            </w:pPr>
          </w:p>
        </w:tc>
      </w:tr>
      <w:tr w:rsidR="00F503A7" w:rsidRPr="00AD06AE" w14:paraId="125BE2B2" w14:textId="77777777" w:rsidTr="00B05D8D">
        <w:trPr>
          <w:tblCellSpacing w:w="29" w:type="dxa"/>
        </w:trPr>
        <w:tc>
          <w:tcPr>
            <w:tcW w:w="1389" w:type="dxa"/>
          </w:tcPr>
          <w:p w14:paraId="5F2FE6AC" w14:textId="77777777" w:rsidR="00F503A7" w:rsidRDefault="00F503A7" w:rsidP="00D00053">
            <w:pPr>
              <w:jc w:val="right"/>
              <w:rPr>
                <w:rFonts w:ascii="Roboto" w:hAnsi="Roboto"/>
                <w:sz w:val="18"/>
                <w:szCs w:val="18"/>
              </w:rPr>
            </w:pPr>
            <w:r>
              <w:rPr>
                <w:rFonts w:ascii="Roboto" w:hAnsi="Roboto"/>
                <w:sz w:val="18"/>
                <w:szCs w:val="18"/>
              </w:rPr>
              <w:t>Submitted by</w:t>
            </w:r>
          </w:p>
        </w:tc>
        <w:tc>
          <w:tcPr>
            <w:tcW w:w="3974" w:type="dxa"/>
            <w:tcBorders>
              <w:top w:val="single" w:sz="4" w:space="0" w:color="auto"/>
              <w:left w:val="single" w:sz="4" w:space="0" w:color="auto"/>
              <w:bottom w:val="single" w:sz="4" w:space="0" w:color="auto"/>
              <w:right w:val="single" w:sz="4" w:space="0" w:color="auto"/>
            </w:tcBorders>
            <w:vAlign w:val="center"/>
          </w:tcPr>
          <w:p w14:paraId="4BB14061" w14:textId="271CF354" w:rsidR="00F503A7" w:rsidRPr="00AD06AE" w:rsidRDefault="00AA65AE" w:rsidP="00D00053">
            <w:pPr>
              <w:rPr>
                <w:rFonts w:ascii="Roboto" w:hAnsi="Roboto"/>
                <w:sz w:val="18"/>
                <w:szCs w:val="18"/>
              </w:rPr>
            </w:pPr>
            <w:r>
              <w:rPr>
                <w:rFonts w:ascii="Roboto" w:hAnsi="Roboto"/>
                <w:sz w:val="18"/>
                <w:szCs w:val="18"/>
              </w:rPr>
              <w:t>SAE</w:t>
            </w:r>
          </w:p>
        </w:tc>
        <w:tc>
          <w:tcPr>
            <w:tcW w:w="4054" w:type="dxa"/>
          </w:tcPr>
          <w:p w14:paraId="69FFB8A8" w14:textId="77777777" w:rsidR="00F503A7" w:rsidRPr="00415C07" w:rsidRDefault="00F503A7" w:rsidP="00D00053">
            <w:pPr>
              <w:rPr>
                <w:rFonts w:ascii="Roboto" w:hAnsi="Roboto"/>
                <w:i/>
                <w:iCs/>
                <w:sz w:val="16"/>
                <w:szCs w:val="16"/>
              </w:rPr>
            </w:pPr>
            <w:r>
              <w:rPr>
                <w:rFonts w:ascii="Roboto" w:hAnsi="Roboto"/>
                <w:i/>
                <w:iCs/>
                <w:sz w:val="16"/>
                <w:szCs w:val="16"/>
              </w:rPr>
              <w:t>Affiliation only—No personal information</w:t>
            </w:r>
          </w:p>
        </w:tc>
      </w:tr>
      <w:tr w:rsidR="00F503A7" w:rsidRPr="00AD06AE" w14:paraId="196BE394" w14:textId="77777777" w:rsidTr="00B05D8D">
        <w:trPr>
          <w:tblCellSpacing w:w="29" w:type="dxa"/>
        </w:trPr>
        <w:tc>
          <w:tcPr>
            <w:tcW w:w="1389" w:type="dxa"/>
          </w:tcPr>
          <w:p w14:paraId="6A147C16" w14:textId="77777777" w:rsidR="00F503A7" w:rsidRDefault="00F503A7" w:rsidP="00D00053">
            <w:pPr>
              <w:jc w:val="right"/>
              <w:rPr>
                <w:rFonts w:ascii="Roboto" w:hAnsi="Roboto"/>
                <w:sz w:val="18"/>
                <w:szCs w:val="18"/>
              </w:rPr>
            </w:pPr>
            <w:r>
              <w:rPr>
                <w:rFonts w:ascii="Roboto" w:hAnsi="Roboto"/>
                <w:sz w:val="18"/>
                <w:szCs w:val="18"/>
              </w:rPr>
              <w:t>Title</w:t>
            </w:r>
          </w:p>
        </w:tc>
        <w:tc>
          <w:tcPr>
            <w:tcW w:w="3974" w:type="dxa"/>
            <w:tcBorders>
              <w:top w:val="single" w:sz="4" w:space="0" w:color="auto"/>
              <w:left w:val="single" w:sz="4" w:space="0" w:color="auto"/>
              <w:bottom w:val="single" w:sz="4" w:space="0" w:color="auto"/>
              <w:right w:val="single" w:sz="4" w:space="0" w:color="auto"/>
            </w:tcBorders>
          </w:tcPr>
          <w:p w14:paraId="2EE94564" w14:textId="2611A4F9" w:rsidR="00F503A7" w:rsidRPr="00AD06AE" w:rsidRDefault="00AA65AE" w:rsidP="00D00053">
            <w:pPr>
              <w:rPr>
                <w:rFonts w:ascii="Roboto" w:hAnsi="Roboto"/>
                <w:sz w:val="18"/>
                <w:szCs w:val="18"/>
              </w:rPr>
            </w:pPr>
            <w:r w:rsidRPr="00AA65AE">
              <w:rPr>
                <w:rFonts w:ascii="Roboto" w:hAnsi="Roboto"/>
                <w:sz w:val="18"/>
                <w:szCs w:val="18"/>
              </w:rPr>
              <w:t>Clarification on crash causation</w:t>
            </w:r>
          </w:p>
        </w:tc>
        <w:tc>
          <w:tcPr>
            <w:tcW w:w="4054" w:type="dxa"/>
          </w:tcPr>
          <w:p w14:paraId="4617C84C" w14:textId="77777777" w:rsidR="00F503A7" w:rsidRPr="00415C07" w:rsidRDefault="00F503A7" w:rsidP="00D00053">
            <w:pPr>
              <w:rPr>
                <w:rFonts w:ascii="Roboto" w:hAnsi="Roboto"/>
                <w:i/>
                <w:iCs/>
                <w:sz w:val="16"/>
                <w:szCs w:val="16"/>
              </w:rPr>
            </w:pPr>
            <w:r>
              <w:rPr>
                <w:rFonts w:ascii="Roboto" w:hAnsi="Roboto"/>
                <w:i/>
                <w:iCs/>
                <w:sz w:val="16"/>
                <w:szCs w:val="16"/>
              </w:rPr>
              <w:t>25 words or less (used to post document)</w:t>
            </w:r>
          </w:p>
        </w:tc>
      </w:tr>
      <w:tr w:rsidR="00F503A7" w:rsidRPr="00AD06AE" w14:paraId="54E6DE5C" w14:textId="77777777" w:rsidTr="00B05D8D">
        <w:trPr>
          <w:tblCellSpacing w:w="29" w:type="dxa"/>
        </w:trPr>
        <w:tc>
          <w:tcPr>
            <w:tcW w:w="1389" w:type="dxa"/>
          </w:tcPr>
          <w:p w14:paraId="5B0661AE" w14:textId="77777777" w:rsidR="00F503A7" w:rsidRDefault="00F503A7" w:rsidP="00D00053">
            <w:pPr>
              <w:jc w:val="right"/>
              <w:rPr>
                <w:rFonts w:ascii="Roboto" w:hAnsi="Roboto"/>
                <w:sz w:val="18"/>
                <w:szCs w:val="18"/>
              </w:rPr>
            </w:pPr>
            <w:r>
              <w:rPr>
                <w:rFonts w:ascii="Roboto" w:hAnsi="Roboto"/>
                <w:sz w:val="18"/>
                <w:szCs w:val="18"/>
              </w:rPr>
              <w:t>Location</w:t>
            </w:r>
          </w:p>
        </w:tc>
        <w:tc>
          <w:tcPr>
            <w:tcW w:w="3974" w:type="dxa"/>
            <w:tcBorders>
              <w:top w:val="single" w:sz="4" w:space="0" w:color="auto"/>
              <w:left w:val="single" w:sz="4" w:space="0" w:color="auto"/>
              <w:bottom w:val="single" w:sz="4" w:space="0" w:color="auto"/>
              <w:right w:val="single" w:sz="4" w:space="0" w:color="auto"/>
            </w:tcBorders>
            <w:vAlign w:val="center"/>
          </w:tcPr>
          <w:p w14:paraId="1EDE43E7" w14:textId="13C6F77C" w:rsidR="00F503A7" w:rsidRPr="00CD36CD" w:rsidRDefault="00AA65AE" w:rsidP="00D00053">
            <w:pPr>
              <w:jc w:val="center"/>
              <w:rPr>
                <w:rFonts w:ascii="Roboto" w:hAnsi="Roboto"/>
                <w:sz w:val="16"/>
                <w:szCs w:val="16"/>
              </w:rPr>
            </w:pPr>
            <w:r>
              <w:rPr>
                <w:rFonts w:ascii="Roboto" w:hAnsi="Roboto"/>
                <w:sz w:val="16"/>
                <w:szCs w:val="16"/>
              </w:rPr>
              <w:t>6.1.2.1.</w:t>
            </w:r>
          </w:p>
        </w:tc>
        <w:tc>
          <w:tcPr>
            <w:tcW w:w="4054" w:type="dxa"/>
          </w:tcPr>
          <w:p w14:paraId="4FDFB9C7" w14:textId="77777777" w:rsidR="00F503A7" w:rsidRPr="00415C07" w:rsidRDefault="00F503A7" w:rsidP="00D00053">
            <w:pPr>
              <w:rPr>
                <w:rFonts w:ascii="Roboto" w:hAnsi="Roboto"/>
                <w:i/>
                <w:iCs/>
                <w:sz w:val="16"/>
                <w:szCs w:val="16"/>
              </w:rPr>
            </w:pPr>
            <w:r>
              <w:rPr>
                <w:rFonts w:ascii="Roboto" w:hAnsi="Roboto"/>
                <w:i/>
                <w:iCs/>
                <w:sz w:val="16"/>
                <w:szCs w:val="16"/>
              </w:rPr>
              <w:t>e.g., i</w:t>
            </w:r>
            <w:r w:rsidRPr="00415C07">
              <w:rPr>
                <w:rFonts w:ascii="Roboto" w:hAnsi="Roboto"/>
                <w:i/>
                <w:iCs/>
                <w:sz w:val="16"/>
                <w:szCs w:val="16"/>
              </w:rPr>
              <w:t>mpacted section, paragraph</w:t>
            </w:r>
            <w:r>
              <w:rPr>
                <w:rFonts w:ascii="Roboto" w:hAnsi="Roboto"/>
                <w:i/>
                <w:iCs/>
                <w:sz w:val="16"/>
                <w:szCs w:val="16"/>
              </w:rPr>
              <w:t xml:space="preserve"> number(s)</w:t>
            </w:r>
          </w:p>
        </w:tc>
      </w:tr>
      <w:tr w:rsidR="00F503A7" w:rsidRPr="00AD06AE" w14:paraId="7E97D449" w14:textId="77777777" w:rsidTr="00CD6273">
        <w:trPr>
          <w:tblCellSpacing w:w="29" w:type="dxa"/>
        </w:trPr>
        <w:tc>
          <w:tcPr>
            <w:tcW w:w="1389" w:type="dxa"/>
          </w:tcPr>
          <w:p w14:paraId="37ED4BCF" w14:textId="77777777" w:rsidR="00F503A7" w:rsidRDefault="00F503A7" w:rsidP="00D00053">
            <w:pPr>
              <w:jc w:val="right"/>
              <w:rPr>
                <w:rFonts w:ascii="Roboto" w:hAnsi="Roboto"/>
                <w:sz w:val="18"/>
                <w:szCs w:val="18"/>
              </w:rPr>
            </w:pPr>
            <w:r>
              <w:rPr>
                <w:rFonts w:ascii="Roboto" w:hAnsi="Roboto"/>
                <w:sz w:val="18"/>
                <w:szCs w:val="18"/>
              </w:rPr>
              <w:t>Summary</w:t>
            </w:r>
          </w:p>
        </w:tc>
        <w:tc>
          <w:tcPr>
            <w:tcW w:w="3974" w:type="dxa"/>
            <w:tcBorders>
              <w:top w:val="single" w:sz="4" w:space="0" w:color="auto"/>
              <w:left w:val="single" w:sz="4" w:space="0" w:color="auto"/>
              <w:bottom w:val="single" w:sz="4" w:space="0" w:color="auto"/>
              <w:right w:val="single" w:sz="4" w:space="0" w:color="auto"/>
            </w:tcBorders>
          </w:tcPr>
          <w:p w14:paraId="25821C9E" w14:textId="5E064EE8" w:rsidR="00F503A7" w:rsidRDefault="00AA65AE" w:rsidP="00CD6273">
            <w:pPr>
              <w:rPr>
                <w:rFonts w:ascii="Roboto" w:hAnsi="Roboto"/>
                <w:sz w:val="18"/>
                <w:szCs w:val="18"/>
              </w:rPr>
            </w:pPr>
            <w:r w:rsidRPr="00AA65AE">
              <w:rPr>
                <w:rFonts w:ascii="Roboto" w:hAnsi="Roboto"/>
                <w:sz w:val="18"/>
                <w:szCs w:val="18"/>
              </w:rPr>
              <w:t>Provides further clarification on the need to resolve pre-approval crash causation issues during the approval process, and to defer to national ISMR processes to address post-deployment crash causation.</w:t>
            </w:r>
          </w:p>
        </w:tc>
        <w:tc>
          <w:tcPr>
            <w:tcW w:w="4054" w:type="dxa"/>
            <w:shd w:val="clear" w:color="auto" w:fill="F2F2F2" w:themeFill="background1" w:themeFillShade="F2"/>
          </w:tcPr>
          <w:p w14:paraId="0B9099C4" w14:textId="77777777" w:rsidR="00B05D8D" w:rsidRDefault="00000000" w:rsidP="00B05D8D">
            <w:pPr>
              <w:rPr>
                <w:rFonts w:ascii="Roboto" w:eastAsia="MS Gothic" w:hAnsi="Roboto"/>
                <w:sz w:val="18"/>
                <w:szCs w:val="18"/>
              </w:rPr>
            </w:pPr>
            <w:sdt>
              <w:sdtPr>
                <w:rPr>
                  <w:rFonts w:ascii="Roboto" w:eastAsia="MS Gothic" w:hAnsi="Roboto"/>
                  <w:sz w:val="18"/>
                  <w:szCs w:val="18"/>
                </w:rPr>
                <w:id w:val="1672986983"/>
                <w14:checkbox>
                  <w14:checked w14:val="0"/>
                  <w14:checkedState w14:val="2612" w14:font="MS Gothic"/>
                  <w14:uncheckedState w14:val="2610" w14:font="MS Gothic"/>
                </w14:checkbox>
              </w:sdtPr>
              <w:sdtContent>
                <w:r w:rsidR="00B05D8D">
                  <w:rPr>
                    <w:rFonts w:ascii="MS Gothic" w:eastAsia="MS Gothic" w:hAnsi="MS Gothic" w:hint="eastAsia"/>
                    <w:sz w:val="18"/>
                    <w:szCs w:val="18"/>
                  </w:rPr>
                  <w:t>☐</w:t>
                </w:r>
              </w:sdtContent>
            </w:sdt>
            <w:r w:rsidR="00B05D8D" w:rsidRPr="00767563">
              <w:rPr>
                <w:rFonts w:ascii="Roboto" w:eastAsia="MS Gothic" w:hAnsi="Roboto"/>
                <w:sz w:val="18"/>
                <w:szCs w:val="18"/>
              </w:rPr>
              <w:t xml:space="preserve"> Accepted</w:t>
            </w:r>
          </w:p>
          <w:p w14:paraId="4567A8CE" w14:textId="4D624D21" w:rsidR="00B05D8D" w:rsidRDefault="00000000" w:rsidP="00B05D8D">
            <w:pPr>
              <w:rPr>
                <w:rFonts w:ascii="Roboto" w:eastAsia="MS Gothic" w:hAnsi="Roboto"/>
                <w:sz w:val="18"/>
                <w:szCs w:val="18"/>
              </w:rPr>
            </w:pPr>
            <w:sdt>
              <w:sdtPr>
                <w:rPr>
                  <w:rFonts w:ascii="Roboto" w:eastAsia="MS Gothic" w:hAnsi="Roboto"/>
                  <w:sz w:val="18"/>
                  <w:szCs w:val="18"/>
                </w:rPr>
                <w:id w:val="-470669389"/>
                <w14:checkbox>
                  <w14:checked w14:val="1"/>
                  <w14:checkedState w14:val="2612" w14:font="MS Gothic"/>
                  <w14:uncheckedState w14:val="2610" w14:font="MS Gothic"/>
                </w14:checkbox>
              </w:sdtPr>
              <w:sdtContent>
                <w:r w:rsidR="00AA65AE">
                  <w:rPr>
                    <w:rFonts w:ascii="MS Gothic" w:eastAsia="MS Gothic" w:hAnsi="MS Gothic" w:hint="eastAsia"/>
                    <w:sz w:val="18"/>
                    <w:szCs w:val="18"/>
                  </w:rPr>
                  <w:t>☒</w:t>
                </w:r>
              </w:sdtContent>
            </w:sdt>
            <w:r w:rsidR="00B05D8D">
              <w:rPr>
                <w:rFonts w:ascii="Roboto" w:eastAsia="MS Gothic" w:hAnsi="Roboto"/>
                <w:sz w:val="18"/>
                <w:szCs w:val="18"/>
              </w:rPr>
              <w:t xml:space="preserve"> Accepted as amended</w:t>
            </w:r>
          </w:p>
          <w:p w14:paraId="34C3ADF2" w14:textId="77777777" w:rsidR="00B05D8D" w:rsidRDefault="00000000" w:rsidP="00B05D8D">
            <w:pPr>
              <w:rPr>
                <w:rFonts w:ascii="Roboto" w:eastAsia="MS Gothic" w:hAnsi="Roboto"/>
                <w:sz w:val="18"/>
                <w:szCs w:val="18"/>
              </w:rPr>
            </w:pPr>
            <w:sdt>
              <w:sdtPr>
                <w:rPr>
                  <w:rFonts w:ascii="Roboto" w:eastAsia="MS Gothic" w:hAnsi="Roboto"/>
                  <w:sz w:val="18"/>
                  <w:szCs w:val="18"/>
                </w:rPr>
                <w:id w:val="986284717"/>
                <w14:checkbox>
                  <w14:checked w14:val="0"/>
                  <w14:checkedState w14:val="2612" w14:font="MS Gothic"/>
                  <w14:uncheckedState w14:val="2610" w14:font="MS Gothic"/>
                </w14:checkbox>
              </w:sdtPr>
              <w:sdtContent>
                <w:r w:rsidR="00B05D8D">
                  <w:rPr>
                    <w:rFonts w:ascii="MS Gothic" w:eastAsia="MS Gothic" w:hAnsi="MS Gothic" w:hint="eastAsia"/>
                    <w:sz w:val="18"/>
                    <w:szCs w:val="18"/>
                  </w:rPr>
                  <w:t>☐</w:t>
                </w:r>
              </w:sdtContent>
            </w:sdt>
            <w:r w:rsidR="00B05D8D">
              <w:rPr>
                <w:rFonts w:ascii="Roboto" w:eastAsia="MS Gothic" w:hAnsi="Roboto"/>
                <w:sz w:val="18"/>
                <w:szCs w:val="18"/>
              </w:rPr>
              <w:t xml:space="preserve"> Deferred (further discussion)</w:t>
            </w:r>
          </w:p>
          <w:p w14:paraId="51F4DEDA" w14:textId="77777777" w:rsidR="00B05D8D" w:rsidRPr="00767563" w:rsidRDefault="00000000" w:rsidP="00B05D8D">
            <w:pPr>
              <w:rPr>
                <w:rFonts w:ascii="Roboto" w:eastAsia="MS Gothic" w:hAnsi="Roboto"/>
                <w:sz w:val="18"/>
                <w:szCs w:val="18"/>
              </w:rPr>
            </w:pPr>
            <w:sdt>
              <w:sdtPr>
                <w:rPr>
                  <w:rFonts w:ascii="Roboto" w:eastAsia="MS Gothic" w:hAnsi="Roboto"/>
                  <w:sz w:val="18"/>
                  <w:szCs w:val="18"/>
                </w:rPr>
                <w:id w:val="2132198038"/>
                <w14:checkbox>
                  <w14:checked w14:val="0"/>
                  <w14:checkedState w14:val="2612" w14:font="MS Gothic"/>
                  <w14:uncheckedState w14:val="2610" w14:font="MS Gothic"/>
                </w14:checkbox>
              </w:sdtPr>
              <w:sdtContent>
                <w:r w:rsidR="00B05D8D">
                  <w:rPr>
                    <w:rFonts w:ascii="MS Gothic" w:eastAsia="MS Gothic" w:hAnsi="MS Gothic" w:hint="eastAsia"/>
                    <w:sz w:val="18"/>
                    <w:szCs w:val="18"/>
                  </w:rPr>
                  <w:t>☐</w:t>
                </w:r>
              </w:sdtContent>
            </w:sdt>
            <w:r w:rsidR="00B05D8D">
              <w:rPr>
                <w:rFonts w:ascii="Roboto" w:eastAsia="MS Gothic" w:hAnsi="Roboto"/>
                <w:sz w:val="18"/>
                <w:szCs w:val="18"/>
              </w:rPr>
              <w:t xml:space="preserve"> Not accepted</w:t>
            </w:r>
          </w:p>
          <w:p w14:paraId="3A16250A" w14:textId="77777777" w:rsidR="00F503A7" w:rsidRPr="00CD36CD" w:rsidRDefault="00000000" w:rsidP="00B05D8D">
            <w:pPr>
              <w:rPr>
                <w:rFonts w:ascii="Roboto" w:hAnsi="Roboto"/>
                <w:sz w:val="18"/>
                <w:szCs w:val="18"/>
              </w:rPr>
            </w:pPr>
            <w:sdt>
              <w:sdtPr>
                <w:rPr>
                  <w:rFonts w:ascii="Roboto" w:hAnsi="Roboto"/>
                  <w:sz w:val="18"/>
                  <w:szCs w:val="18"/>
                </w:rPr>
                <w:id w:val="1310366786"/>
                <w14:checkbox>
                  <w14:checked w14:val="0"/>
                  <w14:checkedState w14:val="2612" w14:font="MS Gothic"/>
                  <w14:uncheckedState w14:val="2610" w14:font="MS Gothic"/>
                </w14:checkbox>
              </w:sdtPr>
              <w:sdtContent>
                <w:r w:rsidR="00B05D8D">
                  <w:rPr>
                    <w:rFonts w:ascii="MS Gothic" w:eastAsia="MS Gothic" w:hAnsi="MS Gothic" w:hint="eastAsia"/>
                    <w:sz w:val="18"/>
                    <w:szCs w:val="18"/>
                  </w:rPr>
                  <w:t>☐</w:t>
                </w:r>
              </w:sdtContent>
            </w:sdt>
            <w:r w:rsidR="00B05D8D" w:rsidRPr="00767563">
              <w:rPr>
                <w:rFonts w:ascii="Roboto" w:hAnsi="Roboto"/>
                <w:sz w:val="18"/>
                <w:szCs w:val="18"/>
              </w:rPr>
              <w:t xml:space="preserve"> Withdrawn</w:t>
            </w:r>
          </w:p>
        </w:tc>
      </w:tr>
      <w:tr w:rsidR="00B05D8D" w:rsidRPr="00AD06AE" w14:paraId="231DA266" w14:textId="77777777" w:rsidTr="00B05D8D">
        <w:trPr>
          <w:cantSplit/>
          <w:trHeight w:val="1440"/>
          <w:tblCellSpacing w:w="29" w:type="dxa"/>
        </w:trPr>
        <w:tc>
          <w:tcPr>
            <w:tcW w:w="1389" w:type="dxa"/>
          </w:tcPr>
          <w:p w14:paraId="21B7E4B0" w14:textId="77777777" w:rsidR="00B05D8D" w:rsidRDefault="00B05D8D" w:rsidP="00D00053">
            <w:pPr>
              <w:jc w:val="right"/>
              <w:rPr>
                <w:rFonts w:ascii="Roboto" w:hAnsi="Roboto"/>
                <w:sz w:val="18"/>
                <w:szCs w:val="18"/>
              </w:rPr>
            </w:pPr>
            <w:r>
              <w:rPr>
                <w:rFonts w:ascii="Roboto" w:hAnsi="Roboto"/>
                <w:sz w:val="18"/>
                <w:szCs w:val="18"/>
              </w:rPr>
              <w:t>Original Text</w:t>
            </w:r>
          </w:p>
        </w:tc>
        <w:tc>
          <w:tcPr>
            <w:tcW w:w="8086" w:type="dxa"/>
            <w:gridSpan w:val="2"/>
            <w:tcBorders>
              <w:top w:val="single" w:sz="4" w:space="0" w:color="auto"/>
              <w:left w:val="single" w:sz="4" w:space="0" w:color="auto"/>
              <w:bottom w:val="single" w:sz="4" w:space="0" w:color="auto"/>
              <w:right w:val="single" w:sz="4" w:space="0" w:color="auto"/>
            </w:tcBorders>
          </w:tcPr>
          <w:p w14:paraId="4125AE13" w14:textId="73B4974D" w:rsidR="00AA65AE" w:rsidRPr="00AA65AE" w:rsidRDefault="00AA65AE" w:rsidP="00AA65AE">
            <w:pPr>
              <w:rPr>
                <w:rFonts w:ascii="Roboto" w:eastAsia="MS Gothic" w:hAnsi="Roboto" w:cs="Times New Roman"/>
                <w:sz w:val="18"/>
                <w:szCs w:val="18"/>
              </w:rPr>
            </w:pPr>
            <w:r w:rsidRPr="00AA65AE">
              <w:rPr>
                <w:rFonts w:ascii="Roboto" w:eastAsia="MS Gothic" w:hAnsi="Roboto" w:cs="Times New Roman"/>
                <w:sz w:val="18"/>
                <w:szCs w:val="18"/>
              </w:rPr>
              <w:t>This requirement has pre and post deployment implications, where there are collisions in which the ADS is involved during the approval process (e.g. during confirmatory testing) there is expectation that a root cause analysis is done to assess the causes of such collision and an explanation provided. Where a collision happens post deployment it is covered by the ISMR process.</w:t>
            </w:r>
          </w:p>
          <w:p w14:paraId="5D93D6E8" w14:textId="77777777" w:rsidR="00AA65AE" w:rsidRPr="00AA65AE" w:rsidRDefault="00AA65AE" w:rsidP="00AA65AE">
            <w:pPr>
              <w:rPr>
                <w:rFonts w:ascii="Roboto" w:eastAsia="MS Gothic" w:hAnsi="Roboto" w:cs="Times New Roman"/>
                <w:sz w:val="18"/>
                <w:szCs w:val="18"/>
              </w:rPr>
            </w:pPr>
            <w:r w:rsidRPr="00AA65AE">
              <w:rPr>
                <w:rFonts w:ascii="Roboto" w:eastAsia="MS Gothic" w:hAnsi="Roboto" w:cs="Times New Roman"/>
                <w:sz w:val="18"/>
                <w:szCs w:val="18"/>
              </w:rPr>
              <w:t>Causation can be determined by:</w:t>
            </w:r>
          </w:p>
          <w:p w14:paraId="0BA8717A" w14:textId="6869B303" w:rsidR="00AA65AE" w:rsidRPr="00AA65AE" w:rsidRDefault="00AA65AE" w:rsidP="00AA65AE">
            <w:pPr>
              <w:pStyle w:val="ListParagraph"/>
              <w:numPr>
                <w:ilvl w:val="0"/>
                <w:numId w:val="14"/>
              </w:numPr>
              <w:rPr>
                <w:rFonts w:ascii="Roboto" w:eastAsia="MS Gothic" w:hAnsi="Roboto" w:cs="Times New Roman"/>
                <w:sz w:val="18"/>
                <w:szCs w:val="18"/>
              </w:rPr>
            </w:pPr>
            <w:r w:rsidRPr="00AA65AE">
              <w:rPr>
                <w:rFonts w:ascii="Roboto" w:eastAsia="MS Gothic" w:hAnsi="Roboto" w:cs="Times New Roman"/>
                <w:sz w:val="18"/>
                <w:szCs w:val="18"/>
              </w:rPr>
              <w:t>The manufacturer’s ISMR investigation,</w:t>
            </w:r>
          </w:p>
          <w:p w14:paraId="58161E13" w14:textId="7D1AB8F8" w:rsidR="00AA65AE" w:rsidRPr="00AA65AE" w:rsidRDefault="00AA65AE" w:rsidP="00AA65AE">
            <w:pPr>
              <w:pStyle w:val="ListParagraph"/>
              <w:numPr>
                <w:ilvl w:val="0"/>
                <w:numId w:val="14"/>
              </w:numPr>
              <w:rPr>
                <w:rFonts w:ascii="Roboto" w:eastAsia="MS Gothic" w:hAnsi="Roboto" w:cs="Times New Roman"/>
                <w:sz w:val="18"/>
                <w:szCs w:val="18"/>
              </w:rPr>
            </w:pPr>
            <w:r w:rsidRPr="00AA65AE">
              <w:rPr>
                <w:rFonts w:ascii="Roboto" w:eastAsia="MS Gothic" w:hAnsi="Roboto" w:cs="Times New Roman"/>
                <w:sz w:val="18"/>
                <w:szCs w:val="18"/>
              </w:rPr>
              <w:t xml:space="preserve">Authority investigation or, </w:t>
            </w:r>
          </w:p>
          <w:p w14:paraId="26CD0AA2" w14:textId="638CA70D" w:rsidR="00B05D8D" w:rsidRPr="00AA65AE" w:rsidRDefault="00AA65AE" w:rsidP="00AA65AE">
            <w:pPr>
              <w:pStyle w:val="ListParagraph"/>
              <w:numPr>
                <w:ilvl w:val="0"/>
                <w:numId w:val="14"/>
              </w:numPr>
              <w:rPr>
                <w:rFonts w:ascii="Roboto" w:eastAsia="MS Gothic" w:hAnsi="Roboto" w:cs="Times New Roman"/>
                <w:sz w:val="18"/>
                <w:szCs w:val="18"/>
              </w:rPr>
            </w:pPr>
            <w:r w:rsidRPr="00AA65AE">
              <w:rPr>
                <w:rFonts w:ascii="Roboto" w:eastAsia="MS Gothic" w:hAnsi="Roboto" w:cs="Times New Roman"/>
                <w:sz w:val="18"/>
                <w:szCs w:val="18"/>
              </w:rPr>
              <w:t>A court of law</w:t>
            </w:r>
          </w:p>
        </w:tc>
      </w:tr>
      <w:tr w:rsidR="00B05D8D" w:rsidRPr="00AD06AE" w14:paraId="7C4449A9" w14:textId="77777777" w:rsidTr="00B05D8D">
        <w:trPr>
          <w:cantSplit/>
          <w:trHeight w:val="1440"/>
          <w:tblCellSpacing w:w="29" w:type="dxa"/>
        </w:trPr>
        <w:tc>
          <w:tcPr>
            <w:tcW w:w="1389" w:type="dxa"/>
          </w:tcPr>
          <w:p w14:paraId="42EBE9B6" w14:textId="77777777" w:rsidR="00B05D8D" w:rsidRDefault="00B05D8D" w:rsidP="00D00053">
            <w:pPr>
              <w:jc w:val="right"/>
              <w:rPr>
                <w:rFonts w:ascii="Roboto" w:hAnsi="Roboto"/>
                <w:sz w:val="18"/>
                <w:szCs w:val="18"/>
              </w:rPr>
            </w:pPr>
            <w:r>
              <w:rPr>
                <w:rFonts w:ascii="Roboto" w:hAnsi="Roboto"/>
                <w:sz w:val="18"/>
                <w:szCs w:val="18"/>
              </w:rPr>
              <w:t>Revised Text</w:t>
            </w:r>
          </w:p>
        </w:tc>
        <w:tc>
          <w:tcPr>
            <w:tcW w:w="8086" w:type="dxa"/>
            <w:gridSpan w:val="2"/>
            <w:tcBorders>
              <w:top w:val="single" w:sz="4" w:space="0" w:color="auto"/>
              <w:left w:val="single" w:sz="4" w:space="0" w:color="auto"/>
              <w:bottom w:val="single" w:sz="4" w:space="0" w:color="auto"/>
              <w:right w:val="single" w:sz="4" w:space="0" w:color="auto"/>
            </w:tcBorders>
          </w:tcPr>
          <w:p w14:paraId="280B4394" w14:textId="77777777" w:rsidR="00B05D8D" w:rsidRDefault="00AA65AE" w:rsidP="00B05D8D">
            <w:pPr>
              <w:rPr>
                <w:rFonts w:ascii="Roboto" w:eastAsia="MS Gothic" w:hAnsi="Roboto" w:cs="Times New Roman"/>
                <w:b/>
                <w:bCs/>
                <w:sz w:val="18"/>
                <w:szCs w:val="18"/>
              </w:rPr>
            </w:pPr>
            <w:r w:rsidRPr="00AA65AE">
              <w:rPr>
                <w:rFonts w:ascii="Roboto" w:eastAsia="MS Gothic" w:hAnsi="Roboto" w:cs="Times New Roman"/>
                <w:sz w:val="18"/>
                <w:szCs w:val="18"/>
              </w:rPr>
              <w:t>This requirement has pre and post deployment implications</w:t>
            </w:r>
            <w:r>
              <w:rPr>
                <w:rFonts w:ascii="Roboto" w:eastAsia="MS Gothic" w:hAnsi="Roboto" w:cs="Times New Roman"/>
                <w:sz w:val="18"/>
                <w:szCs w:val="18"/>
              </w:rPr>
              <w:t xml:space="preserve">. </w:t>
            </w:r>
            <w:r>
              <w:rPr>
                <w:rFonts w:ascii="Roboto" w:eastAsia="MS Gothic" w:hAnsi="Roboto" w:cs="Times New Roman"/>
                <w:b/>
                <w:bCs/>
                <w:sz w:val="18"/>
                <w:szCs w:val="18"/>
              </w:rPr>
              <w:t>Where</w:t>
            </w:r>
            <w:r>
              <w:rPr>
                <w:rFonts w:ascii="Roboto" w:eastAsia="MS Gothic" w:hAnsi="Roboto" w:cs="Times New Roman"/>
                <w:sz w:val="18"/>
                <w:szCs w:val="18"/>
              </w:rPr>
              <w:t xml:space="preserve"> there</w:t>
            </w:r>
            <w:r w:rsidR="004801EA">
              <w:rPr>
                <w:rFonts w:ascii="Roboto" w:eastAsia="MS Gothic" w:hAnsi="Roboto" w:cs="Times New Roman"/>
                <w:sz w:val="18"/>
                <w:szCs w:val="18"/>
              </w:rPr>
              <w:t xml:space="preserve"> </w:t>
            </w:r>
            <w:r w:rsidR="004801EA" w:rsidRPr="004801EA">
              <w:rPr>
                <w:rFonts w:ascii="Roboto" w:eastAsia="MS Gothic" w:hAnsi="Roboto" w:cs="Times New Roman"/>
                <w:sz w:val="18"/>
                <w:szCs w:val="18"/>
              </w:rPr>
              <w:t>are collisions in which the ADS is involved during the approval process (e.g.</w:t>
            </w:r>
            <w:r w:rsidR="004801EA">
              <w:rPr>
                <w:rFonts w:ascii="Roboto" w:eastAsia="MS Gothic" w:hAnsi="Roboto" w:cs="Times New Roman"/>
                <w:sz w:val="18"/>
                <w:szCs w:val="18"/>
              </w:rPr>
              <w:t>,</w:t>
            </w:r>
            <w:r w:rsidR="004801EA" w:rsidRPr="004801EA">
              <w:rPr>
                <w:rFonts w:ascii="Roboto" w:eastAsia="MS Gothic" w:hAnsi="Roboto" w:cs="Times New Roman"/>
                <w:sz w:val="18"/>
                <w:szCs w:val="18"/>
              </w:rPr>
              <w:t xml:space="preserve"> during </w:t>
            </w:r>
            <w:r w:rsidR="004801EA" w:rsidRPr="004801EA">
              <w:rPr>
                <w:rFonts w:ascii="Roboto" w:eastAsia="MS Gothic" w:hAnsi="Roboto" w:cs="Times New Roman"/>
                <w:b/>
                <w:bCs/>
                <w:sz w:val="18"/>
                <w:szCs w:val="18"/>
              </w:rPr>
              <w:t>the manufacturer’s on-road testing or</w:t>
            </w:r>
            <w:r w:rsidR="004801EA">
              <w:rPr>
                <w:rFonts w:ascii="Roboto" w:eastAsia="MS Gothic" w:hAnsi="Roboto" w:cs="Times New Roman"/>
                <w:b/>
                <w:bCs/>
                <w:sz w:val="18"/>
                <w:szCs w:val="18"/>
              </w:rPr>
              <w:t xml:space="preserve"> </w:t>
            </w:r>
            <w:r w:rsidR="004801EA" w:rsidRPr="004801EA">
              <w:rPr>
                <w:rFonts w:ascii="Roboto" w:eastAsia="MS Gothic" w:hAnsi="Roboto" w:cs="Times New Roman"/>
                <w:sz w:val="18"/>
                <w:szCs w:val="18"/>
              </w:rPr>
              <w:t>confirmatory testing) there is expectation that a root cause analysis is done to assess the causes of such collision and an explanation provided.</w:t>
            </w:r>
            <w:r w:rsidR="004801EA">
              <w:rPr>
                <w:rFonts w:ascii="Roboto" w:eastAsia="MS Gothic" w:hAnsi="Roboto" w:cs="Times New Roman"/>
                <w:sz w:val="18"/>
                <w:szCs w:val="18"/>
              </w:rPr>
              <w:t xml:space="preserve"> </w:t>
            </w:r>
            <w:r w:rsidR="004801EA">
              <w:t xml:space="preserve"> </w:t>
            </w:r>
            <w:r w:rsidR="004801EA" w:rsidRPr="004801EA">
              <w:rPr>
                <w:rFonts w:ascii="Roboto" w:eastAsia="MS Gothic" w:hAnsi="Roboto" w:cs="Times New Roman"/>
                <w:b/>
                <w:bCs/>
                <w:sz w:val="18"/>
                <w:szCs w:val="18"/>
              </w:rPr>
              <w:t>Where the ADS is determined to have played a role in causation, the manufacturer will provide evidence of how the related causal factors have been addressed in the final ADS prior to approval.</w:t>
            </w:r>
          </w:p>
          <w:p w14:paraId="67B7B7AB" w14:textId="77777777" w:rsidR="004801EA" w:rsidRDefault="004801EA" w:rsidP="00B05D8D">
            <w:pPr>
              <w:rPr>
                <w:rFonts w:ascii="Roboto" w:eastAsia="MS Gothic" w:hAnsi="Roboto" w:cs="Times New Roman"/>
                <w:sz w:val="18"/>
                <w:szCs w:val="18"/>
              </w:rPr>
            </w:pPr>
          </w:p>
          <w:p w14:paraId="6F71CFF8" w14:textId="73711D12" w:rsidR="004801EA" w:rsidRPr="004801EA" w:rsidRDefault="004801EA" w:rsidP="00B05D8D">
            <w:pPr>
              <w:rPr>
                <w:rFonts w:ascii="Roboto" w:eastAsia="MS Gothic" w:hAnsi="Roboto" w:cs="Times New Roman"/>
                <w:sz w:val="18"/>
                <w:szCs w:val="18"/>
              </w:rPr>
            </w:pPr>
            <w:r w:rsidRPr="004801EA">
              <w:rPr>
                <w:rFonts w:ascii="Roboto" w:eastAsia="MS Gothic" w:hAnsi="Roboto" w:cs="Times New Roman"/>
                <w:sz w:val="18"/>
                <w:szCs w:val="18"/>
              </w:rPr>
              <w:t xml:space="preserve">Where a collision happens post deployment it is covered by the ISMR </w:t>
            </w:r>
            <w:r w:rsidRPr="004801EA">
              <w:rPr>
                <w:rFonts w:ascii="Roboto" w:eastAsia="MS Gothic" w:hAnsi="Roboto" w:cs="Times New Roman"/>
                <w:b/>
                <w:bCs/>
                <w:sz w:val="18"/>
                <w:szCs w:val="18"/>
              </w:rPr>
              <w:t>process</w:t>
            </w:r>
            <w:r w:rsidRPr="004801EA">
              <w:rPr>
                <w:rFonts w:ascii="Roboto" w:eastAsia="MS Gothic" w:hAnsi="Roboto" w:cs="Times New Roman"/>
                <w:b/>
                <w:bCs/>
                <w:sz w:val="18"/>
                <w:szCs w:val="18"/>
              </w:rPr>
              <w:t xml:space="preserve"> </w:t>
            </w:r>
            <w:r w:rsidRPr="004801EA">
              <w:rPr>
                <w:rFonts w:ascii="Roboto" w:eastAsia="MS Gothic" w:hAnsi="Roboto" w:cs="Times New Roman"/>
                <w:b/>
                <w:bCs/>
                <w:sz w:val="18"/>
                <w:szCs w:val="18"/>
              </w:rPr>
              <w:t>as implemented within national law of the country in which the collision occurred concerning how to define relevant collisions; how and by whom causation is determined; and the consequences of post-deployment crashes in which the ADS played a causal role</w:t>
            </w:r>
            <w:r>
              <w:rPr>
                <w:rFonts w:ascii="Roboto" w:eastAsia="MS Gothic" w:hAnsi="Roboto" w:cs="Times New Roman"/>
                <w:b/>
                <w:bCs/>
                <w:sz w:val="18"/>
                <w:szCs w:val="18"/>
              </w:rPr>
              <w:t>.</w:t>
            </w:r>
          </w:p>
        </w:tc>
      </w:tr>
      <w:tr w:rsidR="00B05D8D" w:rsidRPr="00AD06AE" w14:paraId="3039A2B9" w14:textId="77777777" w:rsidTr="00B05D8D">
        <w:trPr>
          <w:cantSplit/>
          <w:trHeight w:val="1440"/>
          <w:tblCellSpacing w:w="29" w:type="dxa"/>
        </w:trPr>
        <w:tc>
          <w:tcPr>
            <w:tcW w:w="1389" w:type="dxa"/>
          </w:tcPr>
          <w:p w14:paraId="62CAE03D" w14:textId="77777777" w:rsidR="00B05D8D" w:rsidRDefault="00B05D8D" w:rsidP="00D00053">
            <w:pPr>
              <w:jc w:val="right"/>
              <w:rPr>
                <w:rFonts w:ascii="Roboto" w:hAnsi="Roboto"/>
                <w:sz w:val="18"/>
                <w:szCs w:val="18"/>
              </w:rPr>
            </w:pPr>
            <w:r>
              <w:rPr>
                <w:rFonts w:ascii="Roboto" w:hAnsi="Roboto"/>
                <w:sz w:val="18"/>
                <w:szCs w:val="18"/>
              </w:rPr>
              <w:t>Rationale</w:t>
            </w:r>
          </w:p>
        </w:tc>
        <w:tc>
          <w:tcPr>
            <w:tcW w:w="8086" w:type="dxa"/>
            <w:gridSpan w:val="2"/>
            <w:tcBorders>
              <w:top w:val="single" w:sz="4" w:space="0" w:color="auto"/>
              <w:left w:val="single" w:sz="4" w:space="0" w:color="auto"/>
              <w:bottom w:val="single" w:sz="4" w:space="0" w:color="auto"/>
              <w:right w:val="single" w:sz="4" w:space="0" w:color="auto"/>
            </w:tcBorders>
          </w:tcPr>
          <w:p w14:paraId="1C096A24" w14:textId="5F77E17A" w:rsidR="00B05D8D" w:rsidRPr="00CD6273" w:rsidRDefault="004801EA" w:rsidP="00B05D8D">
            <w:pPr>
              <w:rPr>
                <w:rFonts w:ascii="Roboto" w:eastAsia="MS Gothic" w:hAnsi="Roboto" w:cs="Times New Roman"/>
                <w:sz w:val="18"/>
                <w:szCs w:val="18"/>
              </w:rPr>
            </w:pPr>
            <w:r w:rsidRPr="004801EA">
              <w:rPr>
                <w:rFonts w:ascii="Roboto" w:eastAsia="MS Gothic" w:hAnsi="Roboto" w:cs="Times New Roman"/>
                <w:sz w:val="18"/>
                <w:szCs w:val="18"/>
              </w:rPr>
              <w:t>As the interpretation notes, the consequences of the ADS having played a causal role in a collision differ greatly depending on whether the collision occurs before or after type approval. If prior to type approval, the manufacturer would explain how it has addressed the matter to the approval authority and resolve any concerns so that the approval process can proceed.  If the collision occurs during deployment, the national authority, pursuant to national law, will determine how causation is established and what consequences, if any, a conclusion of causation may entail. This is consistent with how the regulation addresses traffic law compliance: “6.1.2.6.</w:t>
            </w:r>
            <w:r>
              <w:rPr>
                <w:rFonts w:ascii="Roboto" w:eastAsia="MS Gothic" w:hAnsi="Roboto" w:cs="Times New Roman"/>
                <w:sz w:val="18"/>
                <w:szCs w:val="18"/>
              </w:rPr>
              <w:t xml:space="preserve"> </w:t>
            </w:r>
            <w:proofErr w:type="gramStart"/>
            <w:r w:rsidRPr="004801EA">
              <w:rPr>
                <w:rFonts w:ascii="Roboto" w:eastAsia="MS Gothic" w:hAnsi="Roboto" w:cs="Times New Roman"/>
                <w:sz w:val="18"/>
                <w:szCs w:val="18"/>
              </w:rPr>
              <w:t>The</w:t>
            </w:r>
            <w:proofErr w:type="gramEnd"/>
            <w:r w:rsidRPr="004801EA">
              <w:rPr>
                <w:rFonts w:ascii="Roboto" w:eastAsia="MS Gothic" w:hAnsi="Roboto" w:cs="Times New Roman"/>
                <w:sz w:val="18"/>
                <w:szCs w:val="18"/>
              </w:rPr>
              <w:t xml:space="preserve"> ADS shall comply with traffic rules in accordance with application of relevant law within the area of operation.”</w:t>
            </w:r>
          </w:p>
        </w:tc>
      </w:tr>
      <w:tr w:rsidR="00B05D8D" w:rsidRPr="00AD06AE" w14:paraId="3A94567A" w14:textId="77777777" w:rsidTr="00B05D8D">
        <w:trPr>
          <w:cantSplit/>
          <w:trHeight w:val="1440"/>
          <w:tblCellSpacing w:w="29" w:type="dxa"/>
        </w:trPr>
        <w:tc>
          <w:tcPr>
            <w:tcW w:w="1389" w:type="dxa"/>
          </w:tcPr>
          <w:p w14:paraId="2E245D2A" w14:textId="77777777" w:rsidR="00B05D8D" w:rsidRDefault="00B05D8D" w:rsidP="00D00053">
            <w:pPr>
              <w:jc w:val="right"/>
              <w:rPr>
                <w:rFonts w:ascii="Roboto" w:hAnsi="Roboto"/>
                <w:sz w:val="18"/>
                <w:szCs w:val="18"/>
              </w:rPr>
            </w:pPr>
            <w:r>
              <w:rPr>
                <w:rFonts w:ascii="Roboto" w:hAnsi="Roboto"/>
                <w:sz w:val="18"/>
                <w:szCs w:val="18"/>
              </w:rPr>
              <w:lastRenderedPageBreak/>
              <w:t>Discussion</w:t>
            </w:r>
          </w:p>
        </w:tc>
        <w:tc>
          <w:tcPr>
            <w:tcW w:w="8086" w:type="dxa"/>
            <w:gridSpan w:val="2"/>
            <w:tcBorders>
              <w:top w:val="single" w:sz="4" w:space="0" w:color="auto"/>
              <w:left w:val="single" w:sz="4" w:space="0" w:color="auto"/>
              <w:bottom w:val="single" w:sz="4" w:space="0" w:color="auto"/>
              <w:right w:val="single" w:sz="4" w:space="0" w:color="auto"/>
            </w:tcBorders>
          </w:tcPr>
          <w:p w14:paraId="5CCF646C" w14:textId="506A2095" w:rsidR="004801EA" w:rsidRPr="004801EA" w:rsidRDefault="004801EA" w:rsidP="004801EA">
            <w:pPr>
              <w:rPr>
                <w:rFonts w:ascii="Roboto" w:eastAsia="MS Gothic" w:hAnsi="Roboto" w:cs="Times New Roman"/>
                <w:sz w:val="18"/>
                <w:szCs w:val="18"/>
              </w:rPr>
            </w:pPr>
            <w:r w:rsidRPr="004801EA">
              <w:rPr>
                <w:rFonts w:ascii="Roboto" w:eastAsia="MS Gothic" w:hAnsi="Roboto" w:cs="Times New Roman"/>
                <w:sz w:val="18"/>
                <w:szCs w:val="18"/>
              </w:rPr>
              <w:t>UK: Two parts-pre-deployment provision fine. ISMR has more complexity. Reports to granting TAA</w:t>
            </w:r>
            <w:r>
              <w:rPr>
                <w:rFonts w:ascii="Roboto" w:eastAsia="MS Gothic" w:hAnsi="Roboto" w:cs="Times New Roman"/>
                <w:sz w:val="18"/>
                <w:szCs w:val="18"/>
              </w:rPr>
              <w:t xml:space="preserve"> </w:t>
            </w:r>
            <w:r w:rsidRPr="004801EA">
              <w:rPr>
                <w:rFonts w:ascii="Roboto" w:eastAsia="MS Gothic" w:hAnsi="Roboto" w:cs="Times New Roman"/>
                <w:sz w:val="18"/>
                <w:szCs w:val="18"/>
              </w:rPr>
              <w:t>which might not be incident in the country of TAA. Suggested text: “as implemented within national law” change to “taking into account applicable law”</w:t>
            </w:r>
          </w:p>
          <w:p w14:paraId="4416D273" w14:textId="1B4C6A43" w:rsidR="00B05D8D" w:rsidRPr="00CD6273" w:rsidRDefault="004801EA" w:rsidP="004801EA">
            <w:pPr>
              <w:rPr>
                <w:rFonts w:ascii="Roboto" w:eastAsia="MS Gothic" w:hAnsi="Roboto" w:cs="Times New Roman"/>
                <w:sz w:val="18"/>
                <w:szCs w:val="18"/>
              </w:rPr>
            </w:pPr>
            <w:r w:rsidRPr="004801EA">
              <w:rPr>
                <w:rFonts w:ascii="Roboto" w:eastAsia="MS Gothic" w:hAnsi="Roboto" w:cs="Times New Roman"/>
                <w:sz w:val="18"/>
                <w:szCs w:val="18"/>
              </w:rPr>
              <w:t>EC: Similar to UK: Revise second sentence to say "real-world" (not "</w:t>
            </w:r>
            <w:proofErr w:type="gramStart"/>
            <w:r w:rsidRPr="004801EA">
              <w:rPr>
                <w:rFonts w:ascii="Roboto" w:eastAsia="MS Gothic" w:hAnsi="Roboto" w:cs="Times New Roman"/>
                <w:sz w:val="18"/>
                <w:szCs w:val="18"/>
              </w:rPr>
              <w:t>on-road</w:t>
            </w:r>
            <w:proofErr w:type="gramEnd"/>
            <w:r w:rsidRPr="004801EA">
              <w:rPr>
                <w:rFonts w:ascii="Roboto" w:eastAsia="MS Gothic" w:hAnsi="Roboto" w:cs="Times New Roman"/>
                <w:sz w:val="18"/>
                <w:szCs w:val="18"/>
              </w:rPr>
              <w:t>") testing; ISMR provision too explicit/restrictive.</w:t>
            </w:r>
          </w:p>
        </w:tc>
      </w:tr>
      <w:tr w:rsidR="004801EA" w:rsidRPr="00AD06AE" w14:paraId="092B87F7" w14:textId="77777777" w:rsidTr="004801EA">
        <w:trPr>
          <w:cantSplit/>
          <w:trHeight w:val="1440"/>
          <w:tblCellSpacing w:w="29" w:type="dxa"/>
        </w:trPr>
        <w:tc>
          <w:tcPr>
            <w:tcW w:w="1389" w:type="dxa"/>
          </w:tcPr>
          <w:p w14:paraId="31FBC6D8" w14:textId="77777777" w:rsidR="004801EA" w:rsidRDefault="004801EA" w:rsidP="00D00053">
            <w:pPr>
              <w:jc w:val="right"/>
              <w:rPr>
                <w:rFonts w:ascii="Roboto" w:hAnsi="Roboto"/>
                <w:sz w:val="18"/>
                <w:szCs w:val="18"/>
              </w:rPr>
            </w:pPr>
          </w:p>
        </w:tc>
        <w:tc>
          <w:tcPr>
            <w:tcW w:w="8086" w:type="dxa"/>
            <w:gridSpan w:val="2"/>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4F800B8D" w14:textId="77777777" w:rsidR="004801EA" w:rsidRPr="004801EA" w:rsidRDefault="004801EA" w:rsidP="004801EA">
            <w:pPr>
              <w:rPr>
                <w:rFonts w:ascii="Roboto" w:eastAsia="MS Gothic" w:hAnsi="Roboto" w:cs="Times New Roman"/>
                <w:sz w:val="18"/>
                <w:szCs w:val="18"/>
              </w:rPr>
            </w:pPr>
            <w:r w:rsidRPr="004801EA">
              <w:rPr>
                <w:rFonts w:ascii="Roboto" w:eastAsia="MS Gothic" w:hAnsi="Roboto" w:cs="Times New Roman"/>
                <w:sz w:val="18"/>
                <w:szCs w:val="18"/>
              </w:rPr>
              <w:t>Collision here is intended to match recognized international use (i.e., involving an ORU or resulting in non-trivial physical damage).</w:t>
            </w:r>
          </w:p>
          <w:p w14:paraId="7E47F14B" w14:textId="77777777" w:rsidR="004801EA" w:rsidRPr="004801EA" w:rsidRDefault="004801EA" w:rsidP="004801EA">
            <w:pPr>
              <w:rPr>
                <w:rFonts w:ascii="Roboto" w:eastAsia="MS Gothic" w:hAnsi="Roboto" w:cs="Times New Roman"/>
                <w:sz w:val="18"/>
                <w:szCs w:val="18"/>
              </w:rPr>
            </w:pPr>
          </w:p>
          <w:p w14:paraId="2900B89E" w14:textId="77777777" w:rsidR="004801EA" w:rsidRPr="004801EA" w:rsidRDefault="004801EA" w:rsidP="004801EA">
            <w:pPr>
              <w:rPr>
                <w:rFonts w:ascii="Roboto" w:eastAsia="MS Gothic" w:hAnsi="Roboto" w:cs="Times New Roman"/>
                <w:sz w:val="18"/>
                <w:szCs w:val="18"/>
              </w:rPr>
            </w:pPr>
            <w:r w:rsidRPr="004801EA">
              <w:rPr>
                <w:rFonts w:ascii="Roboto" w:eastAsia="MS Gothic" w:hAnsi="Roboto" w:cs="Times New Roman"/>
                <w:sz w:val="18"/>
                <w:szCs w:val="18"/>
              </w:rPr>
              <w:t xml:space="preserve">This requirement has pre- and post-deployment implications. Where there are collisions in which the ADS is involved during the approval process (e.g., during the manufacturer’s real-world testing or confirmatory testing), there is expectation that a root cause analysis is done to assess the causes of such collision and an explanation provided. Where the ADS is determined to have played a role in causation, the manufacturer will provide evidence of how the related causal factors have been addressed in the final ADS prior to approval. </w:t>
            </w:r>
          </w:p>
          <w:p w14:paraId="1BB74E4E" w14:textId="77777777" w:rsidR="004801EA" w:rsidRPr="004801EA" w:rsidRDefault="004801EA" w:rsidP="004801EA">
            <w:pPr>
              <w:rPr>
                <w:rFonts w:ascii="Roboto" w:eastAsia="MS Gothic" w:hAnsi="Roboto" w:cs="Times New Roman"/>
                <w:sz w:val="18"/>
                <w:szCs w:val="18"/>
              </w:rPr>
            </w:pPr>
          </w:p>
          <w:p w14:paraId="23081C1F" w14:textId="11EE235A" w:rsidR="004801EA" w:rsidRPr="00CD6273" w:rsidRDefault="004801EA" w:rsidP="004801EA">
            <w:pPr>
              <w:rPr>
                <w:rFonts w:ascii="Roboto" w:eastAsia="MS Gothic" w:hAnsi="Roboto" w:cs="Times New Roman"/>
                <w:sz w:val="18"/>
                <w:szCs w:val="18"/>
              </w:rPr>
            </w:pPr>
            <w:r w:rsidRPr="004801EA">
              <w:rPr>
                <w:rFonts w:ascii="Roboto" w:eastAsia="MS Gothic" w:hAnsi="Roboto" w:cs="Times New Roman"/>
                <w:sz w:val="18"/>
                <w:szCs w:val="18"/>
              </w:rPr>
              <w:t>Where a collision happens post-deployment, it is covered by the ISMR process taking into account the applicable law of the country in which the collision occurred concerning how to define relevant collisions</w:t>
            </w:r>
            <w:r>
              <w:rPr>
                <w:rFonts w:ascii="Roboto" w:eastAsia="MS Gothic" w:hAnsi="Roboto" w:cs="Times New Roman"/>
                <w:sz w:val="18"/>
                <w:szCs w:val="18"/>
              </w:rPr>
              <w:t xml:space="preserve">, </w:t>
            </w:r>
            <w:r w:rsidRPr="004801EA">
              <w:rPr>
                <w:rFonts w:ascii="Roboto" w:eastAsia="MS Gothic" w:hAnsi="Roboto" w:cs="Times New Roman"/>
                <w:sz w:val="18"/>
                <w:szCs w:val="18"/>
              </w:rPr>
              <w:t>how and by whom causation is determined</w:t>
            </w:r>
            <w:r>
              <w:rPr>
                <w:rFonts w:ascii="Roboto" w:eastAsia="MS Gothic" w:hAnsi="Roboto" w:cs="Times New Roman"/>
                <w:sz w:val="18"/>
                <w:szCs w:val="18"/>
              </w:rPr>
              <w:t>,</w:t>
            </w:r>
            <w:r w:rsidRPr="004801EA">
              <w:rPr>
                <w:rFonts w:ascii="Roboto" w:eastAsia="MS Gothic" w:hAnsi="Roboto" w:cs="Times New Roman"/>
                <w:sz w:val="18"/>
                <w:szCs w:val="18"/>
              </w:rPr>
              <w:t xml:space="preserve"> and the consequences of post-deployment crashes in which the ADS played a causal role.</w:t>
            </w:r>
          </w:p>
        </w:tc>
      </w:tr>
    </w:tbl>
    <w:p w14:paraId="67C651D9" w14:textId="77777777" w:rsidR="002463C1" w:rsidRDefault="002463C1"/>
    <w:sectPr w:rsidR="002463C1">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418B3A" w14:textId="77777777" w:rsidR="00164E4E" w:rsidRDefault="00164E4E" w:rsidP="00A67EDF">
      <w:pPr>
        <w:spacing w:after="0" w:line="240" w:lineRule="auto"/>
      </w:pPr>
      <w:r>
        <w:separator/>
      </w:r>
    </w:p>
  </w:endnote>
  <w:endnote w:type="continuationSeparator" w:id="0">
    <w:p w14:paraId="75F34B12" w14:textId="77777777" w:rsidR="00164E4E" w:rsidRDefault="00164E4E" w:rsidP="00A67E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Calibri"/>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Aptos">
    <w:altName w:val="Calibri"/>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388F2F" w14:textId="77777777" w:rsidR="00164E4E" w:rsidRDefault="00164E4E" w:rsidP="00A67EDF">
      <w:pPr>
        <w:spacing w:after="0" w:line="240" w:lineRule="auto"/>
      </w:pPr>
      <w:r>
        <w:separator/>
      </w:r>
    </w:p>
  </w:footnote>
  <w:footnote w:type="continuationSeparator" w:id="0">
    <w:p w14:paraId="1E06B729" w14:textId="77777777" w:rsidR="00164E4E" w:rsidRDefault="00164E4E" w:rsidP="00A67E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4DE6CA8A"/>
    <w:lvl w:ilvl="0">
      <w:start w:val="1"/>
      <w:numFmt w:val="decimal"/>
      <w:pStyle w:val="ListParagraph"/>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000002"/>
    <w:multiLevelType w:val="hybridMultilevel"/>
    <w:tmpl w:val="68281FBC"/>
    <w:lvl w:ilvl="0" w:tplc="EA184D86">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0000003"/>
    <w:multiLevelType w:val="hybridMultilevel"/>
    <w:tmpl w:val="C4A69B1C"/>
    <w:lvl w:ilvl="0" w:tplc="1CE0252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0000004"/>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0000005"/>
    <w:multiLevelType w:val="hybridMultilevel"/>
    <w:tmpl w:val="D5885E76"/>
    <w:lvl w:ilvl="0" w:tplc="7256D2DC">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00000006"/>
    <w:multiLevelType w:val="hybridMultilevel"/>
    <w:tmpl w:val="CC14B9FE"/>
    <w:lvl w:ilvl="0" w:tplc="7294FF60">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0000007"/>
    <w:multiLevelType w:val="hybridMultilevel"/>
    <w:tmpl w:val="12CC736E"/>
    <w:lvl w:ilvl="0" w:tplc="65C0D32E">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00000008"/>
    <w:multiLevelType w:val="hybridMultilevel"/>
    <w:tmpl w:val="4E0120E4"/>
    <w:lvl w:ilvl="0" w:tplc="0409000F">
      <w:start w:val="5"/>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469B626A"/>
    <w:multiLevelType w:val="hybridMultilevel"/>
    <w:tmpl w:val="6D9A4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2B15F6"/>
    <w:multiLevelType w:val="hybridMultilevel"/>
    <w:tmpl w:val="67EAEAB0"/>
    <w:lvl w:ilvl="0" w:tplc="64DCC176">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815487507">
    <w:abstractNumId w:val="3"/>
  </w:num>
  <w:num w:numId="2" w16cid:durableId="1666470740">
    <w:abstractNumId w:val="0"/>
  </w:num>
  <w:num w:numId="3" w16cid:durableId="1344940863">
    <w:abstractNumId w:val="0"/>
  </w:num>
  <w:num w:numId="4" w16cid:durableId="724371886">
    <w:abstractNumId w:val="0"/>
  </w:num>
  <w:num w:numId="5" w16cid:durableId="2103061494">
    <w:abstractNumId w:val="0"/>
  </w:num>
  <w:num w:numId="6" w16cid:durableId="777259817">
    <w:abstractNumId w:val="5"/>
  </w:num>
  <w:num w:numId="7" w16cid:durableId="729379975">
    <w:abstractNumId w:val="6"/>
  </w:num>
  <w:num w:numId="8" w16cid:durableId="1855218732">
    <w:abstractNumId w:val="1"/>
  </w:num>
  <w:num w:numId="9" w16cid:durableId="931814122">
    <w:abstractNumId w:val="4"/>
  </w:num>
  <w:num w:numId="10" w16cid:durableId="306011917">
    <w:abstractNumId w:val="2"/>
  </w:num>
  <w:num w:numId="11" w16cid:durableId="1770737188">
    <w:abstractNumId w:val="9"/>
  </w:num>
  <w:num w:numId="12" w16cid:durableId="1505902794">
    <w:abstractNumId w:val="7"/>
  </w:num>
  <w:num w:numId="13" w16cid:durableId="528957045">
    <w:abstractNumId w:val="7"/>
  </w:num>
  <w:num w:numId="14" w16cid:durableId="5368225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65AE"/>
    <w:rsid w:val="000B31EF"/>
    <w:rsid w:val="00164E4E"/>
    <w:rsid w:val="001B7F38"/>
    <w:rsid w:val="0024627C"/>
    <w:rsid w:val="002463C1"/>
    <w:rsid w:val="002954FA"/>
    <w:rsid w:val="0034268E"/>
    <w:rsid w:val="00350FBB"/>
    <w:rsid w:val="00386D44"/>
    <w:rsid w:val="00387534"/>
    <w:rsid w:val="00393C2E"/>
    <w:rsid w:val="003A0B1F"/>
    <w:rsid w:val="003A10A5"/>
    <w:rsid w:val="003C4A5A"/>
    <w:rsid w:val="003C586B"/>
    <w:rsid w:val="00415C07"/>
    <w:rsid w:val="0044520A"/>
    <w:rsid w:val="004545CA"/>
    <w:rsid w:val="004801EA"/>
    <w:rsid w:val="00493E34"/>
    <w:rsid w:val="004A2E6B"/>
    <w:rsid w:val="005327C4"/>
    <w:rsid w:val="00532F20"/>
    <w:rsid w:val="005550AD"/>
    <w:rsid w:val="005B39C6"/>
    <w:rsid w:val="005E1E16"/>
    <w:rsid w:val="006B0D0F"/>
    <w:rsid w:val="00741AD5"/>
    <w:rsid w:val="00767563"/>
    <w:rsid w:val="00780FBE"/>
    <w:rsid w:val="007B523A"/>
    <w:rsid w:val="00802AD4"/>
    <w:rsid w:val="00821C85"/>
    <w:rsid w:val="008D4878"/>
    <w:rsid w:val="009574AD"/>
    <w:rsid w:val="00A02213"/>
    <w:rsid w:val="00A158EC"/>
    <w:rsid w:val="00A43B3E"/>
    <w:rsid w:val="00A62019"/>
    <w:rsid w:val="00A67EDF"/>
    <w:rsid w:val="00A91D45"/>
    <w:rsid w:val="00A94941"/>
    <w:rsid w:val="00AA65AE"/>
    <w:rsid w:val="00AD06AE"/>
    <w:rsid w:val="00AF2C8B"/>
    <w:rsid w:val="00AF4C07"/>
    <w:rsid w:val="00B05D8D"/>
    <w:rsid w:val="00B16032"/>
    <w:rsid w:val="00BA3CF2"/>
    <w:rsid w:val="00BE47C0"/>
    <w:rsid w:val="00C113A7"/>
    <w:rsid w:val="00CA0252"/>
    <w:rsid w:val="00CD36CD"/>
    <w:rsid w:val="00CD6273"/>
    <w:rsid w:val="00D00053"/>
    <w:rsid w:val="00D8555C"/>
    <w:rsid w:val="00D874AF"/>
    <w:rsid w:val="00D95959"/>
    <w:rsid w:val="00DC101C"/>
    <w:rsid w:val="00DD1926"/>
    <w:rsid w:val="00DF663A"/>
    <w:rsid w:val="00E024B7"/>
    <w:rsid w:val="00EA304F"/>
    <w:rsid w:val="00EE4520"/>
    <w:rsid w:val="00F503A7"/>
    <w:rsid w:val="00FB69EB"/>
    <w:rsid w:val="00FC1B62"/>
    <w:rsid w:val="00FE6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148670"/>
  <w15:docId w15:val="{D38EFB83-763A-4674-9D6C-74A427198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ngXian" w:hAnsi="Times New Roman" w:cs="SimSun"/>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80"/>
      <w:outlineLvl w:val="0"/>
    </w:pPr>
    <w:rPr>
      <w:rFonts w:ascii="Aptos Display" w:eastAsia="DengXian Light" w:hAnsi="Aptos Display"/>
      <w:color w:val="0F4761"/>
      <w:sz w:val="40"/>
      <w:szCs w:val="40"/>
    </w:rPr>
  </w:style>
  <w:style w:type="paragraph" w:styleId="Heading2">
    <w:name w:val="heading 2"/>
    <w:basedOn w:val="Normal"/>
    <w:next w:val="Normal"/>
    <w:link w:val="Heading2Char"/>
    <w:uiPriority w:val="9"/>
    <w:qFormat/>
    <w:pPr>
      <w:keepNext/>
      <w:keepLines/>
      <w:spacing w:before="160" w:after="80"/>
      <w:outlineLvl w:val="1"/>
    </w:pPr>
    <w:rPr>
      <w:rFonts w:ascii="Aptos Display" w:eastAsia="DengXian Light" w:hAnsi="Aptos Display"/>
      <w:color w:val="0F4761"/>
      <w:sz w:val="32"/>
      <w:szCs w:val="32"/>
    </w:rPr>
  </w:style>
  <w:style w:type="paragraph" w:styleId="Heading3">
    <w:name w:val="heading 3"/>
    <w:basedOn w:val="Normal"/>
    <w:next w:val="Normal"/>
    <w:link w:val="Heading3Char"/>
    <w:uiPriority w:val="9"/>
    <w:qFormat/>
    <w:pPr>
      <w:keepNext/>
      <w:keepLines/>
      <w:spacing w:before="160" w:after="80"/>
      <w:outlineLvl w:val="2"/>
    </w:pPr>
    <w:rPr>
      <w:rFonts w:ascii="Aptos" w:eastAsia="DengXian Light" w:hAnsi="Aptos"/>
      <w:color w:val="0F4761"/>
      <w:sz w:val="28"/>
      <w:szCs w:val="28"/>
    </w:rPr>
  </w:style>
  <w:style w:type="paragraph" w:styleId="Heading4">
    <w:name w:val="heading 4"/>
    <w:basedOn w:val="Normal"/>
    <w:next w:val="Normal"/>
    <w:link w:val="Heading4Char"/>
    <w:uiPriority w:val="9"/>
    <w:qFormat/>
    <w:pPr>
      <w:keepNext/>
      <w:keepLines/>
      <w:spacing w:before="80" w:after="40"/>
      <w:outlineLvl w:val="3"/>
    </w:pPr>
    <w:rPr>
      <w:rFonts w:ascii="Aptos" w:eastAsia="DengXian Light" w:hAnsi="Aptos"/>
      <w:i/>
      <w:iCs/>
      <w:color w:val="0F4761"/>
    </w:rPr>
  </w:style>
  <w:style w:type="paragraph" w:styleId="Heading5">
    <w:name w:val="heading 5"/>
    <w:basedOn w:val="Normal"/>
    <w:next w:val="Normal"/>
    <w:link w:val="Heading5Char"/>
    <w:uiPriority w:val="9"/>
    <w:qFormat/>
    <w:pPr>
      <w:keepNext/>
      <w:keepLines/>
      <w:spacing w:before="80" w:after="40"/>
      <w:outlineLvl w:val="4"/>
    </w:pPr>
    <w:rPr>
      <w:rFonts w:ascii="Aptos" w:eastAsia="DengXian Light" w:hAnsi="Aptos"/>
      <w:color w:val="0F4761"/>
    </w:rPr>
  </w:style>
  <w:style w:type="paragraph" w:styleId="Heading6">
    <w:name w:val="heading 6"/>
    <w:basedOn w:val="Normal"/>
    <w:next w:val="Normal"/>
    <w:link w:val="Heading6Char"/>
    <w:uiPriority w:val="9"/>
    <w:qFormat/>
    <w:pPr>
      <w:keepNext/>
      <w:keepLines/>
      <w:spacing w:before="40" w:after="0"/>
      <w:outlineLvl w:val="5"/>
    </w:pPr>
    <w:rPr>
      <w:rFonts w:ascii="Aptos" w:eastAsia="DengXian Light" w:hAnsi="Aptos"/>
      <w:i/>
      <w:iCs/>
      <w:color w:val="595959"/>
    </w:rPr>
  </w:style>
  <w:style w:type="paragraph" w:styleId="Heading7">
    <w:name w:val="heading 7"/>
    <w:basedOn w:val="Normal"/>
    <w:next w:val="Normal"/>
    <w:link w:val="Heading7Char"/>
    <w:uiPriority w:val="9"/>
    <w:qFormat/>
    <w:pPr>
      <w:keepNext/>
      <w:keepLines/>
      <w:spacing w:before="40" w:after="0"/>
      <w:outlineLvl w:val="6"/>
    </w:pPr>
    <w:rPr>
      <w:rFonts w:ascii="Aptos" w:eastAsia="DengXian Light" w:hAnsi="Aptos"/>
      <w:color w:val="595959"/>
    </w:rPr>
  </w:style>
  <w:style w:type="paragraph" w:styleId="Heading8">
    <w:name w:val="heading 8"/>
    <w:basedOn w:val="Normal"/>
    <w:next w:val="Normal"/>
    <w:link w:val="Heading8Char"/>
    <w:uiPriority w:val="9"/>
    <w:qFormat/>
    <w:pPr>
      <w:keepNext/>
      <w:keepLines/>
      <w:spacing w:after="0"/>
      <w:outlineLvl w:val="7"/>
    </w:pPr>
    <w:rPr>
      <w:rFonts w:ascii="Aptos" w:eastAsia="DengXian Light" w:hAnsi="Aptos"/>
      <w:i/>
      <w:iCs/>
      <w:color w:val="272727"/>
    </w:rPr>
  </w:style>
  <w:style w:type="paragraph" w:styleId="Heading9">
    <w:name w:val="heading 9"/>
    <w:basedOn w:val="Normal"/>
    <w:next w:val="Normal"/>
    <w:link w:val="Heading9Char"/>
    <w:uiPriority w:val="9"/>
    <w:qFormat/>
    <w:pPr>
      <w:keepNext/>
      <w:keepLines/>
      <w:spacing w:after="0"/>
      <w:outlineLvl w:val="8"/>
    </w:pPr>
    <w:rPr>
      <w:rFonts w:ascii="Aptos" w:eastAsia="DengXian Light" w:hAnsi="Aptos"/>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pPr>
      <w:numPr>
        <w:numId w:val="1"/>
      </w:numPr>
    </w:pPr>
  </w:style>
  <w:style w:type="paragraph" w:customStyle="1" w:styleId="ListL2">
    <w:name w:val="List L2"/>
    <w:basedOn w:val="ListParagraph"/>
    <w:link w:val="ListL2Char"/>
    <w:qFormat/>
    <w:pPr>
      <w:numPr>
        <w:ilvl w:val="1"/>
        <w:numId w:val="0"/>
      </w:numPr>
      <w:spacing w:after="120"/>
      <w:ind w:right="1152"/>
      <w:contextualSpacing w:val="0"/>
    </w:pPr>
  </w:style>
  <w:style w:type="character" w:customStyle="1" w:styleId="ListL2Char">
    <w:name w:val="List L2 Char"/>
    <w:basedOn w:val="DefaultParagraphFont"/>
    <w:link w:val="ListL2"/>
  </w:style>
  <w:style w:type="paragraph" w:styleId="ListParagraph">
    <w:name w:val="List Paragraph"/>
    <w:basedOn w:val="Normal"/>
    <w:uiPriority w:val="34"/>
    <w:qFormat/>
    <w:pPr>
      <w:numPr>
        <w:numId w:val="2"/>
      </w:numPr>
      <w:contextualSpacing/>
    </w:pPr>
  </w:style>
  <w:style w:type="paragraph" w:customStyle="1" w:styleId="ListL3">
    <w:name w:val="List L3"/>
    <w:basedOn w:val="ListL2"/>
    <w:link w:val="ListL3Char"/>
    <w:qFormat/>
    <w:pPr>
      <w:numPr>
        <w:ilvl w:val="2"/>
      </w:numPr>
    </w:pPr>
  </w:style>
  <w:style w:type="character" w:customStyle="1" w:styleId="ListL3Char">
    <w:name w:val="List L3 Char"/>
    <w:basedOn w:val="ListL2Char"/>
    <w:link w:val="ListL3"/>
  </w:style>
  <w:style w:type="paragraph" w:customStyle="1" w:styleId="ListL4">
    <w:name w:val="List L4"/>
    <w:basedOn w:val="ListL3"/>
    <w:link w:val="ListL4Char"/>
    <w:qFormat/>
    <w:pPr>
      <w:numPr>
        <w:ilvl w:val="3"/>
      </w:numPr>
    </w:pPr>
  </w:style>
  <w:style w:type="character" w:customStyle="1" w:styleId="ListL4Char">
    <w:name w:val="List L4 Char"/>
    <w:basedOn w:val="ListL3Char"/>
    <w:link w:val="ListL4"/>
  </w:style>
  <w:style w:type="paragraph" w:customStyle="1" w:styleId="ListL5">
    <w:name w:val="List L5"/>
    <w:basedOn w:val="ListL4"/>
    <w:link w:val="ListL5Char"/>
    <w:qFormat/>
    <w:pPr>
      <w:numPr>
        <w:ilvl w:val="4"/>
        <w:numId w:val="1"/>
      </w:numPr>
      <w:ind w:left="3960" w:hanging="1152"/>
    </w:pPr>
  </w:style>
  <w:style w:type="character" w:customStyle="1" w:styleId="ListL5Char">
    <w:name w:val="List L5 Char"/>
    <w:basedOn w:val="ListL4Char"/>
    <w:link w:val="ListL5"/>
  </w:style>
  <w:style w:type="paragraph" w:customStyle="1" w:styleId="footnote">
    <w:name w:val="footnote"/>
    <w:basedOn w:val="FootnoteText"/>
    <w:link w:val="footnoteChar"/>
    <w:qFormat/>
    <w:pPr>
      <w:ind w:left="187" w:hanging="187"/>
    </w:pPr>
  </w:style>
  <w:style w:type="character" w:customStyle="1" w:styleId="footnoteChar">
    <w:name w:val="footnote Char"/>
    <w:basedOn w:val="FootnoteTextChar"/>
    <w:link w:val="footnote"/>
    <w:rPr>
      <w:sz w:val="20"/>
      <w:szCs w:val="20"/>
    </w:rPr>
  </w:style>
  <w:style w:type="paragraph" w:styleId="FootnoteText">
    <w:name w:val="footnote text"/>
    <w:basedOn w:val="Normal"/>
    <w:link w:val="FootnoteTextChar"/>
    <w:uiPriority w:val="99"/>
    <w:pPr>
      <w:spacing w:after="0" w:line="240" w:lineRule="auto"/>
    </w:pPr>
    <w:rPr>
      <w:sz w:val="20"/>
      <w:szCs w:val="20"/>
    </w:rPr>
  </w:style>
  <w:style w:type="character" w:customStyle="1" w:styleId="FootnoteTextChar">
    <w:name w:val="Footnote Text Char"/>
    <w:basedOn w:val="DefaultParagraphFont"/>
    <w:link w:val="FootnoteText"/>
    <w:uiPriority w:val="99"/>
    <w:rPr>
      <w:sz w:val="20"/>
      <w:szCs w:val="20"/>
    </w:rPr>
  </w:style>
  <w:style w:type="character" w:customStyle="1" w:styleId="Heading1Char">
    <w:name w:val="Heading 1 Char"/>
    <w:basedOn w:val="DefaultParagraphFont"/>
    <w:link w:val="Heading1"/>
    <w:uiPriority w:val="9"/>
    <w:rPr>
      <w:rFonts w:ascii="Aptos Display" w:eastAsia="DengXian Light" w:hAnsi="Aptos Display" w:cs="SimSun"/>
      <w:color w:val="0F4761"/>
      <w:sz w:val="40"/>
      <w:szCs w:val="40"/>
      <w:lang w:val="en-GB"/>
    </w:rPr>
  </w:style>
  <w:style w:type="character" w:customStyle="1" w:styleId="Heading2Char">
    <w:name w:val="Heading 2 Char"/>
    <w:basedOn w:val="DefaultParagraphFont"/>
    <w:link w:val="Heading2"/>
    <w:uiPriority w:val="9"/>
    <w:rPr>
      <w:rFonts w:ascii="Aptos Display" w:eastAsia="DengXian Light" w:hAnsi="Aptos Display" w:cs="SimSun"/>
      <w:color w:val="0F4761"/>
      <w:sz w:val="32"/>
      <w:szCs w:val="32"/>
      <w:lang w:val="en-GB"/>
    </w:rPr>
  </w:style>
  <w:style w:type="character" w:customStyle="1" w:styleId="Heading3Char">
    <w:name w:val="Heading 3 Char"/>
    <w:basedOn w:val="DefaultParagraphFont"/>
    <w:link w:val="Heading3"/>
    <w:uiPriority w:val="9"/>
    <w:rPr>
      <w:rFonts w:ascii="Aptos" w:eastAsia="DengXian Light" w:hAnsi="Aptos" w:cs="SimSun"/>
      <w:color w:val="0F4761"/>
      <w:sz w:val="28"/>
      <w:szCs w:val="28"/>
      <w:lang w:val="en-GB"/>
    </w:rPr>
  </w:style>
  <w:style w:type="character" w:customStyle="1" w:styleId="Heading4Char">
    <w:name w:val="Heading 4 Char"/>
    <w:basedOn w:val="DefaultParagraphFont"/>
    <w:link w:val="Heading4"/>
    <w:uiPriority w:val="9"/>
    <w:rPr>
      <w:rFonts w:ascii="Aptos" w:eastAsia="DengXian Light" w:hAnsi="Aptos" w:cs="SimSun"/>
      <w:i/>
      <w:iCs/>
      <w:color w:val="0F4761"/>
      <w:lang w:val="en-GB"/>
    </w:rPr>
  </w:style>
  <w:style w:type="character" w:customStyle="1" w:styleId="Heading5Char">
    <w:name w:val="Heading 5 Char"/>
    <w:basedOn w:val="DefaultParagraphFont"/>
    <w:link w:val="Heading5"/>
    <w:uiPriority w:val="9"/>
    <w:rPr>
      <w:rFonts w:ascii="Aptos" w:eastAsia="DengXian Light" w:hAnsi="Aptos" w:cs="SimSun"/>
      <w:color w:val="0F4761"/>
      <w:lang w:val="en-GB"/>
    </w:rPr>
  </w:style>
  <w:style w:type="character" w:customStyle="1" w:styleId="Heading6Char">
    <w:name w:val="Heading 6 Char"/>
    <w:basedOn w:val="DefaultParagraphFont"/>
    <w:link w:val="Heading6"/>
    <w:uiPriority w:val="9"/>
    <w:rPr>
      <w:rFonts w:ascii="Aptos" w:eastAsia="DengXian Light" w:hAnsi="Aptos" w:cs="SimSun"/>
      <w:i/>
      <w:iCs/>
      <w:color w:val="595959"/>
      <w:lang w:val="en-GB"/>
    </w:rPr>
  </w:style>
  <w:style w:type="character" w:customStyle="1" w:styleId="Heading7Char">
    <w:name w:val="Heading 7 Char"/>
    <w:basedOn w:val="DefaultParagraphFont"/>
    <w:link w:val="Heading7"/>
    <w:uiPriority w:val="9"/>
    <w:rPr>
      <w:rFonts w:ascii="Aptos" w:eastAsia="DengXian Light" w:hAnsi="Aptos" w:cs="SimSun"/>
      <w:color w:val="595959"/>
      <w:lang w:val="en-GB"/>
    </w:rPr>
  </w:style>
  <w:style w:type="character" w:customStyle="1" w:styleId="Heading8Char">
    <w:name w:val="Heading 8 Char"/>
    <w:basedOn w:val="DefaultParagraphFont"/>
    <w:link w:val="Heading8"/>
    <w:uiPriority w:val="9"/>
    <w:rPr>
      <w:rFonts w:ascii="Aptos" w:eastAsia="DengXian Light" w:hAnsi="Aptos" w:cs="SimSun"/>
      <w:i/>
      <w:iCs/>
      <w:color w:val="272727"/>
      <w:lang w:val="en-GB"/>
    </w:rPr>
  </w:style>
  <w:style w:type="character" w:customStyle="1" w:styleId="Heading9Char">
    <w:name w:val="Heading 9 Char"/>
    <w:basedOn w:val="DefaultParagraphFont"/>
    <w:link w:val="Heading9"/>
    <w:uiPriority w:val="9"/>
    <w:rPr>
      <w:rFonts w:ascii="Aptos" w:eastAsia="DengXian Light" w:hAnsi="Aptos" w:cs="SimSun"/>
      <w:color w:val="272727"/>
      <w:lang w:val="en-GB"/>
    </w:rPr>
  </w:style>
  <w:style w:type="paragraph" w:styleId="Title">
    <w:name w:val="Title"/>
    <w:basedOn w:val="Normal"/>
    <w:next w:val="Normal"/>
    <w:link w:val="TitleChar"/>
    <w:uiPriority w:val="10"/>
    <w:qFormat/>
    <w:pPr>
      <w:spacing w:after="80" w:line="240" w:lineRule="auto"/>
      <w:contextualSpacing/>
    </w:pPr>
    <w:rPr>
      <w:rFonts w:ascii="Aptos Display" w:eastAsia="DengXian Light" w:hAnsi="Aptos Display"/>
      <w:spacing w:val="-10"/>
      <w:kern w:val="28"/>
      <w:sz w:val="56"/>
      <w:szCs w:val="56"/>
    </w:rPr>
  </w:style>
  <w:style w:type="character" w:customStyle="1" w:styleId="TitleChar">
    <w:name w:val="Title Char"/>
    <w:basedOn w:val="DefaultParagraphFont"/>
    <w:link w:val="Title"/>
    <w:uiPriority w:val="10"/>
    <w:rPr>
      <w:rFonts w:ascii="Aptos Display" w:eastAsia="DengXian Light" w:hAnsi="Aptos Display" w:cs="SimSun"/>
      <w:spacing w:val="-10"/>
      <w:kern w:val="28"/>
      <w:sz w:val="56"/>
      <w:szCs w:val="56"/>
      <w:lang w:val="en-GB"/>
    </w:rPr>
  </w:style>
  <w:style w:type="paragraph" w:styleId="Subtitle">
    <w:name w:val="Subtitle"/>
    <w:basedOn w:val="Normal"/>
    <w:next w:val="Normal"/>
    <w:link w:val="SubtitleChar"/>
    <w:uiPriority w:val="11"/>
    <w:qFormat/>
    <w:pPr>
      <w:numPr>
        <w:ilvl w:val="1"/>
      </w:numPr>
    </w:pPr>
    <w:rPr>
      <w:rFonts w:ascii="Aptos" w:eastAsia="DengXian Light" w:hAnsi="Aptos"/>
      <w:color w:val="595959"/>
      <w:spacing w:val="15"/>
      <w:sz w:val="28"/>
      <w:szCs w:val="28"/>
    </w:rPr>
  </w:style>
  <w:style w:type="character" w:customStyle="1" w:styleId="SubtitleChar">
    <w:name w:val="Subtitle Char"/>
    <w:basedOn w:val="DefaultParagraphFont"/>
    <w:link w:val="Subtitle"/>
    <w:uiPriority w:val="11"/>
    <w:rPr>
      <w:rFonts w:ascii="Aptos" w:eastAsia="DengXian Light" w:hAnsi="Aptos" w:cs="SimSun"/>
      <w:color w:val="595959"/>
      <w:spacing w:val="15"/>
      <w:sz w:val="28"/>
      <w:szCs w:val="28"/>
      <w:lang w:val="en-GB"/>
    </w:rPr>
  </w:style>
  <w:style w:type="paragraph" w:styleId="Quote">
    <w:name w:val="Quote"/>
    <w:basedOn w:val="Normal"/>
    <w:next w:val="Normal"/>
    <w:link w:val="QuoteChar"/>
    <w:uiPriority w:val="29"/>
    <w:qFormat/>
    <w:pPr>
      <w:spacing w:before="160"/>
      <w:jc w:val="center"/>
    </w:pPr>
    <w:rPr>
      <w:i/>
      <w:iCs/>
      <w:color w:val="404040"/>
    </w:rPr>
  </w:style>
  <w:style w:type="character" w:customStyle="1" w:styleId="QuoteChar">
    <w:name w:val="Quote Char"/>
    <w:basedOn w:val="DefaultParagraphFont"/>
    <w:link w:val="Quote"/>
    <w:uiPriority w:val="29"/>
    <w:rPr>
      <w:i/>
      <w:iCs/>
      <w:color w:val="404040"/>
      <w:lang w:val="en-GB"/>
    </w:rPr>
  </w:style>
  <w:style w:type="character" w:styleId="IntenseEmphasis">
    <w:name w:val="Intense Emphasis"/>
    <w:basedOn w:val="DefaultParagraphFont"/>
    <w:uiPriority w:val="21"/>
    <w:qFormat/>
    <w:rPr>
      <w:i/>
      <w:iCs/>
      <w:color w:val="0F4761"/>
    </w:rPr>
  </w:style>
  <w:style w:type="paragraph" w:styleId="IntenseQuote">
    <w:name w:val="Intense Quote"/>
    <w:basedOn w:val="Normal"/>
    <w:next w:val="Normal"/>
    <w:link w:val="IntenseQuoteChar"/>
    <w:uiPriority w:val="30"/>
    <w:qFormat/>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basedOn w:val="DefaultParagraphFont"/>
    <w:link w:val="IntenseQuote"/>
    <w:uiPriority w:val="30"/>
    <w:rPr>
      <w:i/>
      <w:iCs/>
      <w:color w:val="0F4761"/>
      <w:lang w:val="en-GB"/>
    </w:rPr>
  </w:style>
  <w:style w:type="character" w:styleId="IntenseReference">
    <w:name w:val="Intense Reference"/>
    <w:basedOn w:val="DefaultParagraphFont"/>
    <w:uiPriority w:val="32"/>
    <w:qFormat/>
    <w:rPr>
      <w:b/>
      <w:bCs/>
      <w:smallCaps/>
      <w:color w:val="0F4761"/>
      <w:spacing w:val="5"/>
    </w:rPr>
  </w:style>
  <w:style w:type="table" w:styleId="TableGrid">
    <w:name w:val="Table Grid"/>
    <w:basedOn w:val="TableNormal"/>
    <w:uiPriority w:val="39"/>
    <w:qFormat/>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rPr>
      <w:lang w:val="en-GB"/>
    </w:rPr>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rPr>
      <w:lang w:val="en-GB"/>
    </w:rPr>
  </w:style>
  <w:style w:type="character" w:styleId="Strong">
    <w:name w:val="Strong"/>
    <w:basedOn w:val="DefaultParagraphFont"/>
    <w:uiPriority w:val="22"/>
    <w:qFormat/>
    <w:rPr>
      <w:b/>
    </w:rPr>
  </w:style>
  <w:style w:type="paragraph" w:customStyle="1" w:styleId="SingleTxtG">
    <w:name w:val="_ Single Txt_G"/>
    <w:basedOn w:val="Normal"/>
    <w:qFormat/>
    <w:rsid w:val="0044520A"/>
    <w:pPr>
      <w:spacing w:after="120"/>
      <w:ind w:left="1134" w:right="1134"/>
      <w:jc w:val="both"/>
    </w:pPr>
    <w:rPr>
      <w:rFonts w:eastAsiaTheme="minorEastAsia"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G:\My%20Drive\2026\GAR\ADS\ADS-20\ADS%20IWG%20Change%20Request.dotx" TargetMode="External"/></Relationships>
</file>

<file path=word/theme/theme1.xml><?xml version="1.0" encoding="utf-8"?>
<a:theme xmlns:a="http://schemas.openxmlformats.org/drawingml/2006/main" name="Office Theme">
  <a:themeElements>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ADS IWG Change Request.dotx</Template>
  <TotalTime>12</TotalTime>
  <Pages>2</Pages>
  <Words>650</Words>
  <Characters>3705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Creamer</dc:creator>
  <cp:lastModifiedBy>John Creamer</cp:lastModifiedBy>
  <cp:revision>1</cp:revision>
  <dcterms:created xsi:type="dcterms:W3CDTF">2026-05-05T08:04:00Z</dcterms:created>
  <dcterms:modified xsi:type="dcterms:W3CDTF">2026-05-05T08:24:00Z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3ad510ee7f594f5abbf2abf0397de151_23</vt:lpwstr>
  </property>
</Properties>
</file>