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003FFF" w14:textId="77777777" w:rsidR="004539CD" w:rsidRDefault="006665EA">
      <w:pPr>
        <w:widowControl w:val="0"/>
        <w:pBdr>
          <w:top w:val="nil"/>
          <w:left w:val="nil"/>
          <w:bottom w:val="nil"/>
          <w:right w:val="nil"/>
          <w:between w:val="nil"/>
        </w:pBdr>
      </w:pPr>
      <w:r>
        <w:pict w14:anchorId="3262E90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alt="" style="position:absolute;margin-left:0;margin-top:0;width:50pt;height:50pt;z-index:251657728;visibility:hidden;mso-wrap-edited:f;mso-width-percent:0;mso-height-percent:0;mso-width-percent:0;mso-height-percent:0">
            <o:lock v:ext="edit" selection="t"/>
          </v:shape>
        </w:pict>
      </w:r>
      <w:r>
        <w:pict w14:anchorId="4AF97C6C">
          <v:shape id="_x0000_s2050" type="#_x0000_t136" alt="" style="position:absolute;margin-left:0;margin-top:0;width:50pt;height:50pt;z-index:251658752;visibility:hidden;mso-wrap-edited:f;mso-width-percent:0;mso-height-percent:0;mso-width-percent:0;mso-height-percent:0">
            <o:lock v:ext="edit" selection="t"/>
          </v:shape>
        </w:pict>
      </w:r>
    </w:p>
    <w:p w14:paraId="5D4585BE" w14:textId="151A8BD4" w:rsidR="007B4A26" w:rsidRPr="004B526E" w:rsidRDefault="00000000" w:rsidP="004B526E">
      <w:pPr>
        <w:widowControl w:val="0"/>
        <w:pBdr>
          <w:top w:val="nil"/>
          <w:left w:val="nil"/>
          <w:bottom w:val="nil"/>
          <w:right w:val="nil"/>
          <w:between w:val="nil"/>
        </w:pBdr>
        <w:rPr>
          <w:rFonts w:ascii="Times New Roman" w:eastAsia="Times New Roman" w:hAnsi="Times New Roman" w:cs="Times New Roman"/>
          <w:sz w:val="42"/>
          <w:szCs w:val="42"/>
          <w:lang w:val="en-GB"/>
        </w:rPr>
      </w:pPr>
      <w:r w:rsidRPr="007B4A26">
        <w:rPr>
          <w:rFonts w:ascii="Times New Roman" w:eastAsia="Times New Roman" w:hAnsi="Times New Roman" w:cs="Times New Roman"/>
          <w:sz w:val="42"/>
          <w:szCs w:val="42"/>
          <w:lang w:val="en-GB"/>
        </w:rPr>
        <w:t>Industry Position on the EC TTC Trigger Proposal</w:t>
      </w:r>
      <w:r w:rsidRPr="007B4A26">
        <w:rPr>
          <w:noProof/>
          <w:lang w:val="en-GB"/>
        </w:rPr>
        <mc:AlternateContent>
          <mc:Choice Requires="wps">
            <w:drawing>
              <wp:anchor distT="0" distB="0" distL="114300" distR="114300" simplePos="0" relativeHeight="251656704" behindDoc="0" locked="0" layoutInCell="1" hidden="0" allowOverlap="1" wp14:anchorId="2A20D9BF" wp14:editId="494E45E9">
                <wp:simplePos x="0" y="0"/>
                <wp:positionH relativeFrom="column">
                  <wp:posOffset>107951</wp:posOffset>
                </wp:positionH>
                <wp:positionV relativeFrom="paragraph">
                  <wp:posOffset>-6349</wp:posOffset>
                </wp:positionV>
                <wp:extent cx="647700" cy="647700"/>
                <wp:effectExtent l="0" t="0" r="0" b="0"/>
                <wp:wrapNone/>
                <wp:docPr id="1" name="Freeform 1"/>
                <wp:cNvGraphicFramePr/>
                <a:graphic xmlns:a="http://schemas.openxmlformats.org/drawingml/2006/main">
                  <a:graphicData uri="http://schemas.microsoft.com/office/word/2010/wordprocessingShape">
                    <wps:wsp>
                      <wps:cNvSpPr/>
                      <wps:spPr>
                        <a:xfrm>
                          <a:off x="5028500" y="3462500"/>
                          <a:ext cx="635000" cy="635000"/>
                        </a:xfrm>
                        <a:custGeom>
                          <a:avLst/>
                          <a:gdLst/>
                          <a:ahLst/>
                          <a:cxnLst/>
                          <a:rect l="l" t="t" r="r" b="b"/>
                          <a:pathLst>
                            <a:path w="635000" h="635000" extrusionOk="0">
                              <a:moveTo>
                                <a:pt x="0" y="0"/>
                              </a:moveTo>
                              <a:lnTo>
                                <a:pt x="635000" y="0"/>
                              </a:lnTo>
                              <a:moveTo>
                                <a:pt x="0" y="635000"/>
                              </a:moveTo>
                              <a:lnTo>
                                <a:pt x="635000" y="635000"/>
                              </a:lnTo>
                            </a:path>
                          </a:pathLst>
                        </a:custGeom>
                        <a:solidFill>
                          <a:srgbClr val="FFFFFF"/>
                        </a:solid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1554DFB2" id="Freeform 1" o:spid="_x0000_s1026" style="position:absolute;margin-left:8.5pt;margin-top:-.5pt;width:51pt;height:51pt;z-index:251656704;visibility:visible;mso-wrap-style:square;mso-wrap-distance-left:9pt;mso-wrap-distance-top:0;mso-wrap-distance-right:9pt;mso-wrap-distance-bottom:0;mso-position-horizontal:absolute;mso-position-horizontal-relative:text;mso-position-vertical:absolute;mso-position-vertical-relative:text;v-text-anchor:middle" coordsize="635000,635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ZMIbwIAAGMFAAAOAAAAZHJzL2Uyb0RvYy54bWysVNuO0zAQfUfiHyy/s2m7F5aq6QptKUJa&#10;sZV2+YCp4zQRjm1s9/b3HDtNkwISEqIP7kx8ZjznzNizh0Oj2E46Xxud8/HViDOphSlqvcn5t9fl&#10;u3vOfCBdkDJa5vwoPX+Yv30z29upnJjKqEI6hiTaT/c251UIdpplXlSyIX9lrNTYLI1rKMB1m6xw&#10;tEf2RmWT0egu2xtXWGeE9B5fF+0mn6f8ZSlFeC5LLwNTOUdtIa0ureu4ZvMZTTeObFWLUxn0D1U0&#10;VGscek61oEBs6+rfUjW1cMabMlwJ02SmLGshEwewGY9+YfNSkZWJC8Tx9iyT/39pxdfdi105yLC3&#10;fuphRhaH0jXxH/WxQ85vR5P72xHkO+b8+uZuEu0knDwEJgC4u8Yn7AsATjb2sz6R2PrwWZqUlHZP&#10;PrS6F51FVWeJg+5Mh+7FvqnUt8AZ+uY4Q9/W7fGWQoyLlUaT7c+ns6o3UaTbxvl8/h47HtGN2clX&#10;k+JCJNhSS6RQdL+r9BDVsQTJDtoB+hA7SHghRQ/pglroIOsFvkWhnEgtiXmmi49DQb1RdbGslYqE&#10;vNusH5VjO4Jyy/SLYiHkAqZ0VGs8eZ/aRrh5pSJILBpb5NzrTdLpIuQiM9odO/6HzNb5sCBftRWk&#10;DG23nNnqIvW9klR80gULR4snQeNh4LEa33CmJJ4RGAkXqFZ/x4Ga0mDYD3C01qY4rhzzVixrVPRE&#10;PqzI4W6PcRbuO075sSWHk9UXjQv1YXwzucWgDR03dNZDh7SoDMZRBAxk6zwG+O14afNxG0xZxylP&#10;ZbXFnBzc5NSP06sTn4qhn1D92zj/CQAA//8DAFBLAwQUAAYACAAAACEAwXQo/9sAAAAJAQAADwAA&#10;AGRycy9kb3ducmV2LnhtbExPwU7DMAy9I/EPkZG4bUlBGqM0ndCkjgvSYCBx9RqvrWicqsm28vd4&#10;Jzj5PT/r+b1iNflenWiMXWAL2dyAIq6D67ix8PlRzZagYkJ22AcmCz8UYVVeXxWYu3DmdzrtUqPE&#10;hGOOFtqUhlzrWLfkMc7DQCzaIYwek9Cx0W7Es5j7Xt8Zs9AeO5YPLQ60bqn+3h29hc3L+r5qTDq8&#10;LjZLpOptq6evrbW3N9PzE6hEU/o7hkt8iQ6lZNqHI7uoeuEPUiVZmGUyL3r2KGAvwMhGl4X+36D8&#10;BQAA//8DAFBLAQItABQABgAIAAAAIQC2gziS/gAAAOEBAAATAAAAAAAAAAAAAAAAAAAAAABbQ29u&#10;dGVudF9UeXBlc10ueG1sUEsBAi0AFAAGAAgAAAAhADj9If/WAAAAlAEAAAsAAAAAAAAAAAAAAAAA&#10;LwEAAF9yZWxzLy5yZWxzUEsBAi0AFAAGAAgAAAAhACFxkwhvAgAAYwUAAA4AAAAAAAAAAAAAAAAA&#10;LgIAAGRycy9lMm9Eb2MueG1sUEsBAi0AFAAGAAgAAAAhAMF0KP/bAAAACQEAAA8AAAAAAAAAAAAA&#10;AAAAyQQAAGRycy9kb3ducmV2LnhtbFBLBQYAAAAABAAEAPMAAADRBQAAAAA=&#10;" path="m,l635000,m,635000r635000,e" strokeweight="1pt">
                <v:stroke startarrowwidth="narrow" startarrowlength="short" endarrowwidth="narrow" endarrowlength="short"/>
                <v:path arrowok="t" o:extrusionok="f"/>
              </v:shape>
            </w:pict>
          </mc:Fallback>
        </mc:AlternateContent>
      </w:r>
    </w:p>
    <w:p w14:paraId="61856A95" w14:textId="7B2F365D" w:rsidR="004539CD" w:rsidRPr="007B4A26" w:rsidRDefault="00000000">
      <w:pPr>
        <w:spacing w:line="397" w:lineRule="auto"/>
        <w:rPr>
          <w:rFonts w:ascii="Times New Roman" w:eastAsia="Times New Roman" w:hAnsi="Times New Roman" w:cs="Times New Roman"/>
          <w:b/>
          <w:sz w:val="26"/>
          <w:szCs w:val="26"/>
          <w:lang w:val="en-GB"/>
        </w:rPr>
      </w:pPr>
      <w:r w:rsidRPr="007B4A26">
        <w:rPr>
          <w:rFonts w:ascii="Times New Roman" w:eastAsia="Times New Roman" w:hAnsi="Times New Roman" w:cs="Times New Roman"/>
          <w:b/>
          <w:sz w:val="26"/>
          <w:szCs w:val="26"/>
          <w:lang w:val="en-GB"/>
        </w:rPr>
        <w:t>Abstract</w:t>
      </w:r>
    </w:p>
    <w:p w14:paraId="5656B55D" w14:textId="343A6017" w:rsidR="004539CD" w:rsidRPr="007B4A26" w:rsidRDefault="00000000">
      <w:pPr>
        <w:spacing w:after="200"/>
        <w:jc w:val="both"/>
        <w:rPr>
          <w:rFonts w:ascii="Times New Roman" w:eastAsia="Times New Roman" w:hAnsi="Times New Roman" w:cs="Times New Roman"/>
          <w:sz w:val="20"/>
          <w:szCs w:val="20"/>
          <w:lang w:val="en-GB"/>
        </w:rPr>
      </w:pPr>
      <w:bookmarkStart w:id="0" w:name="_heading=h.2o3favjz7dlw" w:colFirst="0" w:colLast="0"/>
      <w:bookmarkEnd w:id="0"/>
      <w:r w:rsidRPr="007B4A26">
        <w:rPr>
          <w:rFonts w:ascii="Times New Roman" w:eastAsia="Times New Roman" w:hAnsi="Times New Roman" w:cs="Times New Roman"/>
          <w:sz w:val="20"/>
          <w:szCs w:val="20"/>
          <w:lang w:val="en-GB"/>
        </w:rPr>
        <w:t>OICA</w:t>
      </w:r>
      <w:r w:rsidR="007B4A26">
        <w:rPr>
          <w:rFonts w:ascii="Times New Roman" w:eastAsia="Times New Roman" w:hAnsi="Times New Roman" w:cs="Times New Roman"/>
          <w:sz w:val="20"/>
          <w:szCs w:val="20"/>
          <w:lang w:val="en-GB"/>
        </w:rPr>
        <w:t xml:space="preserve"> &amp; CLEPA</w:t>
      </w:r>
      <w:r w:rsidR="00134C7E">
        <w:rPr>
          <w:rFonts w:ascii="Times New Roman" w:eastAsia="Times New Roman" w:hAnsi="Times New Roman" w:cs="Times New Roman"/>
          <w:sz w:val="20"/>
          <w:szCs w:val="20"/>
          <w:lang w:val="en-GB"/>
        </w:rPr>
        <w:t xml:space="preserve"> (industry)</w:t>
      </w:r>
      <w:r w:rsidRPr="007B4A26">
        <w:rPr>
          <w:rFonts w:ascii="Times New Roman" w:eastAsia="Times New Roman" w:hAnsi="Times New Roman" w:cs="Times New Roman"/>
          <w:sz w:val="20"/>
          <w:szCs w:val="20"/>
          <w:lang w:val="en-GB"/>
        </w:rPr>
        <w:t xml:space="preserve"> have reviewed the European Commission (EC)’s proposal for a harmonised Time-to-Collision (TTC) trigger within the Data Storage System for Automated Driving (DSSAD). While the objectives of comparability, and proactive safety research are acknowledged, industry stakeholders consider the current proposal premature for inclusion in the first version of the ADS regulation. The evidence base and technical framework presented are insufficient to support a uniform threshold, and several practical, regulatory, and proportionality issues remain unresolved. Industry proposes that the topic be explored through further research and analysis to demonstrate that this TTC trigger threshold works as intended, before inclusion in the Automated Driving Systems (ADS) regulations.</w:t>
      </w:r>
    </w:p>
    <w:p w14:paraId="57788574" w14:textId="77777777" w:rsidR="004539CD" w:rsidRPr="007B4A26" w:rsidRDefault="00000000">
      <w:pPr>
        <w:pStyle w:val="Heading2"/>
        <w:keepNext w:val="0"/>
        <w:keepLines w:val="0"/>
        <w:spacing w:before="0" w:after="200" w:line="196" w:lineRule="auto"/>
        <w:jc w:val="both"/>
        <w:rPr>
          <w:rFonts w:ascii="Times New Roman" w:eastAsia="Times New Roman" w:hAnsi="Times New Roman" w:cs="Times New Roman"/>
          <w:b/>
          <w:sz w:val="26"/>
          <w:szCs w:val="26"/>
          <w:lang w:val="en-GB"/>
        </w:rPr>
      </w:pPr>
      <w:bookmarkStart w:id="1" w:name="_heading=h.2fwxc5f69uc" w:colFirst="0" w:colLast="0"/>
      <w:bookmarkEnd w:id="1"/>
      <w:r w:rsidRPr="007B4A26">
        <w:rPr>
          <w:rFonts w:ascii="Times New Roman" w:eastAsia="Times New Roman" w:hAnsi="Times New Roman" w:cs="Times New Roman"/>
          <w:b/>
          <w:sz w:val="26"/>
          <w:szCs w:val="26"/>
          <w:lang w:val="en-GB"/>
        </w:rPr>
        <w:t>Overview of EC’s proposal</w:t>
      </w:r>
    </w:p>
    <w:p w14:paraId="45A496B8" w14:textId="77777777"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 xml:space="preserve">The EC proposal introduces a harmonised TTC trigger intended to record both collisions and ‘extreme’ near-misses across all ADS-equipped vehicles. When a pre-set TTC value of 0.2 seconds is reached, the vehicle’s DSSAD would automatically record data for later review. The Commission’s stated goal is to ensure consistent, manufacturer-independent data collection, enabling cross-OEM analysis and research into system behaviour and safety margins. The data could be made available off-board to national authorities or researchers, supporting future policy and type-approval development, via the footnote 3 in the DSSAD text (SG-DSSAD-29-02). </w:t>
      </w:r>
    </w:p>
    <w:p w14:paraId="5636FA0B" w14:textId="77777777" w:rsidR="004539CD" w:rsidRPr="007B4A26" w:rsidRDefault="00000000">
      <w:pPr>
        <w:pStyle w:val="Heading2"/>
        <w:keepNext w:val="0"/>
        <w:keepLines w:val="0"/>
        <w:spacing w:before="0" w:after="200" w:line="196" w:lineRule="auto"/>
        <w:jc w:val="both"/>
        <w:rPr>
          <w:rFonts w:ascii="Times New Roman" w:eastAsia="Times New Roman" w:hAnsi="Times New Roman" w:cs="Times New Roman"/>
          <w:b/>
          <w:sz w:val="26"/>
          <w:szCs w:val="26"/>
          <w:lang w:val="en-GB"/>
        </w:rPr>
      </w:pPr>
      <w:bookmarkStart w:id="2" w:name="_heading=h.vxrt39o9qgiq" w:colFirst="0" w:colLast="0"/>
      <w:bookmarkEnd w:id="2"/>
      <w:r w:rsidRPr="007B4A26">
        <w:rPr>
          <w:rFonts w:ascii="Times New Roman" w:eastAsia="Times New Roman" w:hAnsi="Times New Roman" w:cs="Times New Roman"/>
          <w:b/>
          <w:sz w:val="26"/>
          <w:szCs w:val="26"/>
          <w:lang w:val="en-GB"/>
        </w:rPr>
        <w:t xml:space="preserve">Overview of Industry’s Position </w:t>
      </w:r>
    </w:p>
    <w:p w14:paraId="162352BD" w14:textId="3CAD6EA9" w:rsidR="004539CD" w:rsidRPr="007B4A26" w:rsidRDefault="00000000">
      <w:pPr>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 xml:space="preserve">Industry believes the proposed TTC trigger </w:t>
      </w:r>
      <w:r w:rsidR="007954ED" w:rsidRPr="007954ED">
        <w:rPr>
          <w:rFonts w:ascii="Times New Roman" w:eastAsia="Times New Roman" w:hAnsi="Times New Roman" w:cs="Times New Roman"/>
          <w:sz w:val="20"/>
          <w:szCs w:val="20"/>
          <w:lang w:val="en-GB"/>
        </w:rPr>
        <w:t xml:space="preserve">is not a consistent, technology neutral, standard trigger type that </w:t>
      </w:r>
      <w:r w:rsidR="007954ED" w:rsidRPr="007954ED">
        <w:rPr>
          <w:rFonts w:ascii="Times New Roman" w:eastAsia="Times New Roman" w:hAnsi="Times New Roman" w:cs="Times New Roman"/>
          <w:sz w:val="20"/>
          <w:szCs w:val="20"/>
          <w:lang w:val="en-GB"/>
        </w:rPr>
        <w:t>will yield</w:t>
      </w:r>
      <w:r w:rsidR="007954ED" w:rsidRPr="007954ED">
        <w:rPr>
          <w:rFonts w:ascii="Times New Roman" w:eastAsia="Times New Roman" w:hAnsi="Times New Roman" w:cs="Times New Roman"/>
          <w:sz w:val="20"/>
          <w:szCs w:val="20"/>
          <w:lang w:val="en-GB"/>
        </w:rPr>
        <w:t xml:space="preserve"> useful data to ADS developers, or government agencies</w:t>
      </w:r>
      <w:r w:rsidR="007954ED">
        <w:rPr>
          <w:rFonts w:ascii="Times New Roman" w:eastAsia="Times New Roman" w:hAnsi="Times New Roman" w:cs="Times New Roman"/>
          <w:sz w:val="20"/>
          <w:szCs w:val="20"/>
          <w:lang w:val="en-GB"/>
        </w:rPr>
        <w:t xml:space="preserve">. </w:t>
      </w:r>
      <w:r w:rsidR="007954ED" w:rsidRPr="007954ED">
        <w:rPr>
          <w:rFonts w:ascii="Times New Roman" w:eastAsia="Times New Roman" w:hAnsi="Times New Roman" w:cs="Times New Roman"/>
          <w:sz w:val="20"/>
          <w:szCs w:val="20"/>
          <w:lang w:val="en-GB"/>
        </w:rPr>
        <w:t xml:space="preserve">The current triggers in the DSSAD guidance document and reporting methods capture the intent of understanding ADS system </w:t>
      </w:r>
      <w:r w:rsidR="007954ED" w:rsidRPr="007954ED">
        <w:rPr>
          <w:rFonts w:ascii="Times New Roman" w:eastAsia="Times New Roman" w:hAnsi="Times New Roman" w:cs="Times New Roman"/>
          <w:sz w:val="20"/>
          <w:szCs w:val="20"/>
          <w:lang w:val="en-GB"/>
        </w:rPr>
        <w:t>behaviour</w:t>
      </w:r>
      <w:r w:rsidR="007954ED" w:rsidRPr="007954ED">
        <w:rPr>
          <w:rFonts w:ascii="Times New Roman" w:eastAsia="Times New Roman" w:hAnsi="Times New Roman" w:cs="Times New Roman"/>
          <w:sz w:val="20"/>
          <w:szCs w:val="20"/>
          <w:lang w:val="en-GB"/>
        </w:rPr>
        <w:t xml:space="preserve"> and safety.</w:t>
      </w:r>
      <w:r w:rsidR="007954ED" w:rsidRPr="007954ED">
        <w:rPr>
          <w:rFonts w:ascii="Times New Roman" w:eastAsia="Times New Roman" w:hAnsi="Times New Roman" w:cs="Times New Roman"/>
          <w:sz w:val="20"/>
          <w:szCs w:val="20"/>
          <w:lang w:val="en-GB"/>
        </w:rPr>
        <w:t xml:space="preserve"> </w:t>
      </w:r>
    </w:p>
    <w:p w14:paraId="6429CEDC" w14:textId="77777777" w:rsidR="004539CD" w:rsidRPr="007B4A26" w:rsidRDefault="004539CD">
      <w:pPr>
        <w:rPr>
          <w:sz w:val="20"/>
          <w:szCs w:val="20"/>
          <w:lang w:val="en-GB"/>
        </w:rPr>
      </w:pPr>
    </w:p>
    <w:p w14:paraId="32F1C296" w14:textId="77777777" w:rsidR="004539CD" w:rsidRPr="007B4A26" w:rsidRDefault="00000000">
      <w:pPr>
        <w:jc w:val="both"/>
        <w:rPr>
          <w:rFonts w:ascii="Times New Roman" w:eastAsia="Times New Roman" w:hAnsi="Times New Roman" w:cs="Times New Roman"/>
          <w:b/>
          <w:sz w:val="20"/>
          <w:szCs w:val="20"/>
          <w:lang w:val="en-GB"/>
        </w:rPr>
      </w:pPr>
      <w:r w:rsidRPr="007B4A26">
        <w:rPr>
          <w:rFonts w:ascii="Times New Roman" w:eastAsia="Times New Roman" w:hAnsi="Times New Roman" w:cs="Times New Roman"/>
          <w:b/>
          <w:sz w:val="20"/>
          <w:szCs w:val="20"/>
          <w:lang w:val="en-GB"/>
        </w:rPr>
        <w:t>Evidence</w:t>
      </w:r>
    </w:p>
    <w:p w14:paraId="7FC2C736" w14:textId="77777777"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 xml:space="preserve">There is currently no clear empirical foundation published for the proposed TTC trigger threshold. There is particular concern around the use of the TTC trigger in urban driving scenarios where, unlike AEB systems, TTC would be required to be calculated for all objects around a vehicle including cyclists and pedestrians, which may travel within a close proximity to the ADS-equipped vehicle. </w:t>
      </w:r>
    </w:p>
    <w:p w14:paraId="6E6150D6" w14:textId="77777777" w:rsidR="004539CD" w:rsidRPr="007B4A26" w:rsidRDefault="00000000">
      <w:pPr>
        <w:rPr>
          <w:rFonts w:ascii="Times New Roman" w:eastAsia="Times New Roman" w:hAnsi="Times New Roman" w:cs="Times New Roman"/>
          <w:b/>
          <w:sz w:val="20"/>
          <w:szCs w:val="20"/>
          <w:lang w:val="en-GB"/>
        </w:rPr>
      </w:pPr>
      <w:r w:rsidRPr="007B4A26">
        <w:rPr>
          <w:rFonts w:ascii="Times New Roman" w:eastAsia="Times New Roman" w:hAnsi="Times New Roman" w:cs="Times New Roman"/>
          <w:b/>
          <w:sz w:val="20"/>
          <w:szCs w:val="20"/>
          <w:lang w:val="en-GB"/>
        </w:rPr>
        <w:t>Regulatory coherence</w:t>
      </w:r>
    </w:p>
    <w:p w14:paraId="26670313" w14:textId="185052F9"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 xml:space="preserve">The TTC trigger is inconsistent with the framework established </w:t>
      </w:r>
      <w:r w:rsidR="00504C81" w:rsidRPr="007B4A26">
        <w:rPr>
          <w:rFonts w:ascii="Times New Roman" w:eastAsia="Times New Roman" w:hAnsi="Times New Roman" w:cs="Times New Roman"/>
          <w:sz w:val="20"/>
          <w:szCs w:val="20"/>
          <w:lang w:val="en-GB"/>
        </w:rPr>
        <w:t xml:space="preserve">via the safety case approach in the ADS regulation. It is also inconsistent with the </w:t>
      </w:r>
      <w:r w:rsidRPr="007B4A26">
        <w:rPr>
          <w:rFonts w:ascii="Times New Roman" w:eastAsia="Times New Roman" w:hAnsi="Times New Roman" w:cs="Times New Roman"/>
          <w:sz w:val="20"/>
          <w:szCs w:val="20"/>
          <w:lang w:val="en-GB"/>
        </w:rPr>
        <w:t>EU Regulation 2022/1426 and UN R157, which use TTC for scenario assessment but not as a continuous monitoring metric. The current proposal risks diverging from these goal-based, performance-oriented approaches and creating overlap or contradiction between regulatory layers.</w:t>
      </w:r>
    </w:p>
    <w:p w14:paraId="58EDC7F1" w14:textId="77777777" w:rsidR="004539CD" w:rsidRPr="007B4A26" w:rsidRDefault="00000000">
      <w:pPr>
        <w:rPr>
          <w:rFonts w:ascii="Times New Roman" w:eastAsia="Times New Roman" w:hAnsi="Times New Roman" w:cs="Times New Roman"/>
          <w:b/>
          <w:sz w:val="20"/>
          <w:szCs w:val="20"/>
          <w:lang w:val="en-GB"/>
        </w:rPr>
      </w:pPr>
      <w:r w:rsidRPr="007B4A26">
        <w:rPr>
          <w:rFonts w:ascii="Times New Roman" w:eastAsia="Times New Roman" w:hAnsi="Times New Roman" w:cs="Times New Roman"/>
          <w:b/>
          <w:sz w:val="20"/>
          <w:szCs w:val="20"/>
          <w:lang w:val="en-GB"/>
        </w:rPr>
        <w:t>Geographical and vehicle scope</w:t>
      </w:r>
    </w:p>
    <w:p w14:paraId="351C52CD" w14:textId="77777777"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The proposed TTC trigger would apply under both the 1958 and 1998 UNECE agreements, spanning a wide range of contracting parties with very different traffic conditions, infrastructure maturity, and regulatory capabilities. A single threshold set at global level risks being misaligned with the realities of diverse road environments and driving styles. Near-miss frequency and TTC dynamics cannot be equivalent across urban, rural, and highway contexts. In addition, the regulation would apply to vehicle categories from light quadricycles (L6/L7) to heavy-goods vehicles (HGVs), which have vastly different dynamics and braking characteristics. Applying the same TTC concept and value across these categories would be technically inconsistent and could undermine proportionality and comparability between systems.</w:t>
      </w:r>
    </w:p>
    <w:p w14:paraId="1AA14BAE" w14:textId="77777777" w:rsidR="004539CD" w:rsidRPr="007B4A26" w:rsidRDefault="004539CD">
      <w:pPr>
        <w:rPr>
          <w:rFonts w:ascii="Times New Roman" w:eastAsia="Times New Roman" w:hAnsi="Times New Roman" w:cs="Times New Roman"/>
          <w:b/>
          <w:sz w:val="20"/>
          <w:szCs w:val="20"/>
          <w:lang w:val="en-GB"/>
        </w:rPr>
      </w:pPr>
    </w:p>
    <w:p w14:paraId="38E11772" w14:textId="77777777" w:rsidR="004539CD" w:rsidRPr="007B4A26" w:rsidRDefault="004539CD">
      <w:pPr>
        <w:rPr>
          <w:rFonts w:ascii="Times New Roman" w:eastAsia="Times New Roman" w:hAnsi="Times New Roman" w:cs="Times New Roman"/>
          <w:b/>
          <w:sz w:val="20"/>
          <w:szCs w:val="20"/>
          <w:lang w:val="en-GB"/>
        </w:rPr>
      </w:pPr>
    </w:p>
    <w:p w14:paraId="232CC79C" w14:textId="77777777" w:rsidR="007B4A26" w:rsidRDefault="007B4A26">
      <w:pPr>
        <w:rPr>
          <w:rFonts w:ascii="Times New Roman" w:eastAsia="Times New Roman" w:hAnsi="Times New Roman" w:cs="Times New Roman"/>
          <w:b/>
          <w:sz w:val="20"/>
          <w:szCs w:val="20"/>
          <w:lang w:val="en-GB"/>
        </w:rPr>
      </w:pPr>
      <w:bookmarkStart w:id="3" w:name="_heading=h.ixmdp2ycj0i1" w:colFirst="0" w:colLast="0"/>
      <w:bookmarkEnd w:id="3"/>
    </w:p>
    <w:p w14:paraId="2E4D43F6" w14:textId="7C2B4616" w:rsidR="004539CD" w:rsidRPr="007B4A26" w:rsidRDefault="00000000">
      <w:pPr>
        <w:rPr>
          <w:rFonts w:ascii="Times New Roman" w:eastAsia="Times New Roman" w:hAnsi="Times New Roman" w:cs="Times New Roman"/>
          <w:b/>
          <w:sz w:val="20"/>
          <w:szCs w:val="20"/>
          <w:lang w:val="en-GB"/>
        </w:rPr>
      </w:pPr>
      <w:r w:rsidRPr="007B4A26">
        <w:rPr>
          <w:rFonts w:ascii="Times New Roman" w:eastAsia="Times New Roman" w:hAnsi="Times New Roman" w:cs="Times New Roman"/>
          <w:b/>
          <w:sz w:val="20"/>
          <w:szCs w:val="20"/>
          <w:lang w:val="en-GB"/>
        </w:rPr>
        <w:lastRenderedPageBreak/>
        <w:t>Cost and data burden</w:t>
      </w:r>
    </w:p>
    <w:p w14:paraId="6534FC26" w14:textId="7A98E575"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Implementing TTC trigger for every safety-relevant object could require major software, compute, and storage changes. For systems that do not natively calculate TTC in the proposed format, this would introduce non-trivial engineering cost. If triggers occur frequently, each event could store tens of gigabytes of data, imposing significant ongoing cost and logistical challenges. Industry does not support introducing any new triggers for time-series recording due to these storage implication</w:t>
      </w:r>
      <w:r w:rsidR="008F0DD9" w:rsidRPr="007B4A26">
        <w:rPr>
          <w:rFonts w:ascii="Times New Roman" w:eastAsia="Times New Roman" w:hAnsi="Times New Roman" w:cs="Times New Roman"/>
          <w:sz w:val="20"/>
          <w:szCs w:val="20"/>
          <w:lang w:val="en-GB"/>
        </w:rPr>
        <w:t>s</w:t>
      </w:r>
      <w:r w:rsidRPr="007B4A26">
        <w:rPr>
          <w:rFonts w:ascii="Times New Roman" w:eastAsia="Times New Roman" w:hAnsi="Times New Roman" w:cs="Times New Roman"/>
          <w:sz w:val="20"/>
          <w:szCs w:val="20"/>
          <w:lang w:val="en-GB"/>
        </w:rPr>
        <w:t>. Any inclusion in a future GTR should follow a full cost–benefit analysis.</w:t>
      </w:r>
    </w:p>
    <w:p w14:paraId="3CBA1818" w14:textId="77777777" w:rsidR="004539CD" w:rsidRPr="007B4A26" w:rsidRDefault="00000000">
      <w:pPr>
        <w:jc w:val="both"/>
        <w:rPr>
          <w:rFonts w:ascii="Times New Roman" w:eastAsia="Times New Roman" w:hAnsi="Times New Roman" w:cs="Times New Roman"/>
          <w:b/>
          <w:sz w:val="20"/>
          <w:szCs w:val="20"/>
          <w:lang w:val="en-GB"/>
        </w:rPr>
      </w:pPr>
      <w:r w:rsidRPr="007B4A26">
        <w:rPr>
          <w:rFonts w:ascii="Times New Roman" w:eastAsia="Times New Roman" w:hAnsi="Times New Roman" w:cs="Times New Roman"/>
          <w:b/>
          <w:sz w:val="20"/>
          <w:szCs w:val="20"/>
          <w:lang w:val="en-GB"/>
        </w:rPr>
        <w:t>Access, privacy and enforcement</w:t>
      </w:r>
    </w:p>
    <w:p w14:paraId="4A3B25D6" w14:textId="4EAD002E"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 xml:space="preserve">Industry does not share the EC’s interpretation that Contracting Parties could mandate off-board accessibility of DSSAD data or require continuous vehicle connectivity. Such an approach would compromise technology neutrality, introduce high data-transfer loads, and raise concerns under data and trade-secret protection. DSSAD’s intended functions are to determine </w:t>
      </w:r>
      <w:r w:rsidR="008F0DD9" w:rsidRPr="007B4A26">
        <w:rPr>
          <w:rFonts w:ascii="Times New Roman" w:eastAsia="Times New Roman" w:hAnsi="Times New Roman" w:cs="Times New Roman"/>
          <w:sz w:val="20"/>
          <w:szCs w:val="20"/>
          <w:lang w:val="en-GB"/>
        </w:rPr>
        <w:t xml:space="preserve">ADS status &amp; behaviour, </w:t>
      </w:r>
      <w:r w:rsidRPr="007B4A26">
        <w:rPr>
          <w:rFonts w:ascii="Times New Roman" w:eastAsia="Times New Roman" w:hAnsi="Times New Roman" w:cs="Times New Roman"/>
          <w:sz w:val="20"/>
          <w:szCs w:val="20"/>
          <w:lang w:val="en-GB"/>
        </w:rPr>
        <w:t>to compliment EDR data</w:t>
      </w:r>
      <w:r w:rsidR="008F0DD9" w:rsidRPr="007B4A26">
        <w:rPr>
          <w:rFonts w:ascii="Times New Roman" w:eastAsia="Times New Roman" w:hAnsi="Times New Roman" w:cs="Times New Roman"/>
          <w:sz w:val="20"/>
          <w:szCs w:val="20"/>
          <w:lang w:val="en-GB"/>
        </w:rPr>
        <w:t xml:space="preserve"> via time-series data</w:t>
      </w:r>
      <w:r w:rsidRPr="007B4A26">
        <w:rPr>
          <w:rFonts w:ascii="Times New Roman" w:eastAsia="Times New Roman" w:hAnsi="Times New Roman" w:cs="Times New Roman"/>
          <w:sz w:val="20"/>
          <w:szCs w:val="20"/>
          <w:lang w:val="en-GB"/>
        </w:rPr>
        <w:t xml:space="preserve">, and monitor ADS safety, not broad research access. </w:t>
      </w:r>
    </w:p>
    <w:p w14:paraId="5A2769C4" w14:textId="77777777" w:rsidR="004539CD" w:rsidRPr="007B4A26" w:rsidRDefault="00000000">
      <w:pPr>
        <w:jc w:val="both"/>
        <w:rPr>
          <w:rFonts w:ascii="Times New Roman" w:eastAsia="Times New Roman" w:hAnsi="Times New Roman" w:cs="Times New Roman"/>
          <w:b/>
          <w:sz w:val="20"/>
          <w:szCs w:val="20"/>
          <w:lang w:val="en-GB"/>
        </w:rPr>
      </w:pPr>
      <w:r w:rsidRPr="007B4A26">
        <w:rPr>
          <w:rFonts w:ascii="Times New Roman" w:eastAsia="Times New Roman" w:hAnsi="Times New Roman" w:cs="Times New Roman"/>
          <w:b/>
          <w:sz w:val="20"/>
          <w:szCs w:val="20"/>
          <w:lang w:val="en-GB"/>
        </w:rPr>
        <w:t>Existing regulatory safeguards</w:t>
      </w:r>
    </w:p>
    <w:p w14:paraId="35117B0A" w14:textId="245C3ABE"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Manufacturers are already required to detect collisions and monitor performance under the Safety Management System (SMS) and In-Service Monitoring and Reporting (ISMR) processes</w:t>
      </w:r>
      <w:r w:rsidR="008F0DD9" w:rsidRPr="007B4A26">
        <w:rPr>
          <w:rFonts w:ascii="Times New Roman" w:eastAsia="Times New Roman" w:hAnsi="Times New Roman" w:cs="Times New Roman"/>
          <w:sz w:val="20"/>
          <w:szCs w:val="20"/>
          <w:lang w:val="en-GB"/>
        </w:rPr>
        <w:t>, e.g. 7.1.8.2 of the ADS UN regulation</w:t>
      </w:r>
      <w:r w:rsidRPr="007B4A26">
        <w:rPr>
          <w:rFonts w:ascii="Times New Roman" w:eastAsia="Times New Roman" w:hAnsi="Times New Roman" w:cs="Times New Roman"/>
          <w:sz w:val="20"/>
          <w:szCs w:val="20"/>
          <w:lang w:val="en-GB"/>
        </w:rPr>
        <w:t>. These mechanisms ensure ongoing safety oversight and feedback to authorities, making additional TTC triggers redundant. Market surveillance authorities already have the power to monitor safety performance through other mechanisms and, if desired, could deploy third-party sensing devices or independent studies to assess near-miss frequency without imposing considerable additional obligations on manufacturers.</w:t>
      </w:r>
    </w:p>
    <w:p w14:paraId="7AAA0B9E" w14:textId="77777777" w:rsidR="004539CD" w:rsidRPr="007B4A26" w:rsidRDefault="00000000">
      <w:pPr>
        <w:pStyle w:val="Heading2"/>
        <w:keepNext w:val="0"/>
        <w:keepLines w:val="0"/>
        <w:spacing w:line="196" w:lineRule="auto"/>
        <w:jc w:val="both"/>
        <w:rPr>
          <w:rFonts w:ascii="Times New Roman" w:eastAsia="Times New Roman" w:hAnsi="Times New Roman" w:cs="Times New Roman"/>
          <w:b/>
          <w:sz w:val="26"/>
          <w:szCs w:val="26"/>
          <w:lang w:val="en-GB"/>
        </w:rPr>
      </w:pPr>
      <w:bookmarkStart w:id="4" w:name="_heading=h.f58ow0o7nh9s" w:colFirst="0" w:colLast="0"/>
      <w:bookmarkEnd w:id="4"/>
      <w:r w:rsidRPr="007B4A26">
        <w:rPr>
          <w:rFonts w:ascii="Times New Roman" w:eastAsia="Times New Roman" w:hAnsi="Times New Roman" w:cs="Times New Roman"/>
          <w:b/>
          <w:sz w:val="26"/>
          <w:szCs w:val="26"/>
          <w:lang w:val="en-GB"/>
        </w:rPr>
        <w:t>Relevant research</w:t>
      </w:r>
    </w:p>
    <w:p w14:paraId="688C9632" w14:textId="77777777" w:rsidR="004539CD" w:rsidRPr="007B4A26" w:rsidRDefault="00000000">
      <w:pPr>
        <w:spacing w:after="200"/>
        <w:jc w:val="both"/>
        <w:rPr>
          <w:rFonts w:ascii="Times New Roman" w:eastAsia="Times New Roman" w:hAnsi="Times New Roman" w:cs="Times New Roman"/>
          <w:sz w:val="20"/>
          <w:szCs w:val="20"/>
          <w:highlight w:val="yellow"/>
          <w:lang w:val="en-GB"/>
        </w:rPr>
      </w:pPr>
      <w:r w:rsidRPr="007B4A26">
        <w:rPr>
          <w:rFonts w:ascii="Times New Roman" w:eastAsia="Times New Roman" w:hAnsi="Times New Roman" w:cs="Times New Roman"/>
          <w:sz w:val="20"/>
          <w:szCs w:val="20"/>
          <w:lang w:val="en-GB"/>
        </w:rPr>
        <w:t xml:space="preserve">The following peer-reviewed studies collectively highlight the methodological and practical limitations of using a fixed Time-to-Collision (TTC) trigger threshold as proposed. </w:t>
      </w:r>
    </w:p>
    <w:p w14:paraId="746AE848" w14:textId="77777777" w:rsidR="004539CD" w:rsidRPr="007B4A26" w:rsidRDefault="00000000">
      <w:pPr>
        <w:numPr>
          <w:ilvl w:val="0"/>
          <w:numId w:val="1"/>
        </w:numPr>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Bärgman, Zhao and Flannagan (2025) argue that surrogate safety metrics such as TTC can produce biased or inaccurate conclusions if not calibrated to specific speed, scenario, and crash-severity contexts, and caution that using a single global TTC value risks systematic misestimation of safety performance across vehicle types and operating conditions.</w:t>
      </w:r>
    </w:p>
    <w:p w14:paraId="445E167B" w14:textId="77777777" w:rsidR="004539CD" w:rsidRPr="007B4A26" w:rsidRDefault="00000000">
      <w:pPr>
        <w:numPr>
          <w:ilvl w:val="0"/>
          <w:numId w:val="1"/>
        </w:numPr>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Mahmud, Ferreira, Hoque and Tavassoli (2017) argue that TTC may not be an appropriate surrogate safety indicator for the measurement of complex or lateral interactions.</w:t>
      </w:r>
    </w:p>
    <w:p w14:paraId="68913DFB" w14:textId="77777777" w:rsidR="004539CD" w:rsidRPr="007B4A26" w:rsidRDefault="00000000">
      <w:pPr>
        <w:pStyle w:val="Heading2"/>
        <w:keepNext w:val="0"/>
        <w:keepLines w:val="0"/>
        <w:spacing w:after="200" w:line="196" w:lineRule="auto"/>
        <w:jc w:val="both"/>
        <w:rPr>
          <w:rFonts w:ascii="Times New Roman" w:eastAsia="Times New Roman" w:hAnsi="Times New Roman" w:cs="Times New Roman"/>
          <w:b/>
          <w:sz w:val="26"/>
          <w:szCs w:val="26"/>
          <w:lang w:val="en-GB"/>
        </w:rPr>
      </w:pPr>
      <w:bookmarkStart w:id="5" w:name="_heading=h.3jfuoamqtgd1" w:colFirst="0" w:colLast="0"/>
      <w:bookmarkEnd w:id="5"/>
      <w:r w:rsidRPr="007B4A26">
        <w:rPr>
          <w:rFonts w:ascii="Times New Roman" w:eastAsia="Times New Roman" w:hAnsi="Times New Roman" w:cs="Times New Roman"/>
          <w:b/>
          <w:sz w:val="26"/>
          <w:szCs w:val="26"/>
          <w:lang w:val="en-GB"/>
        </w:rPr>
        <w:t>Next Steps</w:t>
      </w:r>
    </w:p>
    <w:p w14:paraId="2703A319" w14:textId="43AD5D69" w:rsidR="004539CD" w:rsidRPr="007B4A26" w:rsidRDefault="00000000">
      <w:pPr>
        <w:spacing w:after="200"/>
        <w:jc w:val="both"/>
        <w:rPr>
          <w:rFonts w:ascii="Times New Roman" w:eastAsia="Times New Roman" w:hAnsi="Times New Roman" w:cs="Times New Roman"/>
          <w:sz w:val="20"/>
          <w:szCs w:val="20"/>
          <w:lang w:val="en-GB"/>
        </w:rPr>
      </w:pPr>
      <w:r w:rsidRPr="007B4A26">
        <w:rPr>
          <w:rFonts w:ascii="Times New Roman" w:eastAsia="Times New Roman" w:hAnsi="Times New Roman" w:cs="Times New Roman"/>
          <w:sz w:val="20"/>
          <w:szCs w:val="20"/>
          <w:lang w:val="en-GB"/>
        </w:rPr>
        <w:t>Industry supports maintaining the current DSSAD approach without the TTC trigger for the first version of the regulation. Future work should focus on empirical validation of TTC as a safety indicator, establishing methods for calibration across ODDs, and aligning with existing regulatory structures. A more comprehensive research program could explore surrogate safety measures, including TTC, with attention to cost-benefit balance, proportionality, and practical implementation. Industry remains open to continued collaboration on developing evidence-based, technology-neutral safety monitoring approaches that provide meaningful insights without creating disproportionate compliance burdens</w:t>
      </w:r>
      <w:r w:rsidR="007B4A26" w:rsidRPr="007B4A26">
        <w:rPr>
          <w:rFonts w:ascii="Times New Roman" w:eastAsia="Times New Roman" w:hAnsi="Times New Roman" w:cs="Times New Roman"/>
          <w:sz w:val="20"/>
          <w:szCs w:val="20"/>
          <w:lang w:val="en-GB"/>
        </w:rPr>
        <w:t xml:space="preserve"> and harmonisation between the UN Regulation and Global Technical Regulation.</w:t>
      </w:r>
    </w:p>
    <w:p w14:paraId="5194B28C" w14:textId="77777777" w:rsidR="004539CD" w:rsidRPr="007B4A26" w:rsidRDefault="00000000">
      <w:pPr>
        <w:pStyle w:val="Heading2"/>
        <w:keepNext w:val="0"/>
        <w:keepLines w:val="0"/>
        <w:spacing w:line="259" w:lineRule="auto"/>
        <w:rPr>
          <w:rFonts w:ascii="Times New Roman" w:eastAsia="Times New Roman" w:hAnsi="Times New Roman" w:cs="Times New Roman"/>
          <w:b/>
          <w:sz w:val="26"/>
          <w:szCs w:val="26"/>
          <w:lang w:val="en-GB"/>
        </w:rPr>
      </w:pPr>
      <w:bookmarkStart w:id="6" w:name="_heading=h.dke54krpokqz" w:colFirst="0" w:colLast="0"/>
      <w:bookmarkEnd w:id="6"/>
      <w:r w:rsidRPr="007B4A26">
        <w:rPr>
          <w:rFonts w:ascii="Times New Roman" w:eastAsia="Times New Roman" w:hAnsi="Times New Roman" w:cs="Times New Roman"/>
          <w:b/>
          <w:sz w:val="26"/>
          <w:szCs w:val="26"/>
          <w:lang w:val="en-GB"/>
        </w:rPr>
        <w:t>References</w:t>
      </w:r>
    </w:p>
    <w:p w14:paraId="5092951A" w14:textId="77777777" w:rsidR="004539CD" w:rsidRPr="007B4A26" w:rsidRDefault="00000000">
      <w:pPr>
        <w:rPr>
          <w:rFonts w:ascii="Times New Roman" w:eastAsia="Times New Roman" w:hAnsi="Times New Roman" w:cs="Times New Roman"/>
          <w:sz w:val="18"/>
          <w:szCs w:val="18"/>
          <w:lang w:val="en-GB"/>
        </w:rPr>
      </w:pPr>
      <w:r w:rsidRPr="007B4A26">
        <w:rPr>
          <w:rFonts w:ascii="Times New Roman" w:eastAsia="Times New Roman" w:hAnsi="Times New Roman" w:cs="Times New Roman"/>
          <w:sz w:val="18"/>
          <w:szCs w:val="18"/>
          <w:lang w:val="en-GB"/>
        </w:rPr>
        <w:t>Bärgman, J., Zhao, M. and Flannagan, C. (2025) ‘Challenges and recommendations using surrogates for safety impact assessment: correcting misestimations’, *TechRxiv preprint*, DOI: 10.36227/techrxiv.175877817.75799249/v1.</w:t>
      </w:r>
      <w:r w:rsidRPr="007B4A26">
        <w:rPr>
          <w:rFonts w:ascii="Times New Roman" w:eastAsia="Times New Roman" w:hAnsi="Times New Roman" w:cs="Times New Roman"/>
          <w:sz w:val="18"/>
          <w:szCs w:val="18"/>
          <w:lang w:val="en-GB"/>
        </w:rPr>
        <w:br/>
      </w:r>
      <w:r w:rsidRPr="007B4A26">
        <w:rPr>
          <w:rFonts w:ascii="Times New Roman" w:eastAsia="Times New Roman" w:hAnsi="Times New Roman" w:cs="Times New Roman"/>
          <w:sz w:val="18"/>
          <w:szCs w:val="18"/>
          <w:lang w:val="en-GB"/>
        </w:rPr>
        <w:br/>
        <w:t>Mahmud, S. M. S., Ferreira, L., Hoque, M. S. and Tavassoli, A. (2017) ‘Application of proximal surrogate indicators for safety evaluation: A review of recent developments and research needs’, IATSS Research, 41(3), pp. 153–163. https://doi.org/10.1016/j.iatssr.2017.02.001</w:t>
      </w:r>
    </w:p>
    <w:sectPr w:rsidR="004539CD" w:rsidRPr="007B4A26">
      <w:headerReference w:type="even" r:id="rId8"/>
      <w:headerReference w:type="default" r:id="rId9"/>
      <w:footerReference w:type="even" r:id="rId10"/>
      <w:footerReference w:type="default" r:id="rId11"/>
      <w:headerReference w:type="first" r:id="rId12"/>
      <w:footerReference w:type="first" r:id="rId13"/>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EE9EA3" w14:textId="77777777" w:rsidR="006665EA" w:rsidRDefault="006665EA">
      <w:pPr>
        <w:spacing w:line="240" w:lineRule="auto"/>
      </w:pPr>
      <w:r>
        <w:separator/>
      </w:r>
    </w:p>
  </w:endnote>
  <w:endnote w:type="continuationSeparator" w:id="0">
    <w:p w14:paraId="62B351C8" w14:textId="77777777" w:rsidR="006665EA" w:rsidRDefault="006665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84882138-8EBD-534F-9351-D40927D7EBCE}"/>
    <w:embedBold r:id="rId2" w:fontKey="{977D920D-4C50-5947-808E-932782BCC936}"/>
  </w:font>
  <w:font w:name="Arial">
    <w:panose1 w:val="020B0604020202020204"/>
    <w:charset w:val="00"/>
    <w:family w:val="swiss"/>
    <w:pitch w:val="variable"/>
    <w:sig w:usb0="E0002EFF" w:usb1="C000785B" w:usb2="00000009" w:usb3="00000000" w:csb0="000001FF" w:csb1="00000000"/>
    <w:embedRegular r:id="rId3" w:fontKey="{464257E3-E74E-3848-8D75-12D2DAB1BA3E}"/>
    <w:embedBold r:id="rId4" w:fontKey="{C44692D0-04F5-F441-9500-16C6328B8092}"/>
    <w:embedItalic r:id="rId5" w:fontKey="{B8D98F26-9E7D-E249-83B8-C39042878B6B}"/>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embedRegular r:id="rId6" w:fontKey="{BD79A4DA-F922-B340-9FDB-3125F6B5A883}"/>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7" w:fontKey="{235A7F4A-1DFC-5F41-AD49-DDF7B22F666C}"/>
  </w:font>
  <w:font w:name="Cambria">
    <w:panose1 w:val="02040503050406030204"/>
    <w:charset w:val="00"/>
    <w:family w:val="roman"/>
    <w:pitch w:val="variable"/>
    <w:sig w:usb0="E00006FF" w:usb1="420024FF" w:usb2="02000000" w:usb3="00000000" w:csb0="0000019F" w:csb1="00000000"/>
    <w:embedRegular r:id="rId8" w:fontKey="{5D502C1E-4033-6B48-84CE-CFF63AE05B0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884A" w14:textId="77777777" w:rsidR="00134C7E" w:rsidRDefault="00134C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D7AA9" w14:textId="77777777" w:rsidR="00134C7E" w:rsidRDefault="00134C7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28C61" w14:textId="77777777" w:rsidR="00134C7E" w:rsidRDefault="00134C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9CBEC2" w14:textId="77777777" w:rsidR="006665EA" w:rsidRDefault="006665EA">
      <w:pPr>
        <w:spacing w:line="240" w:lineRule="auto"/>
      </w:pPr>
      <w:r>
        <w:separator/>
      </w:r>
    </w:p>
  </w:footnote>
  <w:footnote w:type="continuationSeparator" w:id="0">
    <w:p w14:paraId="15D49EF5" w14:textId="77777777" w:rsidR="006665EA" w:rsidRDefault="006665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D0E54" w14:textId="77777777" w:rsidR="00134C7E" w:rsidRDefault="00134C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FAE50" w14:textId="4842038E" w:rsidR="004539CD" w:rsidRDefault="00712267">
    <w:pPr>
      <w:tabs>
        <w:tab w:val="right" w:pos="8910"/>
      </w:tabs>
      <w:rPr>
        <w:rFonts w:ascii="Times New Roman" w:eastAsia="Times New Roman" w:hAnsi="Times New Roman" w:cs="Times New Roman"/>
      </w:rPr>
    </w:pPr>
    <w:r>
      <w:tab/>
    </w:r>
    <w:r>
      <w:rPr>
        <w:rFonts w:ascii="Times New Roman" w:eastAsia="Times New Roman" w:hAnsi="Times New Roman" w:cs="Times New Roman"/>
      </w:rPr>
      <w:t>SG-DSSAD-29</w:t>
    </w:r>
  </w:p>
  <w:p w14:paraId="075F106D" w14:textId="77777777" w:rsidR="004539CD" w:rsidRDefault="00000000">
    <w:pPr>
      <w:tabs>
        <w:tab w:val="right" w:pos="8910"/>
      </w:tabs>
      <w:rPr>
        <w:rFonts w:ascii="Times New Roman" w:eastAsia="Times New Roman" w:hAnsi="Times New Roman" w:cs="Times New Roman"/>
      </w:rPr>
    </w:pPr>
    <w:r>
      <w:rPr>
        <w:rFonts w:ascii="Times New Roman" w:eastAsia="Times New Roman" w:hAnsi="Times New Roman" w:cs="Times New Roman"/>
      </w:rPr>
      <w:tab/>
      <w:t>6-7 November 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1CE25" w14:textId="77777777" w:rsidR="00134C7E" w:rsidRDefault="00134C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5D7C70"/>
    <w:multiLevelType w:val="multilevel"/>
    <w:tmpl w:val="5010F7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718824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4"/>
  <w:embedTrueTypeFonts/>
  <w:bordersDoNotSurroundHeader/>
  <w:bordersDoNotSurroundFooter/>
  <w:defaultTabStop w:val="720"/>
  <w:characterSpacingControl w:val="doNotCompress"/>
  <w:hdrShapeDefaults>
    <o:shapedefaults v:ext="edit" spidmax="2052">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39CD"/>
    <w:rsid w:val="00134C7E"/>
    <w:rsid w:val="001E2CDF"/>
    <w:rsid w:val="00260C09"/>
    <w:rsid w:val="003553E9"/>
    <w:rsid w:val="004539CD"/>
    <w:rsid w:val="004B526E"/>
    <w:rsid w:val="00504C81"/>
    <w:rsid w:val="005A7620"/>
    <w:rsid w:val="006665EA"/>
    <w:rsid w:val="00684692"/>
    <w:rsid w:val="00712267"/>
    <w:rsid w:val="00735B8E"/>
    <w:rsid w:val="007954ED"/>
    <w:rsid w:val="007B4A26"/>
    <w:rsid w:val="007C172C"/>
    <w:rsid w:val="007F726D"/>
    <w:rsid w:val="008E6468"/>
    <w:rsid w:val="008F0DD9"/>
    <w:rsid w:val="00980243"/>
    <w:rsid w:val="0099542D"/>
    <w:rsid w:val="009F6E1A"/>
    <w:rsid w:val="00A62348"/>
    <w:rsid w:val="00A95135"/>
    <w:rsid w:val="00C27BC6"/>
    <w:rsid w:val="00CD0E46"/>
    <w:rsid w:val="00DF5162"/>
    <w:rsid w:val="00E1749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2">
      <v:textbox inset="5.85pt,.7pt,5.85pt,.7pt"/>
    </o:shapedefaults>
    <o:shapelayout v:ext="edit">
      <o:idmap v:ext="edit" data="2"/>
    </o:shapelayout>
  </w:shapeDefaults>
  <w:decimalSymbol w:val="."/>
  <w:listSeparator w:val=","/>
  <w14:docId w14:val="7F69420F"/>
  <w15:docId w15:val="{97E7F9AA-63D0-E14D-B1F5-C43498FFF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5358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358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30F95"/>
    <w:rPr>
      <w:b/>
      <w:bCs/>
    </w:rPr>
  </w:style>
  <w:style w:type="character" w:customStyle="1" w:styleId="CommentSubjectChar">
    <w:name w:val="Comment Subject Char"/>
    <w:basedOn w:val="CommentTextChar"/>
    <w:link w:val="CommentSubject"/>
    <w:uiPriority w:val="99"/>
    <w:semiHidden/>
    <w:rsid w:val="00830F95"/>
    <w:rPr>
      <w:b/>
      <w:bCs/>
      <w:sz w:val="20"/>
      <w:szCs w:val="20"/>
    </w:rPr>
  </w:style>
  <w:style w:type="paragraph" w:styleId="Header">
    <w:name w:val="header"/>
    <w:basedOn w:val="Normal"/>
    <w:link w:val="HeaderChar"/>
    <w:uiPriority w:val="99"/>
    <w:unhideWhenUsed/>
    <w:rsid w:val="004B7C7B"/>
    <w:pPr>
      <w:tabs>
        <w:tab w:val="center" w:pos="4680"/>
        <w:tab w:val="right" w:pos="9360"/>
      </w:tabs>
      <w:spacing w:line="240" w:lineRule="auto"/>
    </w:pPr>
  </w:style>
  <w:style w:type="character" w:customStyle="1" w:styleId="HeaderChar">
    <w:name w:val="Header Char"/>
    <w:basedOn w:val="DefaultParagraphFont"/>
    <w:link w:val="Header"/>
    <w:uiPriority w:val="99"/>
    <w:rsid w:val="004B7C7B"/>
  </w:style>
  <w:style w:type="paragraph" w:styleId="Footer">
    <w:name w:val="footer"/>
    <w:basedOn w:val="Normal"/>
    <w:link w:val="FooterChar"/>
    <w:uiPriority w:val="99"/>
    <w:unhideWhenUsed/>
    <w:rsid w:val="004B7C7B"/>
    <w:pPr>
      <w:tabs>
        <w:tab w:val="center" w:pos="4680"/>
        <w:tab w:val="right" w:pos="9360"/>
      </w:tabs>
      <w:spacing w:line="240" w:lineRule="auto"/>
    </w:pPr>
  </w:style>
  <w:style w:type="character" w:customStyle="1" w:styleId="FooterChar">
    <w:name w:val="Footer Char"/>
    <w:basedOn w:val="DefaultParagraphFont"/>
    <w:link w:val="Footer"/>
    <w:uiPriority w:val="99"/>
    <w:rsid w:val="004B7C7B"/>
  </w:style>
  <w:style w:type="paragraph" w:styleId="Subtitle">
    <w:name w:val="Subtitle"/>
    <w:basedOn w:val="Normal"/>
    <w:next w:val="Normal"/>
    <w:uiPriority w:val="11"/>
    <w:qFormat/>
    <w:pPr>
      <w:keepNext/>
      <w:keepLines/>
      <w:spacing w:after="320"/>
    </w:pPr>
    <w:rPr>
      <w:color w:val="666666"/>
      <w:sz w:val="30"/>
      <w:szCs w:val="30"/>
    </w:rPr>
  </w:style>
  <w:style w:type="paragraph" w:styleId="Revision">
    <w:name w:val="Revision"/>
    <w:hidden/>
    <w:uiPriority w:val="99"/>
    <w:semiHidden/>
    <w:rsid w:val="008F0DD9"/>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rRfg59xJHe1sb/P6DTrABPJYQw==">CgMxLjAyDmguMm8zZmF2ano3ZGx3Mg1oLjJmd3hjNWY2OXVjMg5oLnZ4cnQzOW85cWdpcTIOaC5peG1kcDJ5Y2owaTEyDmguZjU4b3cwbzduaDlzMg5oLjNqZnVvYW1xdGdkMTIOaC5ka2U1NGtycG9rcXo4AHIhMU1CdEZ1R3lhdnlqMHptdkNQck5tVDdwVHg1cE1SNnl4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1002</Words>
  <Characters>6354</Characters>
  <Application>Microsoft Office Word</Application>
  <DocSecurity>0</DocSecurity>
  <Lines>90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KONDOU, HARUHIKO</dc:creator>
  <cp:lastModifiedBy>Morgan Kirkham-Jones</cp:lastModifiedBy>
  <cp:revision>7</cp:revision>
  <dcterms:created xsi:type="dcterms:W3CDTF">2025-10-29T14:48:00Z</dcterms:created>
  <dcterms:modified xsi:type="dcterms:W3CDTF">2025-10-29T19:14:00Z</dcterms:modified>
</cp:coreProperties>
</file>