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3BC52" w14:textId="2E7874EF" w:rsidR="00F15342" w:rsidRDefault="005D0727" w:rsidP="005D0727">
      <w:pPr>
        <w:jc w:val="center"/>
        <w:rPr>
          <w:b/>
          <w:bCs/>
          <w:lang w:val="en-US"/>
        </w:rPr>
      </w:pPr>
      <w:r>
        <w:rPr>
          <w:b/>
          <w:bCs/>
          <w:lang w:val="en-US"/>
        </w:rPr>
        <w:t>Proposals for editorial improvements to the draft DSSAD regulatory provisions</w:t>
      </w:r>
    </w:p>
    <w:p w14:paraId="68BE0B5E" w14:textId="682C528B" w:rsidR="005D0727" w:rsidRDefault="005D0727" w:rsidP="005D0727">
      <w:pPr>
        <w:ind w:left="990" w:right="900"/>
        <w:rPr>
          <w:lang w:val="en-US"/>
        </w:rPr>
      </w:pPr>
      <w:r>
        <w:rPr>
          <w:lang w:val="en-US"/>
        </w:rPr>
        <w:t>The following proposals aim to clarify and align the draft provisions concerning data storage systems for automated driving with the terms, definitions, and text of the draft ADS regulations as submitted to GRVA.</w:t>
      </w:r>
      <w:r w:rsidR="002B3064">
        <w:rPr>
          <w:lang w:val="en-US"/>
        </w:rPr>
        <w:t xml:space="preserve"> The proposals are based on informal document DSSAD-29-02 (</w:t>
      </w:r>
      <w:r w:rsidR="002B3064" w:rsidRPr="002B3064">
        <w:rPr>
          <w:lang w:val="en-US"/>
        </w:rPr>
        <w:t>ADS-14-30/Rev.1</w:t>
      </w:r>
      <w:r w:rsidR="002B3064">
        <w:rPr>
          <w:lang w:val="en-US"/>
        </w:rPr>
        <w:t>).</w:t>
      </w:r>
      <w:r w:rsidR="005D7AB4">
        <w:rPr>
          <w:lang w:val="en-US"/>
        </w:rPr>
        <w:t xml:space="preserve"> The proposals do not aim to change the substance of the provisions in these documents.</w:t>
      </w:r>
    </w:p>
    <w:tbl>
      <w:tblPr>
        <w:tblStyle w:val="TableGrid"/>
        <w:tblW w:w="0" w:type="auto"/>
        <w:tblLook w:val="04A0" w:firstRow="1" w:lastRow="0" w:firstColumn="1" w:lastColumn="0" w:noHBand="0" w:noVBand="1"/>
      </w:tblPr>
      <w:tblGrid>
        <w:gridCol w:w="3116"/>
        <w:gridCol w:w="3117"/>
        <w:gridCol w:w="3117"/>
      </w:tblGrid>
      <w:tr w:rsidR="002B3064" w14:paraId="47965469" w14:textId="77777777" w:rsidTr="002B3064">
        <w:tc>
          <w:tcPr>
            <w:tcW w:w="3116" w:type="dxa"/>
          </w:tcPr>
          <w:p w14:paraId="76AA5AAD" w14:textId="77777777" w:rsidR="002B3064" w:rsidRDefault="002B3064" w:rsidP="002B3064">
            <w:pPr>
              <w:rPr>
                <w:lang w:val="en-US"/>
              </w:rPr>
            </w:pPr>
          </w:p>
        </w:tc>
        <w:tc>
          <w:tcPr>
            <w:tcW w:w="3117" w:type="dxa"/>
          </w:tcPr>
          <w:p w14:paraId="00658820" w14:textId="77777777" w:rsidR="002B3064" w:rsidRDefault="002B3064" w:rsidP="002B3064">
            <w:pPr>
              <w:rPr>
                <w:lang w:val="en-US"/>
              </w:rPr>
            </w:pPr>
          </w:p>
        </w:tc>
        <w:tc>
          <w:tcPr>
            <w:tcW w:w="3117" w:type="dxa"/>
          </w:tcPr>
          <w:p w14:paraId="5223EF0B" w14:textId="77777777" w:rsidR="002B3064" w:rsidRDefault="002B3064" w:rsidP="002B3064">
            <w:pPr>
              <w:rPr>
                <w:lang w:val="en-US"/>
              </w:rPr>
            </w:pPr>
          </w:p>
        </w:tc>
      </w:tr>
      <w:tr w:rsidR="00770E1B" w14:paraId="72ABEFE2" w14:textId="77777777" w:rsidTr="00DF27EA">
        <w:tc>
          <w:tcPr>
            <w:tcW w:w="3116" w:type="dxa"/>
            <w:vMerge w:val="restart"/>
          </w:tcPr>
          <w:p w14:paraId="4359D1DE" w14:textId="30CA23D4" w:rsidR="00770E1B" w:rsidRDefault="00770E1B" w:rsidP="002B3064">
            <w:pPr>
              <w:rPr>
                <w:lang w:val="en-US"/>
              </w:rPr>
            </w:pPr>
            <w:r>
              <w:rPr>
                <w:lang w:val="en-US"/>
              </w:rPr>
              <w:t>Terms and definitions</w:t>
            </w:r>
          </w:p>
        </w:tc>
        <w:tc>
          <w:tcPr>
            <w:tcW w:w="6234" w:type="dxa"/>
            <w:gridSpan w:val="2"/>
          </w:tcPr>
          <w:p w14:paraId="734D2C5D" w14:textId="036B0B68" w:rsidR="00770E1B" w:rsidRDefault="00770E1B" w:rsidP="002B3064">
            <w:pPr>
              <w:rPr>
                <w:lang w:val="en-US"/>
              </w:rPr>
            </w:pPr>
            <w:r>
              <w:rPr>
                <w:i/>
                <w:iCs/>
                <w:lang w:val="en-US"/>
              </w:rPr>
              <w:t>“Data Storage System for Automated Driving (DSSAD)”</w:t>
            </w:r>
            <w:r>
              <w:rPr>
                <w:lang w:val="en-US"/>
              </w:rPr>
              <w:t xml:space="preserve"> means the capability to record and store data concerning the safety performance of a vehicle’s ADS.</w:t>
            </w:r>
          </w:p>
        </w:tc>
      </w:tr>
      <w:tr w:rsidR="00770E1B" w14:paraId="23F1BD3B" w14:textId="77777777" w:rsidTr="000A7BC6">
        <w:tc>
          <w:tcPr>
            <w:tcW w:w="3116" w:type="dxa"/>
            <w:vMerge/>
          </w:tcPr>
          <w:p w14:paraId="4C655A5F" w14:textId="77777777" w:rsidR="00770E1B" w:rsidRDefault="00770E1B" w:rsidP="002B3064">
            <w:pPr>
              <w:rPr>
                <w:lang w:val="en-US"/>
              </w:rPr>
            </w:pPr>
          </w:p>
        </w:tc>
        <w:tc>
          <w:tcPr>
            <w:tcW w:w="6234" w:type="dxa"/>
            <w:gridSpan w:val="2"/>
          </w:tcPr>
          <w:p w14:paraId="2D736565" w14:textId="23C26DD7" w:rsidR="00770E1B" w:rsidRPr="00C23EFB" w:rsidRDefault="00770E1B" w:rsidP="002B3064">
            <w:pPr>
              <w:rPr>
                <w:sz w:val="20"/>
                <w:szCs w:val="20"/>
                <w:lang w:val="en-US"/>
              </w:rPr>
            </w:pPr>
            <w:r w:rsidRPr="00C23EFB">
              <w:rPr>
                <w:sz w:val="20"/>
                <w:szCs w:val="20"/>
                <w:lang w:val="en-US"/>
              </w:rPr>
              <w:t>“DSSAD” is a technical term that should be defined in the ADS regulations. The proposed definition is based on the general requirement in the first row of DSSAD-29-02 that describes a DSSAD as a “data storage capability of a vehicle to monitor the safety performance of ADS”. The proposal aims to:</w:t>
            </w:r>
          </w:p>
          <w:p w14:paraId="5E9CE494" w14:textId="2A2104FC" w:rsidR="00770E1B" w:rsidRPr="00C23EFB" w:rsidRDefault="00770E1B" w:rsidP="00BF39FD">
            <w:pPr>
              <w:pStyle w:val="ListParagraph"/>
              <w:numPr>
                <w:ilvl w:val="0"/>
                <w:numId w:val="6"/>
              </w:numPr>
              <w:rPr>
                <w:sz w:val="20"/>
                <w:szCs w:val="20"/>
                <w:lang w:val="en-US"/>
              </w:rPr>
            </w:pPr>
            <w:r w:rsidRPr="00C23EFB">
              <w:rPr>
                <w:sz w:val="20"/>
                <w:szCs w:val="20"/>
                <w:lang w:val="en-US"/>
              </w:rPr>
              <w:t>Differentiate recording and storage (i.e., two distinct functions),</w:t>
            </w:r>
          </w:p>
          <w:p w14:paraId="36334625" w14:textId="5602CB7E" w:rsidR="00770E1B" w:rsidRDefault="00770E1B" w:rsidP="00BF39FD">
            <w:pPr>
              <w:pStyle w:val="ListParagraph"/>
              <w:numPr>
                <w:ilvl w:val="0"/>
                <w:numId w:val="6"/>
              </w:numPr>
              <w:rPr>
                <w:sz w:val="20"/>
                <w:szCs w:val="20"/>
                <w:lang w:val="en-US"/>
              </w:rPr>
            </w:pPr>
            <w:r w:rsidRPr="00C23EFB">
              <w:rPr>
                <w:sz w:val="20"/>
                <w:szCs w:val="20"/>
                <w:lang w:val="en-US"/>
              </w:rPr>
              <w:t>Be technology-neutral on the means used to record and/or store the data (e.g., on or off board a vehicle),</w:t>
            </w:r>
          </w:p>
          <w:p w14:paraId="699094C9" w14:textId="368A0ABA" w:rsidR="00770E1B" w:rsidRPr="00C23EFB" w:rsidRDefault="00770E1B" w:rsidP="00BF39FD">
            <w:pPr>
              <w:pStyle w:val="ListParagraph"/>
              <w:numPr>
                <w:ilvl w:val="0"/>
                <w:numId w:val="6"/>
              </w:numPr>
              <w:rPr>
                <w:sz w:val="20"/>
                <w:szCs w:val="20"/>
                <w:lang w:val="en-US"/>
              </w:rPr>
            </w:pPr>
            <w:r>
              <w:rPr>
                <w:sz w:val="20"/>
                <w:szCs w:val="20"/>
                <w:lang w:val="en-US"/>
              </w:rPr>
              <w:t>Cover the scope of the proposed annex,</w:t>
            </w:r>
          </w:p>
          <w:p w14:paraId="117A4B49" w14:textId="77777777" w:rsidR="00770E1B" w:rsidRPr="00C23EFB" w:rsidRDefault="00770E1B" w:rsidP="00BF39FD">
            <w:pPr>
              <w:pStyle w:val="ListParagraph"/>
              <w:numPr>
                <w:ilvl w:val="0"/>
                <w:numId w:val="6"/>
              </w:numPr>
              <w:rPr>
                <w:sz w:val="20"/>
                <w:szCs w:val="20"/>
                <w:lang w:val="en-US"/>
              </w:rPr>
            </w:pPr>
            <w:r w:rsidRPr="00C23EFB">
              <w:rPr>
                <w:sz w:val="20"/>
                <w:szCs w:val="20"/>
                <w:lang w:val="en-US"/>
              </w:rPr>
              <w:t>Clarify that a DSSAD is specific to a single ADS on a single vehicle, and</w:t>
            </w:r>
          </w:p>
          <w:p w14:paraId="6F156C89" w14:textId="3EA6DF39" w:rsidR="00770E1B" w:rsidRPr="00C23EFB" w:rsidRDefault="00770E1B" w:rsidP="00BF39FD">
            <w:pPr>
              <w:pStyle w:val="ListParagraph"/>
              <w:numPr>
                <w:ilvl w:val="0"/>
                <w:numId w:val="6"/>
              </w:numPr>
              <w:rPr>
                <w:sz w:val="20"/>
                <w:szCs w:val="20"/>
                <w:lang w:val="en-US"/>
              </w:rPr>
            </w:pPr>
            <w:r w:rsidRPr="00C23EFB">
              <w:rPr>
                <w:sz w:val="20"/>
                <w:szCs w:val="20"/>
                <w:lang w:val="en-US"/>
              </w:rPr>
              <w:t>Enable the use of DSSAD in the ADS vehicle requirements.</w:t>
            </w:r>
          </w:p>
        </w:tc>
      </w:tr>
      <w:tr w:rsidR="00770E1B" w14:paraId="60DF08EE" w14:textId="77777777" w:rsidTr="008C06CA">
        <w:tc>
          <w:tcPr>
            <w:tcW w:w="3116" w:type="dxa"/>
            <w:vMerge/>
          </w:tcPr>
          <w:p w14:paraId="34841CAD" w14:textId="77777777" w:rsidR="00770E1B" w:rsidRPr="00C23EFB" w:rsidRDefault="00770E1B" w:rsidP="00C23EFB">
            <w:pPr>
              <w:ind w:left="720" w:hanging="720"/>
              <w:rPr>
                <w:lang w:val="en-US"/>
              </w:rPr>
            </w:pPr>
          </w:p>
        </w:tc>
        <w:tc>
          <w:tcPr>
            <w:tcW w:w="6234" w:type="dxa"/>
            <w:gridSpan w:val="2"/>
          </w:tcPr>
          <w:p w14:paraId="4D12C3C0" w14:textId="77777777" w:rsidR="00770E1B" w:rsidRDefault="00770E1B" w:rsidP="002B3064">
            <w:pPr>
              <w:rPr>
                <w:lang w:val="en-US"/>
              </w:rPr>
            </w:pPr>
            <w:r w:rsidRPr="00770E1B">
              <w:rPr>
                <w:lang w:val="en-US"/>
              </w:rPr>
              <w:t>[2.11.4.</w:t>
            </w:r>
            <w:r w:rsidRPr="00770E1B">
              <w:rPr>
                <w:i/>
                <w:iCs/>
                <w:lang w:val="en-US"/>
              </w:rPr>
              <w:tab/>
              <w:t>“Detected objects”</w:t>
            </w:r>
            <w:r w:rsidRPr="00770E1B">
              <w:rPr>
                <w:lang w:val="en-US"/>
              </w:rPr>
              <w:t xml:space="preserve"> shall mean objects detected by the perception system of the vehicle and classified by the ADS as relevant for the purpose of performing a dynamic driving task. Objects with a negative relative velocity shall be deemed relevant.]</w:t>
            </w:r>
          </w:p>
          <w:p w14:paraId="0417F34E" w14:textId="77777777" w:rsidR="00770E1B" w:rsidRDefault="00770E1B" w:rsidP="002B3064">
            <w:pPr>
              <w:rPr>
                <w:lang w:val="en-US"/>
              </w:rPr>
            </w:pPr>
          </w:p>
          <w:p w14:paraId="3CC0B8A8" w14:textId="37434CB3" w:rsidR="00770E1B" w:rsidRPr="00770E1B" w:rsidRDefault="00770E1B" w:rsidP="002B3064">
            <w:pPr>
              <w:rPr>
                <w:sz w:val="20"/>
                <w:szCs w:val="20"/>
                <w:lang w:val="en-US"/>
              </w:rPr>
            </w:pPr>
            <w:r w:rsidRPr="00770E1B">
              <w:rPr>
                <w:sz w:val="20"/>
                <w:szCs w:val="20"/>
                <w:lang w:val="en-US"/>
              </w:rPr>
              <w:t>If brackets are removed, the definition should follow the pattern</w:t>
            </w:r>
            <w:r w:rsidR="00A14D89">
              <w:rPr>
                <w:sz w:val="20"/>
                <w:szCs w:val="20"/>
                <w:lang w:val="en-US"/>
              </w:rPr>
              <w:t xml:space="preserve"> used</w:t>
            </w:r>
            <w:r w:rsidRPr="00770E1B">
              <w:rPr>
                <w:sz w:val="20"/>
                <w:szCs w:val="20"/>
                <w:lang w:val="en-US"/>
              </w:rPr>
              <w:t xml:space="preserve"> for the other terms: singular </w:t>
            </w:r>
            <w:r w:rsidR="00E92512">
              <w:rPr>
                <w:sz w:val="20"/>
                <w:szCs w:val="20"/>
                <w:lang w:val="en-US"/>
              </w:rPr>
              <w:t xml:space="preserve">term </w:t>
            </w:r>
            <w:r w:rsidRPr="00770E1B">
              <w:rPr>
                <w:sz w:val="20"/>
                <w:szCs w:val="20"/>
                <w:lang w:val="en-US"/>
              </w:rPr>
              <w:t xml:space="preserve">(“detected object”) and </w:t>
            </w:r>
            <w:r w:rsidRPr="00770E1B">
              <w:rPr>
                <w:i/>
                <w:iCs/>
                <w:sz w:val="20"/>
                <w:szCs w:val="20"/>
                <w:lang w:val="en-US"/>
              </w:rPr>
              <w:t>“term</w:t>
            </w:r>
            <w:r w:rsidRPr="00770E1B">
              <w:rPr>
                <w:sz w:val="20"/>
                <w:szCs w:val="20"/>
                <w:lang w:val="en-US"/>
              </w:rPr>
              <w:t xml:space="preserve"> means </w:t>
            </w:r>
            <w:r w:rsidRPr="00770E1B">
              <w:rPr>
                <w:i/>
                <w:iCs/>
                <w:sz w:val="20"/>
                <w:szCs w:val="20"/>
                <w:lang w:val="en-US"/>
              </w:rPr>
              <w:t>definition</w:t>
            </w:r>
            <w:r w:rsidR="00E92512">
              <w:rPr>
                <w:i/>
                <w:iCs/>
                <w:sz w:val="20"/>
                <w:szCs w:val="20"/>
                <w:lang w:val="en-US"/>
              </w:rPr>
              <w:t>”.</w:t>
            </w:r>
          </w:p>
          <w:p w14:paraId="5EC0518E" w14:textId="77777777" w:rsidR="00770E1B" w:rsidRPr="00770E1B" w:rsidRDefault="00770E1B" w:rsidP="002B3064">
            <w:pPr>
              <w:rPr>
                <w:sz w:val="20"/>
                <w:szCs w:val="20"/>
                <w:lang w:val="en-US"/>
              </w:rPr>
            </w:pPr>
          </w:p>
          <w:p w14:paraId="5922E789" w14:textId="688D0C7B" w:rsidR="00770E1B" w:rsidRDefault="00770E1B" w:rsidP="002B3064">
            <w:pPr>
              <w:rPr>
                <w:sz w:val="20"/>
                <w:szCs w:val="20"/>
                <w:lang w:val="en-US"/>
              </w:rPr>
            </w:pPr>
            <w:r w:rsidRPr="00770E1B">
              <w:rPr>
                <w:sz w:val="20"/>
                <w:szCs w:val="20"/>
                <w:lang w:val="en-US"/>
              </w:rPr>
              <w:t>The DDT is holistic: “performing a dynamic driving task” is incorrect. “</w:t>
            </w:r>
            <w:proofErr w:type="gramStart"/>
            <w:r w:rsidRPr="00770E1B">
              <w:rPr>
                <w:sz w:val="20"/>
                <w:szCs w:val="20"/>
                <w:lang w:val="en-US"/>
              </w:rPr>
              <w:t>relevant</w:t>
            </w:r>
            <w:proofErr w:type="gramEnd"/>
            <w:r w:rsidRPr="00770E1B">
              <w:rPr>
                <w:sz w:val="20"/>
                <w:szCs w:val="20"/>
                <w:lang w:val="en-US"/>
              </w:rPr>
              <w:t xml:space="preserve"> to performance of the DDT” would be correct.</w:t>
            </w:r>
            <w:r w:rsidR="00A14D89">
              <w:rPr>
                <w:sz w:val="20"/>
                <w:szCs w:val="20"/>
                <w:lang w:val="en-US"/>
              </w:rPr>
              <w:t xml:space="preserve"> The ADS</w:t>
            </w:r>
            <w:r w:rsidR="00E92512">
              <w:rPr>
                <w:sz w:val="20"/>
                <w:szCs w:val="20"/>
                <w:lang w:val="en-US"/>
              </w:rPr>
              <w:t>, not the vehicle,</w:t>
            </w:r>
            <w:r w:rsidR="00A14D89">
              <w:rPr>
                <w:sz w:val="20"/>
                <w:szCs w:val="20"/>
                <w:lang w:val="en-US"/>
              </w:rPr>
              <w:t xml:space="preserve"> has the “perception system”.</w:t>
            </w:r>
          </w:p>
          <w:p w14:paraId="03E1F6C1" w14:textId="77777777" w:rsidR="00A14D89" w:rsidRPr="00A14D89" w:rsidRDefault="00A14D89" w:rsidP="002B3064">
            <w:pPr>
              <w:rPr>
                <w:sz w:val="20"/>
                <w:szCs w:val="20"/>
                <w:lang w:val="en-US"/>
              </w:rPr>
            </w:pPr>
          </w:p>
          <w:p w14:paraId="4B4CEAF8" w14:textId="6B29A21A" w:rsidR="00A14D89" w:rsidRPr="00A14D89" w:rsidRDefault="00A14D89" w:rsidP="002B3064">
            <w:pPr>
              <w:rPr>
                <w:lang w:val="en-US"/>
              </w:rPr>
            </w:pPr>
            <w:r w:rsidRPr="00A14D89">
              <w:rPr>
                <w:sz w:val="20"/>
                <w:szCs w:val="20"/>
                <w:lang w:val="en-US"/>
              </w:rPr>
              <w:t xml:space="preserve">In sum, perhaps </w:t>
            </w:r>
            <w:r w:rsidRPr="00A14D89">
              <w:rPr>
                <w:i/>
                <w:iCs/>
                <w:sz w:val="20"/>
                <w:szCs w:val="20"/>
                <w:lang w:val="en-US"/>
              </w:rPr>
              <w:t>“Detected object”</w:t>
            </w:r>
            <w:r w:rsidRPr="00A14D89">
              <w:rPr>
                <w:sz w:val="20"/>
                <w:szCs w:val="20"/>
                <w:lang w:val="en-US"/>
              </w:rPr>
              <w:t xml:space="preserve"> means an object determined by the ADS to be relevant to its performance of the DDT.</w:t>
            </w:r>
            <w:r w:rsidR="00E92512">
              <w:rPr>
                <w:sz w:val="20"/>
                <w:szCs w:val="20"/>
                <w:lang w:val="en-US"/>
              </w:rPr>
              <w:t xml:space="preserve"> (</w:t>
            </w:r>
            <w:r w:rsidR="00264FAA">
              <w:rPr>
                <w:sz w:val="20"/>
                <w:szCs w:val="20"/>
                <w:lang w:val="en-US"/>
              </w:rPr>
              <w:t>Identifying these</w:t>
            </w:r>
            <w:r w:rsidR="00E92512">
              <w:rPr>
                <w:sz w:val="20"/>
                <w:szCs w:val="20"/>
                <w:lang w:val="en-US"/>
              </w:rPr>
              <w:t xml:space="preserve"> </w:t>
            </w:r>
            <w:r w:rsidR="00264FAA">
              <w:rPr>
                <w:sz w:val="20"/>
                <w:szCs w:val="20"/>
                <w:lang w:val="en-US"/>
              </w:rPr>
              <w:t xml:space="preserve">DDT-relevant </w:t>
            </w:r>
            <w:r w:rsidR="00E92512">
              <w:rPr>
                <w:sz w:val="20"/>
                <w:szCs w:val="20"/>
                <w:lang w:val="en-US"/>
              </w:rPr>
              <w:t xml:space="preserve">objects </w:t>
            </w:r>
            <w:r w:rsidR="00264FAA">
              <w:rPr>
                <w:sz w:val="20"/>
                <w:szCs w:val="20"/>
                <w:lang w:val="en-US"/>
              </w:rPr>
              <w:t>is</w:t>
            </w:r>
            <w:r w:rsidR="00E92512">
              <w:rPr>
                <w:sz w:val="20"/>
                <w:szCs w:val="20"/>
                <w:lang w:val="en-US"/>
              </w:rPr>
              <w:t xml:space="preserve"> a natural outcome of the ODD analysis </w:t>
            </w:r>
            <w:r w:rsidR="00264FAA">
              <w:rPr>
                <w:sz w:val="20"/>
                <w:szCs w:val="20"/>
                <w:lang w:val="en-US"/>
              </w:rPr>
              <w:t>in</w:t>
            </w:r>
            <w:r w:rsidR="00E92512">
              <w:rPr>
                <w:sz w:val="20"/>
                <w:szCs w:val="20"/>
                <w:lang w:val="en-US"/>
              </w:rPr>
              <w:t xml:space="preserve"> the ADS regulations.)</w:t>
            </w:r>
          </w:p>
        </w:tc>
      </w:tr>
    </w:tbl>
    <w:p w14:paraId="1A9B708A" w14:textId="77777777" w:rsidR="00264FAA" w:rsidRDefault="00264FAA">
      <w:r>
        <w:br w:type="page"/>
      </w:r>
    </w:p>
    <w:tbl>
      <w:tblPr>
        <w:tblStyle w:val="TableGrid"/>
        <w:tblW w:w="0" w:type="auto"/>
        <w:tblLook w:val="04A0" w:firstRow="1" w:lastRow="0" w:firstColumn="1" w:lastColumn="0" w:noHBand="0" w:noVBand="1"/>
      </w:tblPr>
      <w:tblGrid>
        <w:gridCol w:w="3116"/>
        <w:gridCol w:w="6234"/>
      </w:tblGrid>
      <w:tr w:rsidR="007375F7" w14:paraId="2709E97B" w14:textId="77777777" w:rsidTr="008C06CA">
        <w:tc>
          <w:tcPr>
            <w:tcW w:w="3116" w:type="dxa"/>
            <w:vMerge w:val="restart"/>
          </w:tcPr>
          <w:p w14:paraId="6EE4CDD2" w14:textId="2C7EE171" w:rsidR="007375F7" w:rsidRDefault="007375F7" w:rsidP="00C23EFB">
            <w:pPr>
              <w:ind w:left="720" w:hanging="720"/>
              <w:rPr>
                <w:lang w:val="en-US"/>
              </w:rPr>
            </w:pPr>
            <w:r w:rsidRPr="00C23EFB">
              <w:rPr>
                <w:lang w:val="en-US"/>
              </w:rPr>
              <w:lastRenderedPageBreak/>
              <w:t>1.1</w:t>
            </w:r>
            <w:r>
              <w:rPr>
                <w:lang w:val="en-US"/>
              </w:rPr>
              <w:t>.</w:t>
            </w:r>
            <w:r>
              <w:rPr>
                <w:lang w:val="en-US"/>
              </w:rPr>
              <w:tab/>
            </w:r>
            <w:r w:rsidRPr="00C23EFB">
              <w:rPr>
                <w:lang w:val="en-US"/>
              </w:rPr>
              <w:t xml:space="preserve">This annex defines Data Storage System for Automated Driving (DSSAD) as the data storage capability of a vehicle to monitor the safety performance of </w:t>
            </w:r>
            <w:proofErr w:type="gramStart"/>
            <w:r w:rsidRPr="00C23EFB">
              <w:rPr>
                <w:lang w:val="en-US"/>
              </w:rPr>
              <w:t>ADS, and</w:t>
            </w:r>
            <w:proofErr w:type="gramEnd"/>
            <w:r w:rsidRPr="00C23EFB">
              <w:rPr>
                <w:lang w:val="en-US"/>
              </w:rPr>
              <w:t xml:space="preserve"> establishes requirements to enable the evaluation of ADS safety performance.</w:t>
            </w:r>
          </w:p>
        </w:tc>
        <w:tc>
          <w:tcPr>
            <w:tcW w:w="6234" w:type="dxa"/>
          </w:tcPr>
          <w:p w14:paraId="197BF41D" w14:textId="034A73B6" w:rsidR="007375F7" w:rsidRDefault="007375F7" w:rsidP="002B3064">
            <w:pPr>
              <w:rPr>
                <w:lang w:val="en-US"/>
              </w:rPr>
            </w:pPr>
            <w:r>
              <w:rPr>
                <w:lang w:val="en-US"/>
              </w:rPr>
              <w:t>This annex provides DSSAD specifications in accordanc</w:t>
            </w:r>
            <w:r w:rsidR="005D7AB4">
              <w:rPr>
                <w:lang w:val="en-US"/>
              </w:rPr>
              <w:t>e with</w:t>
            </w:r>
            <w:r>
              <w:rPr>
                <w:lang w:val="en-US"/>
              </w:rPr>
              <w:t xml:space="preserve"> paragraphs </w:t>
            </w:r>
            <w:r w:rsidRPr="00C23EFB">
              <w:rPr>
                <w:lang w:val="en-US"/>
              </w:rPr>
              <w:t>6.3.1.1.</w:t>
            </w:r>
            <w:r>
              <w:rPr>
                <w:lang w:val="en-US"/>
              </w:rPr>
              <w:t xml:space="preserve">, </w:t>
            </w:r>
            <w:r w:rsidRPr="00C23EFB">
              <w:rPr>
                <w:lang w:val="en-US"/>
              </w:rPr>
              <w:t>7.3.1.13.</w:t>
            </w:r>
            <w:r>
              <w:rPr>
                <w:lang w:val="en-US"/>
              </w:rPr>
              <w:t xml:space="preserve">, </w:t>
            </w:r>
            <w:r w:rsidRPr="00C23EFB">
              <w:rPr>
                <w:lang w:val="en-US"/>
              </w:rPr>
              <w:t>8.3.1.6.</w:t>
            </w:r>
            <w:r>
              <w:rPr>
                <w:lang w:val="en-US"/>
              </w:rPr>
              <w:t>, and 8.3.3.1.</w:t>
            </w:r>
          </w:p>
          <w:p w14:paraId="4350BA34" w14:textId="77777777" w:rsidR="007375F7" w:rsidRDefault="007375F7" w:rsidP="002B3064">
            <w:pPr>
              <w:rPr>
                <w:lang w:val="en-US"/>
              </w:rPr>
            </w:pPr>
          </w:p>
          <w:p w14:paraId="0226D6C5" w14:textId="0B04232D" w:rsidR="007375F7" w:rsidRDefault="007375F7" w:rsidP="002B3064">
            <w:pPr>
              <w:rPr>
                <w:lang w:val="en-US"/>
              </w:rPr>
            </w:pPr>
            <w:r>
              <w:rPr>
                <w:lang w:val="en-US"/>
              </w:rPr>
              <w:t>The manufacturer shall address these specifications in its description of the DSSAD installed on the ADS in accordance with paragraph 7.3.1.13.</w:t>
            </w:r>
          </w:p>
        </w:tc>
      </w:tr>
      <w:tr w:rsidR="007375F7" w14:paraId="02797CC5" w14:textId="77777777" w:rsidTr="00531286">
        <w:tc>
          <w:tcPr>
            <w:tcW w:w="3116" w:type="dxa"/>
            <w:vMerge/>
          </w:tcPr>
          <w:p w14:paraId="47297FC8" w14:textId="77777777" w:rsidR="007375F7" w:rsidRPr="00C23EFB" w:rsidRDefault="007375F7" w:rsidP="00C23EFB">
            <w:pPr>
              <w:ind w:left="720" w:hanging="720"/>
              <w:rPr>
                <w:lang w:val="en-US"/>
              </w:rPr>
            </w:pPr>
          </w:p>
        </w:tc>
        <w:tc>
          <w:tcPr>
            <w:tcW w:w="6234" w:type="dxa"/>
          </w:tcPr>
          <w:p w14:paraId="2BE668D9" w14:textId="20821E0D" w:rsidR="007375F7" w:rsidRDefault="00264FAA" w:rsidP="002B3064">
            <w:pPr>
              <w:rPr>
                <w:sz w:val="20"/>
                <w:szCs w:val="20"/>
                <w:lang w:val="en-US"/>
              </w:rPr>
            </w:pPr>
            <w:r>
              <w:rPr>
                <w:sz w:val="20"/>
                <w:szCs w:val="20"/>
                <w:lang w:val="en-US"/>
              </w:rPr>
              <w:t>Annexes are not usually the place</w:t>
            </w:r>
            <w:r w:rsidR="007375F7">
              <w:rPr>
                <w:sz w:val="20"/>
                <w:szCs w:val="20"/>
                <w:lang w:val="en-US"/>
              </w:rPr>
              <w:t xml:space="preserve"> </w:t>
            </w:r>
            <w:r>
              <w:rPr>
                <w:sz w:val="20"/>
                <w:szCs w:val="20"/>
                <w:lang w:val="en-US"/>
              </w:rPr>
              <w:t>to</w:t>
            </w:r>
            <w:r w:rsidR="007375F7">
              <w:rPr>
                <w:sz w:val="20"/>
                <w:szCs w:val="20"/>
                <w:lang w:val="en-US"/>
              </w:rPr>
              <w:t xml:space="preserve"> define terminology. Therefore, the phrase concerning the definition of a DSSAD should be deleted here and covered by </w:t>
            </w:r>
            <w:r>
              <w:rPr>
                <w:sz w:val="20"/>
                <w:szCs w:val="20"/>
                <w:lang w:val="en-US"/>
              </w:rPr>
              <w:t>a</w:t>
            </w:r>
            <w:r w:rsidR="007375F7">
              <w:rPr>
                <w:sz w:val="20"/>
                <w:szCs w:val="20"/>
                <w:lang w:val="en-US"/>
              </w:rPr>
              <w:t xml:space="preserve"> definition of DSSAD under the “Definitions” section.</w:t>
            </w:r>
          </w:p>
          <w:p w14:paraId="60AFECE1" w14:textId="77777777" w:rsidR="007375F7" w:rsidRDefault="007375F7" w:rsidP="002B3064">
            <w:pPr>
              <w:rPr>
                <w:sz w:val="20"/>
                <w:szCs w:val="20"/>
                <w:lang w:val="en-US"/>
              </w:rPr>
            </w:pPr>
          </w:p>
          <w:p w14:paraId="1A0665BB" w14:textId="59AC4198" w:rsidR="007375F7" w:rsidRPr="007375F7" w:rsidRDefault="007375F7" w:rsidP="002B3064">
            <w:pPr>
              <w:rPr>
                <w:sz w:val="20"/>
                <w:szCs w:val="20"/>
                <w:lang w:val="en-US"/>
              </w:rPr>
            </w:pPr>
            <w:r>
              <w:rPr>
                <w:sz w:val="20"/>
                <w:szCs w:val="20"/>
                <w:lang w:val="en-US"/>
              </w:rPr>
              <w:t>Requirements are set by the main text of the regulation (e.g., ADS requirements, manufacturer requirements). Annexes provide supplemental information to facilitate compliance assessments. Therefore, the cited paragraphs provide the requirements and the annex provides information concerning compliance with the requirements. Specifically, the annex stipulates the capabilities required of a DSSAD subject to the specific use case(s) of the ADS vehicle</w:t>
            </w:r>
            <w:r w:rsidR="004C3963">
              <w:rPr>
                <w:sz w:val="20"/>
                <w:szCs w:val="20"/>
                <w:lang w:val="en-US"/>
              </w:rPr>
              <w:t xml:space="preserve"> (i.e., all the elements do not apply to all ADS designs)</w:t>
            </w:r>
            <w:r>
              <w:rPr>
                <w:sz w:val="20"/>
                <w:szCs w:val="20"/>
                <w:lang w:val="en-US"/>
              </w:rPr>
              <w:t xml:space="preserve">. Therefore, the DSSAD description required under para. 7.3.1.13. must cover the contents of the annex such that compliance of the DSSAD of the given ADS vehicle with the </w:t>
            </w:r>
            <w:r w:rsidR="005D7AB4">
              <w:rPr>
                <w:sz w:val="20"/>
                <w:szCs w:val="20"/>
                <w:lang w:val="en-US"/>
              </w:rPr>
              <w:t>provisions</w:t>
            </w:r>
            <w:r>
              <w:rPr>
                <w:sz w:val="20"/>
                <w:szCs w:val="20"/>
                <w:lang w:val="en-US"/>
              </w:rPr>
              <w:t xml:space="preserve"> of the annex can be assessed (paras. 8.3.16. and 8.3.3.1.).</w:t>
            </w:r>
          </w:p>
        </w:tc>
      </w:tr>
      <w:tr w:rsidR="000227C3" w14:paraId="4C1AD079" w14:textId="77777777" w:rsidTr="00A9700D">
        <w:tc>
          <w:tcPr>
            <w:tcW w:w="3116" w:type="dxa"/>
            <w:vMerge w:val="restart"/>
          </w:tcPr>
          <w:p w14:paraId="5BA26D57" w14:textId="3CF2FC87" w:rsidR="000227C3" w:rsidRPr="00C23EFB" w:rsidRDefault="000227C3" w:rsidP="00C23EFB">
            <w:pPr>
              <w:ind w:left="720" w:hanging="720"/>
              <w:rPr>
                <w:lang w:val="en-US"/>
              </w:rPr>
            </w:pPr>
            <w:r w:rsidRPr="004C3963">
              <w:rPr>
                <w:lang w:val="en-US"/>
              </w:rPr>
              <w:t>2.</w:t>
            </w:r>
            <w:r>
              <w:rPr>
                <w:lang w:val="en-US"/>
              </w:rPr>
              <w:t>3.</w:t>
            </w:r>
            <w:r>
              <w:rPr>
                <w:lang w:val="en-US"/>
              </w:rPr>
              <w:tab/>
            </w:r>
            <w:r w:rsidRPr="004C3963">
              <w:rPr>
                <w:lang w:val="en-US"/>
              </w:rPr>
              <w:t xml:space="preserve">In the case of the data intended to be stored </w:t>
            </w:r>
            <w:proofErr w:type="gramStart"/>
            <w:r w:rsidR="00D600E4" w:rsidRPr="004C3963">
              <w:rPr>
                <w:lang w:val="en-US"/>
              </w:rPr>
              <w:t>off</w:t>
            </w:r>
            <w:r w:rsidR="00D600E4">
              <w:rPr>
                <w:lang w:val="en-US"/>
              </w:rPr>
              <w:t>-</w:t>
            </w:r>
            <w:r w:rsidR="00D600E4" w:rsidRPr="004C3963">
              <w:rPr>
                <w:lang w:val="en-US"/>
              </w:rPr>
              <w:t>board</w:t>
            </w:r>
            <w:proofErr w:type="gramEnd"/>
            <w:r w:rsidR="00D600E4">
              <w:rPr>
                <w:lang w:val="en-US"/>
              </w:rPr>
              <w:t xml:space="preserve"> </w:t>
            </w:r>
            <w:r w:rsidRPr="004C3963">
              <w:rPr>
                <w:lang w:val="en-US"/>
              </w:rPr>
              <w:t>the vehicle cannot be transmitted, it shall remain stored on the vehicle.</w:t>
            </w:r>
          </w:p>
        </w:tc>
        <w:tc>
          <w:tcPr>
            <w:tcW w:w="6234" w:type="dxa"/>
          </w:tcPr>
          <w:p w14:paraId="7A633CA7" w14:textId="19A2A92D" w:rsidR="000227C3" w:rsidRDefault="000227C3" w:rsidP="002B3064">
            <w:pPr>
              <w:rPr>
                <w:lang w:val="en-US"/>
              </w:rPr>
            </w:pPr>
            <w:r>
              <w:rPr>
                <w:lang w:val="en-US"/>
              </w:rPr>
              <w:t xml:space="preserve">Data elements under paragraph </w:t>
            </w:r>
            <w:r w:rsidR="00DB4FC0">
              <w:rPr>
                <w:lang w:val="en-US"/>
              </w:rPr>
              <w:t>5</w:t>
            </w:r>
            <w:r>
              <w:rPr>
                <w:lang w:val="en-US"/>
              </w:rPr>
              <w:t xml:space="preserve"> of this annex that may be stored off-board the vehicle shall remain stored on the vehicle until the data has been successfully uploaded to </w:t>
            </w:r>
            <w:r w:rsidR="002C750F">
              <w:rPr>
                <w:lang w:val="en-US"/>
              </w:rPr>
              <w:t>an</w:t>
            </w:r>
            <w:r>
              <w:rPr>
                <w:lang w:val="en-US"/>
              </w:rPr>
              <w:t xml:space="preserve"> off-board storage </w:t>
            </w:r>
            <w:r w:rsidR="002C750F">
              <w:rPr>
                <w:lang w:val="en-US"/>
              </w:rPr>
              <w:t>facility</w:t>
            </w:r>
            <w:r>
              <w:rPr>
                <w:lang w:val="en-US"/>
              </w:rPr>
              <w:t>.</w:t>
            </w:r>
          </w:p>
        </w:tc>
      </w:tr>
      <w:tr w:rsidR="000227C3" w14:paraId="0C5AEA4E" w14:textId="77777777" w:rsidTr="00623B1B">
        <w:tc>
          <w:tcPr>
            <w:tcW w:w="3116" w:type="dxa"/>
            <w:vMerge/>
          </w:tcPr>
          <w:p w14:paraId="01717B57" w14:textId="77777777" w:rsidR="000227C3" w:rsidRPr="004C3963" w:rsidRDefault="000227C3" w:rsidP="00C23EFB">
            <w:pPr>
              <w:ind w:left="720" w:hanging="720"/>
              <w:rPr>
                <w:lang w:val="en-US"/>
              </w:rPr>
            </w:pPr>
          </w:p>
        </w:tc>
        <w:tc>
          <w:tcPr>
            <w:tcW w:w="6234" w:type="dxa"/>
          </w:tcPr>
          <w:p w14:paraId="72B106B3" w14:textId="4A55D9B8" w:rsidR="000227C3" w:rsidRPr="00683E18" w:rsidRDefault="000227C3" w:rsidP="002B3064">
            <w:pPr>
              <w:rPr>
                <w:sz w:val="20"/>
                <w:szCs w:val="20"/>
                <w:lang w:val="en-US"/>
              </w:rPr>
            </w:pPr>
            <w:r>
              <w:rPr>
                <w:sz w:val="20"/>
                <w:szCs w:val="20"/>
                <w:lang w:val="en-US"/>
              </w:rPr>
              <w:t xml:space="preserve">The proposed text aims to clarify the provision and facilitate translation (the grammar is unclear). Paragraph </w:t>
            </w:r>
            <w:r w:rsidR="007E4419">
              <w:rPr>
                <w:sz w:val="20"/>
                <w:szCs w:val="20"/>
                <w:lang w:val="en-US"/>
              </w:rPr>
              <w:t>5</w:t>
            </w:r>
            <w:r>
              <w:rPr>
                <w:sz w:val="20"/>
                <w:szCs w:val="20"/>
                <w:lang w:val="en-US"/>
              </w:rPr>
              <w:t xml:space="preserve"> covers all the data elements. The proposal specifies that elements that may be stored </w:t>
            </w:r>
            <w:proofErr w:type="gramStart"/>
            <w:r>
              <w:rPr>
                <w:sz w:val="20"/>
                <w:szCs w:val="20"/>
                <w:lang w:val="en-US"/>
              </w:rPr>
              <w:t>off</w:t>
            </w:r>
            <w:r w:rsidR="00D600E4">
              <w:rPr>
                <w:sz w:val="20"/>
                <w:szCs w:val="20"/>
                <w:lang w:val="en-US"/>
              </w:rPr>
              <w:t>-</w:t>
            </w:r>
            <w:r>
              <w:rPr>
                <w:sz w:val="20"/>
                <w:szCs w:val="20"/>
                <w:lang w:val="en-US"/>
              </w:rPr>
              <w:t>board</w:t>
            </w:r>
            <w:proofErr w:type="gramEnd"/>
            <w:r>
              <w:rPr>
                <w:sz w:val="20"/>
                <w:szCs w:val="20"/>
                <w:lang w:val="en-US"/>
              </w:rPr>
              <w:t xml:space="preserve"> a vehicle may not be deleted before the data has been successfully uploaded.</w:t>
            </w:r>
          </w:p>
        </w:tc>
      </w:tr>
      <w:tr w:rsidR="00F43994" w14:paraId="64CD0F0E" w14:textId="77777777" w:rsidTr="00F452E7">
        <w:tc>
          <w:tcPr>
            <w:tcW w:w="3116" w:type="dxa"/>
            <w:vMerge w:val="restart"/>
          </w:tcPr>
          <w:p w14:paraId="56435275" w14:textId="3BF4A646" w:rsidR="00F43994" w:rsidRPr="004C3963" w:rsidRDefault="00F43994" w:rsidP="00C23EFB">
            <w:pPr>
              <w:ind w:left="720" w:hanging="720"/>
              <w:rPr>
                <w:lang w:val="en-US"/>
              </w:rPr>
            </w:pPr>
            <w:r>
              <w:rPr>
                <w:lang w:val="en-US"/>
              </w:rPr>
              <w:t>Recording condition</w:t>
            </w:r>
            <w:r w:rsidR="00444A0A">
              <w:rPr>
                <w:lang w:val="en-US"/>
              </w:rPr>
              <w:t xml:space="preserve"> column</w:t>
            </w:r>
          </w:p>
        </w:tc>
        <w:tc>
          <w:tcPr>
            <w:tcW w:w="6234" w:type="dxa"/>
          </w:tcPr>
          <w:p w14:paraId="142EDC7B" w14:textId="255FAE3E" w:rsidR="00F43994" w:rsidRDefault="00F43994" w:rsidP="002B3064">
            <w:pPr>
              <w:rPr>
                <w:lang w:val="en-US"/>
              </w:rPr>
            </w:pPr>
            <w:r>
              <w:rPr>
                <w:lang w:val="en-US"/>
              </w:rPr>
              <w:t>Delete the “recording condition” column and insert a row after “</w:t>
            </w:r>
            <w:r w:rsidRPr="000227C3">
              <w:rPr>
                <w:lang w:val="en-US"/>
              </w:rPr>
              <w:t>Activation of the feature</w:t>
            </w:r>
            <w:r>
              <w:rPr>
                <w:lang w:val="en-US"/>
              </w:rPr>
              <w:t>” with the text “The following data elements shall be recorded if they occur while an ADS feature is active”.</w:t>
            </w:r>
          </w:p>
        </w:tc>
      </w:tr>
      <w:tr w:rsidR="00F43994" w14:paraId="0D00DA2E" w14:textId="77777777" w:rsidTr="00FE1280">
        <w:tc>
          <w:tcPr>
            <w:tcW w:w="3116" w:type="dxa"/>
            <w:vMerge/>
          </w:tcPr>
          <w:p w14:paraId="684D17B4" w14:textId="77777777" w:rsidR="00F43994" w:rsidRDefault="00F43994" w:rsidP="00C23EFB">
            <w:pPr>
              <w:ind w:left="720" w:hanging="720"/>
              <w:rPr>
                <w:lang w:val="en-US"/>
              </w:rPr>
            </w:pPr>
          </w:p>
        </w:tc>
        <w:tc>
          <w:tcPr>
            <w:tcW w:w="6234" w:type="dxa"/>
          </w:tcPr>
          <w:p w14:paraId="5C0D8053" w14:textId="55120C36" w:rsidR="00F43994" w:rsidRPr="000227C3" w:rsidRDefault="00F43994" w:rsidP="002B3064">
            <w:pPr>
              <w:rPr>
                <w:sz w:val="20"/>
                <w:szCs w:val="20"/>
                <w:lang w:val="en-US"/>
              </w:rPr>
            </w:pPr>
            <w:r>
              <w:rPr>
                <w:sz w:val="20"/>
                <w:szCs w:val="20"/>
                <w:lang w:val="en-US"/>
              </w:rPr>
              <w:t xml:space="preserve">The repetition of “whilst the feature is active” for all elements except “activation” is redundant, and the column unnecessarily takes up page space. A single row covering all the remaining elements is more efficient. Also, please note that “whilst” is </w:t>
            </w:r>
            <w:r w:rsidR="00444A0A">
              <w:rPr>
                <w:sz w:val="20"/>
                <w:szCs w:val="20"/>
                <w:lang w:val="en-US"/>
              </w:rPr>
              <w:t>discouraged</w:t>
            </w:r>
            <w:r>
              <w:rPr>
                <w:sz w:val="20"/>
                <w:szCs w:val="20"/>
                <w:lang w:val="en-US"/>
              </w:rPr>
              <w:t xml:space="preserve"> in UN legal texts (</w:t>
            </w:r>
            <w:r w:rsidRPr="00F43994">
              <w:rPr>
                <w:sz w:val="20"/>
                <w:szCs w:val="20"/>
                <w:lang w:val="en-US"/>
              </w:rPr>
              <w:t>https://www.un.org/dgacm/en/content/editorial-manual/spelling#w</w:t>
            </w:r>
            <w:r>
              <w:rPr>
                <w:sz w:val="20"/>
                <w:szCs w:val="20"/>
                <w:lang w:val="en-US"/>
              </w:rPr>
              <w:t>).</w:t>
            </w:r>
          </w:p>
        </w:tc>
      </w:tr>
      <w:tr w:rsidR="002C750F" w14:paraId="6E43123D" w14:textId="77777777" w:rsidTr="007E7E19">
        <w:tc>
          <w:tcPr>
            <w:tcW w:w="3116" w:type="dxa"/>
            <w:vMerge w:val="restart"/>
          </w:tcPr>
          <w:p w14:paraId="18032551" w14:textId="61EE49CC" w:rsidR="002C750F" w:rsidRPr="00F43994" w:rsidRDefault="002C750F" w:rsidP="00F43994">
            <w:pPr>
              <w:rPr>
                <w:lang w:val="en-US"/>
              </w:rPr>
            </w:pPr>
            <w:r w:rsidRPr="00F43994">
              <w:rPr>
                <w:lang w:val="en-US"/>
              </w:rPr>
              <w:t>Deactivation of the featur</w:t>
            </w:r>
            <w:r>
              <w:rPr>
                <w:lang w:val="en-US"/>
              </w:rPr>
              <w:t>e</w:t>
            </w:r>
          </w:p>
        </w:tc>
        <w:tc>
          <w:tcPr>
            <w:tcW w:w="6234" w:type="dxa"/>
          </w:tcPr>
          <w:p w14:paraId="25610A87" w14:textId="3A0EBB00" w:rsidR="002C750F" w:rsidRDefault="002C750F" w:rsidP="002B3064">
            <w:pPr>
              <w:rPr>
                <w:lang w:val="en-US"/>
              </w:rPr>
            </w:pPr>
            <w:r>
              <w:rPr>
                <w:lang w:val="en-US"/>
              </w:rPr>
              <w:t>Change the additional information to:</w:t>
            </w:r>
          </w:p>
          <w:p w14:paraId="3C30979F" w14:textId="77D44FBE" w:rsidR="002C750F" w:rsidRDefault="002C750F" w:rsidP="002B3064">
            <w:pPr>
              <w:rPr>
                <w:lang w:val="en-US"/>
              </w:rPr>
            </w:pPr>
            <w:r>
              <w:rPr>
                <w:lang w:val="en-US"/>
              </w:rPr>
              <w:t>(a) Initiated by the system, or</w:t>
            </w:r>
          </w:p>
          <w:p w14:paraId="4BBB5F47" w14:textId="7C11B68E" w:rsidR="002C750F" w:rsidRDefault="002C750F" w:rsidP="002B3064">
            <w:pPr>
              <w:rPr>
                <w:lang w:val="en-US"/>
              </w:rPr>
            </w:pPr>
            <w:r>
              <w:rPr>
                <w:lang w:val="en-US"/>
              </w:rPr>
              <w:t>(b) Initiated by a user.</w:t>
            </w:r>
          </w:p>
        </w:tc>
      </w:tr>
      <w:tr w:rsidR="002C750F" w:rsidRPr="00415D1B" w14:paraId="2ECCE666" w14:textId="77777777" w:rsidTr="007E7E19">
        <w:tc>
          <w:tcPr>
            <w:tcW w:w="3116" w:type="dxa"/>
            <w:vMerge/>
          </w:tcPr>
          <w:p w14:paraId="64DBA448" w14:textId="77777777" w:rsidR="002C750F" w:rsidRPr="00415D1B" w:rsidRDefault="002C750F" w:rsidP="00F43994">
            <w:pPr>
              <w:rPr>
                <w:sz w:val="20"/>
                <w:szCs w:val="20"/>
                <w:lang w:val="en-US"/>
              </w:rPr>
            </w:pPr>
          </w:p>
        </w:tc>
        <w:tc>
          <w:tcPr>
            <w:tcW w:w="6234" w:type="dxa"/>
          </w:tcPr>
          <w:p w14:paraId="593A5B49" w14:textId="0D91FFDD" w:rsidR="002C750F" w:rsidRPr="00415D1B" w:rsidRDefault="002C750F" w:rsidP="002B3064">
            <w:pPr>
              <w:rPr>
                <w:sz w:val="20"/>
                <w:szCs w:val="20"/>
                <w:lang w:val="en-US"/>
              </w:rPr>
            </w:pPr>
            <w:r>
              <w:rPr>
                <w:sz w:val="20"/>
                <w:szCs w:val="20"/>
                <w:lang w:val="en-US"/>
              </w:rPr>
              <w:t>The terminology of the ADS regulation is “system-initiated deactivation” and “user-initiated deactivation”. Technically, the user does not deactivate the feature; the user requests (initiates) deactivation subject to execution by the system if the conditions are safe for deactivation. Also, the regulation does not specify which user may initiate a deactivation, so the correct article is “a” rather than “the”.</w:t>
            </w:r>
          </w:p>
        </w:tc>
      </w:tr>
    </w:tbl>
    <w:p w14:paraId="199B95AD" w14:textId="77777777" w:rsidR="00264FAA" w:rsidRDefault="00264FAA">
      <w:r>
        <w:br w:type="page"/>
      </w:r>
    </w:p>
    <w:tbl>
      <w:tblPr>
        <w:tblStyle w:val="TableGrid"/>
        <w:tblW w:w="0" w:type="auto"/>
        <w:tblLook w:val="04A0" w:firstRow="1" w:lastRow="0" w:firstColumn="1" w:lastColumn="0" w:noHBand="0" w:noVBand="1"/>
      </w:tblPr>
      <w:tblGrid>
        <w:gridCol w:w="3116"/>
        <w:gridCol w:w="6234"/>
      </w:tblGrid>
      <w:tr w:rsidR="002C750F" w14:paraId="3230E001" w14:textId="77777777" w:rsidTr="007E7E19">
        <w:tc>
          <w:tcPr>
            <w:tcW w:w="3116" w:type="dxa"/>
            <w:vMerge w:val="restart"/>
          </w:tcPr>
          <w:p w14:paraId="35B700A4" w14:textId="3AC7AF44" w:rsidR="002C750F" w:rsidRDefault="002C750F" w:rsidP="00F43994">
            <w:pPr>
              <w:rPr>
                <w:lang w:val="en-US"/>
              </w:rPr>
            </w:pPr>
            <w:r w:rsidRPr="00F43994">
              <w:rPr>
                <w:lang w:val="en-US"/>
              </w:rPr>
              <w:lastRenderedPageBreak/>
              <w:t>Start of ADS fallback to user, if applicable</w:t>
            </w:r>
          </w:p>
        </w:tc>
        <w:tc>
          <w:tcPr>
            <w:tcW w:w="6234" w:type="dxa"/>
          </w:tcPr>
          <w:p w14:paraId="4AC9939E" w14:textId="4994E1B0" w:rsidR="002C750F" w:rsidRDefault="002C750F" w:rsidP="002B3064">
            <w:pPr>
              <w:rPr>
                <w:lang w:val="en-US"/>
              </w:rPr>
            </w:pPr>
            <w:r>
              <w:rPr>
                <w:lang w:val="en-US"/>
              </w:rPr>
              <w:t>Change “</w:t>
            </w:r>
            <w:r w:rsidRPr="00F43994">
              <w:rPr>
                <w:lang w:val="en-US"/>
              </w:rPr>
              <w:t>Deactivation of the ADS feature initiated due to:</w:t>
            </w:r>
            <w:r>
              <w:rPr>
                <w:lang w:val="en-US"/>
              </w:rPr>
              <w:t>” to “ADS fallback to user initiated due to:”</w:t>
            </w:r>
          </w:p>
        </w:tc>
      </w:tr>
      <w:tr w:rsidR="002C750F" w14:paraId="522D6CDD" w14:textId="77777777" w:rsidTr="00683DE1">
        <w:tc>
          <w:tcPr>
            <w:tcW w:w="3116" w:type="dxa"/>
            <w:vMerge/>
          </w:tcPr>
          <w:p w14:paraId="78D63A9B" w14:textId="77777777" w:rsidR="002C750F" w:rsidRDefault="002C750F" w:rsidP="00C23EFB">
            <w:pPr>
              <w:ind w:left="720" w:hanging="720"/>
              <w:rPr>
                <w:lang w:val="en-US"/>
              </w:rPr>
            </w:pPr>
          </w:p>
        </w:tc>
        <w:tc>
          <w:tcPr>
            <w:tcW w:w="6234" w:type="dxa"/>
          </w:tcPr>
          <w:p w14:paraId="25ABFD9E" w14:textId="2258A95E" w:rsidR="002C750F" w:rsidRPr="00F43994" w:rsidRDefault="002C750F" w:rsidP="002B3064">
            <w:pPr>
              <w:rPr>
                <w:sz w:val="20"/>
                <w:szCs w:val="20"/>
                <w:lang w:val="en-US"/>
              </w:rPr>
            </w:pPr>
            <w:r>
              <w:rPr>
                <w:sz w:val="20"/>
                <w:szCs w:val="20"/>
                <w:lang w:val="en-US"/>
              </w:rPr>
              <w:t>For consistency and clarity, align the “additional information” with the main data element. The data element concerns the initiation of a fallback to a user. A successful fallback concludes with the deactivation of the feature (i.e., a feature may not be deactivated until the user is performing the DDT). A fallback can only be initiated by the ADS (if a user initiates the deactivation, it is not an ADS fallback). Therefore, if the system initiates a fallback to the user, we know that this is a system-initiated deactivation of the feature. In this case, the “additional information” for the “deactivation of the feature” element is covered by this data element.</w:t>
            </w:r>
          </w:p>
        </w:tc>
      </w:tr>
      <w:tr w:rsidR="002C750F" w14:paraId="0C3D84AC" w14:textId="77777777" w:rsidTr="00C15116">
        <w:tc>
          <w:tcPr>
            <w:tcW w:w="3116" w:type="dxa"/>
            <w:vMerge w:val="restart"/>
          </w:tcPr>
          <w:p w14:paraId="4B85FA61" w14:textId="035625A8" w:rsidR="002C750F" w:rsidRDefault="002C750F" w:rsidP="002C750F">
            <w:pPr>
              <w:rPr>
                <w:lang w:val="en-US"/>
              </w:rPr>
            </w:pPr>
            <w:r w:rsidRPr="002C750F">
              <w:rPr>
                <w:lang w:val="en-US"/>
              </w:rPr>
              <w:t>Start of ADS fallback to an MRC</w:t>
            </w:r>
          </w:p>
        </w:tc>
        <w:tc>
          <w:tcPr>
            <w:tcW w:w="6234" w:type="dxa"/>
          </w:tcPr>
          <w:p w14:paraId="42387DC3" w14:textId="7EF933A1" w:rsidR="002C750F" w:rsidRDefault="002C750F" w:rsidP="002B3064">
            <w:pPr>
              <w:rPr>
                <w:lang w:val="en-US"/>
              </w:rPr>
            </w:pPr>
            <w:r>
              <w:rPr>
                <w:lang w:val="en-US"/>
              </w:rPr>
              <w:t>Additional information: Change “MRC resulting from” to “Fallback to an MRC initiated due to:”</w:t>
            </w:r>
          </w:p>
        </w:tc>
      </w:tr>
      <w:tr w:rsidR="002C750F" w14:paraId="6173FF1C" w14:textId="77777777" w:rsidTr="00C42863">
        <w:tc>
          <w:tcPr>
            <w:tcW w:w="3116" w:type="dxa"/>
            <w:vMerge/>
          </w:tcPr>
          <w:p w14:paraId="4110CADD" w14:textId="77777777" w:rsidR="002C750F" w:rsidRDefault="002C750F" w:rsidP="00C23EFB">
            <w:pPr>
              <w:ind w:left="720" w:hanging="720"/>
              <w:rPr>
                <w:lang w:val="en-US"/>
              </w:rPr>
            </w:pPr>
          </w:p>
        </w:tc>
        <w:tc>
          <w:tcPr>
            <w:tcW w:w="6234" w:type="dxa"/>
          </w:tcPr>
          <w:p w14:paraId="7F9A6725" w14:textId="3EC563B1" w:rsidR="002C750F" w:rsidRPr="002C750F" w:rsidRDefault="002C750F" w:rsidP="002B3064">
            <w:pPr>
              <w:rPr>
                <w:sz w:val="20"/>
                <w:szCs w:val="20"/>
                <w:lang w:val="en-US"/>
              </w:rPr>
            </w:pPr>
            <w:r>
              <w:rPr>
                <w:sz w:val="20"/>
                <w:szCs w:val="20"/>
                <w:lang w:val="en-US"/>
              </w:rPr>
              <w:t>Align the data element with the additional information and with the fallback to a user wording. An MRC is defined as the stopped condition of the vehicle. The element concerns the fallback, not the end state (which is addressed by the “MRC achieved” data element</w:t>
            </w:r>
            <w:r w:rsidR="007E4419">
              <w:rPr>
                <w:sz w:val="20"/>
                <w:szCs w:val="20"/>
                <w:lang w:val="en-US"/>
              </w:rPr>
              <w:t>)</w:t>
            </w:r>
            <w:r>
              <w:rPr>
                <w:sz w:val="20"/>
                <w:szCs w:val="20"/>
                <w:lang w:val="en-US"/>
              </w:rPr>
              <w:t>.</w:t>
            </w:r>
          </w:p>
        </w:tc>
      </w:tr>
      <w:tr w:rsidR="00DB4FC0" w14:paraId="77A874B8" w14:textId="77777777" w:rsidTr="00F40139">
        <w:tc>
          <w:tcPr>
            <w:tcW w:w="3116" w:type="dxa"/>
            <w:vMerge w:val="restart"/>
          </w:tcPr>
          <w:p w14:paraId="5104482B" w14:textId="30C42625" w:rsidR="00DB4FC0" w:rsidRDefault="00DB4FC0" w:rsidP="00C23EFB">
            <w:pPr>
              <w:ind w:left="720" w:hanging="720"/>
              <w:rPr>
                <w:lang w:val="en-US"/>
              </w:rPr>
            </w:pPr>
            <w:r w:rsidRPr="00543360">
              <w:rPr>
                <w:lang w:val="en-US"/>
              </w:rPr>
              <w:t>Detected failure situation</w:t>
            </w:r>
          </w:p>
        </w:tc>
        <w:tc>
          <w:tcPr>
            <w:tcW w:w="6234" w:type="dxa"/>
          </w:tcPr>
          <w:p w14:paraId="4B2C2586" w14:textId="44FD897C" w:rsidR="00DB4FC0" w:rsidRDefault="00464D12" w:rsidP="002B3064">
            <w:pPr>
              <w:rPr>
                <w:lang w:val="en-US"/>
              </w:rPr>
            </w:pPr>
            <w:r>
              <w:rPr>
                <w:lang w:val="en-US"/>
              </w:rPr>
              <w:t>Replace</w:t>
            </w:r>
            <w:r w:rsidR="002D53A8">
              <w:rPr>
                <w:lang w:val="en-US"/>
              </w:rPr>
              <w:t xml:space="preserve"> “situation”</w:t>
            </w:r>
            <w:r>
              <w:rPr>
                <w:lang w:val="en-US"/>
              </w:rPr>
              <w:t xml:space="preserve"> by “that compromises the ADS capability to perform the DDT”</w:t>
            </w:r>
            <w:r w:rsidR="00DB4FC0">
              <w:rPr>
                <w:lang w:val="en-US"/>
              </w:rPr>
              <w:t xml:space="preserve"> and</w:t>
            </w:r>
            <w:r w:rsidR="002D53A8">
              <w:rPr>
                <w:lang w:val="en-US"/>
              </w:rPr>
              <w:t xml:space="preserve"> modify</w:t>
            </w:r>
            <w:r w:rsidR="00DB4FC0">
              <w:rPr>
                <w:lang w:val="en-US"/>
              </w:rPr>
              <w:t xml:space="preserve"> “additional information” to “nature of failure in accordance with para. </w:t>
            </w:r>
            <w:r w:rsidR="00DB4FC0" w:rsidRPr="00543360">
              <w:rPr>
                <w:lang w:val="en-US"/>
              </w:rPr>
              <w:t>7.3.1.15.</w:t>
            </w:r>
            <w:r w:rsidR="00DB4FC0">
              <w:rPr>
                <w:lang w:val="en-US"/>
              </w:rPr>
              <w:t>”</w:t>
            </w:r>
          </w:p>
        </w:tc>
      </w:tr>
      <w:tr w:rsidR="00DB4FC0" w14:paraId="727A3A33" w14:textId="77777777" w:rsidTr="00BB0B07">
        <w:tc>
          <w:tcPr>
            <w:tcW w:w="3116" w:type="dxa"/>
            <w:vMerge/>
          </w:tcPr>
          <w:p w14:paraId="7C6D4C98" w14:textId="77777777" w:rsidR="00DB4FC0" w:rsidRDefault="00DB4FC0" w:rsidP="00C23EFB">
            <w:pPr>
              <w:ind w:left="720" w:hanging="720"/>
              <w:rPr>
                <w:lang w:val="en-US"/>
              </w:rPr>
            </w:pPr>
          </w:p>
        </w:tc>
        <w:tc>
          <w:tcPr>
            <w:tcW w:w="6234" w:type="dxa"/>
          </w:tcPr>
          <w:p w14:paraId="5B8AAF76" w14:textId="0FF849B1" w:rsidR="00DB4FC0" w:rsidRPr="00543360" w:rsidRDefault="00DB4FC0" w:rsidP="002B3064">
            <w:pPr>
              <w:rPr>
                <w:sz w:val="20"/>
                <w:szCs w:val="20"/>
                <w:lang w:val="en-US"/>
              </w:rPr>
            </w:pPr>
            <w:r>
              <w:rPr>
                <w:sz w:val="20"/>
                <w:szCs w:val="20"/>
                <w:lang w:val="en-US"/>
              </w:rPr>
              <w:t>The ADS regulations define “situation” as “</w:t>
            </w:r>
            <w:r w:rsidRPr="00543360">
              <w:rPr>
                <w:sz w:val="20"/>
                <w:szCs w:val="20"/>
                <w:lang w:val="en-US"/>
              </w:rPr>
              <w:t>the conditions surrounding a vehicle</w:t>
            </w:r>
            <w:r>
              <w:rPr>
                <w:sz w:val="20"/>
                <w:szCs w:val="20"/>
                <w:lang w:val="en-US"/>
              </w:rPr>
              <w:t xml:space="preserve">”. </w:t>
            </w:r>
            <w:r w:rsidR="00464D12">
              <w:rPr>
                <w:sz w:val="20"/>
                <w:szCs w:val="20"/>
                <w:lang w:val="en-US"/>
              </w:rPr>
              <w:t>A “failure situation” is defined as “</w:t>
            </w:r>
            <w:r w:rsidR="00464D12" w:rsidRPr="00464D12">
              <w:rPr>
                <w:sz w:val="20"/>
                <w:szCs w:val="20"/>
                <w:lang w:val="en-US"/>
              </w:rPr>
              <w:t>a driving situation where a failure compromises the capability of the ADS to perform the entire DDT</w:t>
            </w:r>
            <w:r w:rsidR="00464D12">
              <w:rPr>
                <w:sz w:val="20"/>
                <w:szCs w:val="20"/>
                <w:lang w:val="en-US"/>
              </w:rPr>
              <w:t>”</w:t>
            </w:r>
            <w:r w:rsidR="00464D12" w:rsidRPr="00464D12">
              <w:rPr>
                <w:sz w:val="20"/>
                <w:szCs w:val="20"/>
                <w:lang w:val="en-US"/>
              </w:rPr>
              <w:t>.</w:t>
            </w:r>
            <w:r w:rsidR="00464D12">
              <w:rPr>
                <w:sz w:val="20"/>
                <w:szCs w:val="20"/>
                <w:lang w:val="en-US"/>
              </w:rPr>
              <w:t xml:space="preserve"> </w:t>
            </w:r>
            <w:r>
              <w:rPr>
                <w:sz w:val="20"/>
                <w:szCs w:val="20"/>
                <w:lang w:val="en-US"/>
              </w:rPr>
              <w:t xml:space="preserve">The intent appears to be to record the occurrence of a </w:t>
            </w:r>
            <w:r w:rsidR="006D1B99">
              <w:rPr>
                <w:sz w:val="20"/>
                <w:szCs w:val="20"/>
                <w:lang w:val="en-US"/>
              </w:rPr>
              <w:t xml:space="preserve">fault or </w:t>
            </w:r>
            <w:r>
              <w:rPr>
                <w:sz w:val="20"/>
                <w:szCs w:val="20"/>
                <w:lang w:val="en-US"/>
              </w:rPr>
              <w:t>failure (defined as “</w:t>
            </w:r>
            <w:r w:rsidRPr="00543360">
              <w:rPr>
                <w:sz w:val="20"/>
                <w:szCs w:val="20"/>
                <w:lang w:val="en-US"/>
              </w:rPr>
              <w:t xml:space="preserve">the termination of an intended </w:t>
            </w:r>
            <w:proofErr w:type="spellStart"/>
            <w:r w:rsidRPr="00543360">
              <w:rPr>
                <w:sz w:val="20"/>
                <w:szCs w:val="20"/>
                <w:lang w:val="en-US"/>
              </w:rPr>
              <w:t>behaviour</w:t>
            </w:r>
            <w:proofErr w:type="spellEnd"/>
            <w:r w:rsidRPr="00543360">
              <w:rPr>
                <w:sz w:val="20"/>
                <w:szCs w:val="20"/>
                <w:lang w:val="en-US"/>
              </w:rPr>
              <w:t xml:space="preserve"> of a system or component due to fault manifestation</w:t>
            </w:r>
            <w:r>
              <w:rPr>
                <w:sz w:val="20"/>
                <w:szCs w:val="20"/>
                <w:lang w:val="en-US"/>
              </w:rPr>
              <w:t>”)</w:t>
            </w:r>
            <w:r w:rsidR="00464D12">
              <w:rPr>
                <w:sz w:val="20"/>
                <w:szCs w:val="20"/>
                <w:lang w:val="en-US"/>
              </w:rPr>
              <w:t xml:space="preserve"> that results in a failure situation. Therefore, detecting a fault that compromises the ADS capability to perform the DDT seems to be the aim. </w:t>
            </w:r>
            <w:r>
              <w:rPr>
                <w:sz w:val="20"/>
                <w:szCs w:val="20"/>
                <w:lang w:val="en-US"/>
              </w:rPr>
              <w:t>Para. 7.3.1.15. requires the manufacturer to identify the faults detectable by the diagnostic system(s) and failures that would compromise the capability of a feature to perform the DDT. Therefore, under the proposal, the DSSAD would provide a time-stamped record when a failure occurs with additional information on the nature of the failure (e.g., fault in the ADS or other DDT-relevant failure).</w:t>
            </w:r>
          </w:p>
        </w:tc>
      </w:tr>
    </w:tbl>
    <w:p w14:paraId="3CBD02F5" w14:textId="77777777" w:rsidR="002B3064" w:rsidRPr="005D0727" w:rsidRDefault="002B3064" w:rsidP="002B3064">
      <w:pPr>
        <w:rPr>
          <w:lang w:val="en-US"/>
        </w:rPr>
      </w:pPr>
    </w:p>
    <w:sectPr w:rsidR="002B3064" w:rsidRPr="005D0727">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A5B20" w14:textId="77777777" w:rsidR="005631AA" w:rsidRDefault="005631AA" w:rsidP="00464D12">
      <w:pPr>
        <w:spacing w:after="0" w:line="240" w:lineRule="auto"/>
      </w:pPr>
      <w:r>
        <w:separator/>
      </w:r>
    </w:p>
  </w:endnote>
  <w:endnote w:type="continuationSeparator" w:id="0">
    <w:p w14:paraId="05FB3F9D" w14:textId="77777777" w:rsidR="005631AA" w:rsidRDefault="005631AA" w:rsidP="00464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F5E165" w14:textId="77777777" w:rsidR="005631AA" w:rsidRDefault="005631AA" w:rsidP="00464D12">
      <w:pPr>
        <w:spacing w:after="0" w:line="240" w:lineRule="auto"/>
      </w:pPr>
      <w:r>
        <w:separator/>
      </w:r>
    </w:p>
  </w:footnote>
  <w:footnote w:type="continuationSeparator" w:id="0">
    <w:p w14:paraId="49A13152" w14:textId="77777777" w:rsidR="005631AA" w:rsidRDefault="005631AA" w:rsidP="00464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098AE" w14:textId="244AA4EC" w:rsidR="00464D12" w:rsidRDefault="00464D12">
    <w:pPr>
      <w:pStyle w:val="Header"/>
      <w:rPr>
        <w:lang w:val="en-US"/>
      </w:rPr>
    </w:pPr>
    <w:r>
      <w:rPr>
        <w:lang w:val="en-US"/>
      </w:rPr>
      <w:t>Submitted by the ADS IWG drafting secretary</w:t>
    </w:r>
    <w:r>
      <w:rPr>
        <w:lang w:val="en-US"/>
      </w:rPr>
      <w:tab/>
    </w:r>
    <w:r>
      <w:rPr>
        <w:lang w:val="en-US"/>
      </w:rPr>
      <w:tab/>
      <w:t>document DSSAD-29-xx</w:t>
    </w:r>
  </w:p>
  <w:p w14:paraId="6AB71C0C" w14:textId="4EED155C" w:rsidR="00464D12" w:rsidRDefault="00464D12">
    <w:pPr>
      <w:pStyle w:val="Header"/>
      <w:rPr>
        <w:lang w:val="en-US"/>
      </w:rPr>
    </w:pPr>
    <w:r>
      <w:rPr>
        <w:lang w:val="en-US"/>
      </w:rPr>
      <w:tab/>
    </w:r>
    <w:r>
      <w:rPr>
        <w:lang w:val="en-US"/>
      </w:rPr>
      <w:tab/>
      <w:t>29</w:t>
    </w:r>
    <w:r w:rsidRPr="00464D12">
      <w:rPr>
        <w:vertAlign w:val="superscript"/>
        <w:lang w:val="en-US"/>
      </w:rPr>
      <w:t>th</w:t>
    </w:r>
    <w:r>
      <w:rPr>
        <w:lang w:val="en-US"/>
      </w:rPr>
      <w:t xml:space="preserve"> DSSAD subgroup session</w:t>
    </w:r>
  </w:p>
  <w:p w14:paraId="165CD054" w14:textId="35133ED7" w:rsidR="00464D12" w:rsidRDefault="00464D12">
    <w:pPr>
      <w:pStyle w:val="Header"/>
      <w:rPr>
        <w:lang w:val="en-US"/>
      </w:rPr>
    </w:pPr>
    <w:r>
      <w:rPr>
        <w:lang w:val="en-US"/>
      </w:rPr>
      <w:tab/>
    </w:r>
    <w:r>
      <w:rPr>
        <w:lang w:val="en-US"/>
      </w:rPr>
      <w:tab/>
      <w:t>6 November 2025</w:t>
    </w:r>
  </w:p>
  <w:p w14:paraId="1DD274B4" w14:textId="77777777" w:rsidR="00464D12" w:rsidRDefault="00464D12">
    <w:pPr>
      <w:pStyle w:val="Header"/>
      <w:rPr>
        <w:lang w:val="en-US"/>
      </w:rPr>
    </w:pPr>
  </w:p>
  <w:p w14:paraId="4D2345A8" w14:textId="77777777" w:rsidR="00464D12" w:rsidRPr="00464D12" w:rsidRDefault="00464D12">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3F1696D"/>
    <w:multiLevelType w:val="hybridMultilevel"/>
    <w:tmpl w:val="8A86B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2"/>
  </w:num>
  <w:num w:numId="2" w16cid:durableId="2083943190">
    <w:abstractNumId w:val="0"/>
  </w:num>
  <w:num w:numId="3" w16cid:durableId="826358993">
    <w:abstractNumId w:val="0"/>
  </w:num>
  <w:num w:numId="4" w16cid:durableId="1993020458">
    <w:abstractNumId w:val="0"/>
  </w:num>
  <w:num w:numId="5" w16cid:durableId="924917655">
    <w:abstractNumId w:val="0"/>
  </w:num>
  <w:num w:numId="6" w16cid:durableId="8772050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0727"/>
    <w:rsid w:val="000227C3"/>
    <w:rsid w:val="00264FAA"/>
    <w:rsid w:val="002B3064"/>
    <w:rsid w:val="002C750F"/>
    <w:rsid w:val="002D53A8"/>
    <w:rsid w:val="00415D1B"/>
    <w:rsid w:val="00444A0A"/>
    <w:rsid w:val="0044585B"/>
    <w:rsid w:val="00464D12"/>
    <w:rsid w:val="004C3963"/>
    <w:rsid w:val="004E4A62"/>
    <w:rsid w:val="00524142"/>
    <w:rsid w:val="00543360"/>
    <w:rsid w:val="005631AA"/>
    <w:rsid w:val="00564E1E"/>
    <w:rsid w:val="005937B3"/>
    <w:rsid w:val="005D0727"/>
    <w:rsid w:val="005D7AB4"/>
    <w:rsid w:val="006267E5"/>
    <w:rsid w:val="00683E18"/>
    <w:rsid w:val="006D1B99"/>
    <w:rsid w:val="007375F7"/>
    <w:rsid w:val="00740A2F"/>
    <w:rsid w:val="0074394B"/>
    <w:rsid w:val="00770E1B"/>
    <w:rsid w:val="007E4419"/>
    <w:rsid w:val="009569AF"/>
    <w:rsid w:val="00A14D89"/>
    <w:rsid w:val="00A27445"/>
    <w:rsid w:val="00B3443C"/>
    <w:rsid w:val="00B51268"/>
    <w:rsid w:val="00BF39FD"/>
    <w:rsid w:val="00C01BEC"/>
    <w:rsid w:val="00C23EFB"/>
    <w:rsid w:val="00CD3E56"/>
    <w:rsid w:val="00CD47B8"/>
    <w:rsid w:val="00D600E4"/>
    <w:rsid w:val="00DB4FC0"/>
    <w:rsid w:val="00E742F8"/>
    <w:rsid w:val="00E92512"/>
    <w:rsid w:val="00F15342"/>
    <w:rsid w:val="00F35ACF"/>
    <w:rsid w:val="00F43994"/>
    <w:rsid w:val="00F43EAA"/>
    <w:rsid w:val="00F943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16CB12"/>
  <w15:chartTrackingRefBased/>
  <w15:docId w15:val="{08B3ADE1-2042-42F9-9C07-7C4C58817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5D07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D07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D0727"/>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D0727"/>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5D0727"/>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5D0727"/>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5D0727"/>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5D0727"/>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5D0727"/>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5D0727"/>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5D0727"/>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5D0727"/>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5D0727"/>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5D0727"/>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5D0727"/>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5D0727"/>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5D0727"/>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5D0727"/>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5D072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072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5D0727"/>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D0727"/>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5D0727"/>
    <w:pPr>
      <w:spacing w:before="160"/>
      <w:jc w:val="center"/>
    </w:pPr>
    <w:rPr>
      <w:i/>
      <w:iCs/>
      <w:color w:val="404040" w:themeColor="text1" w:themeTint="BF"/>
    </w:rPr>
  </w:style>
  <w:style w:type="character" w:customStyle="1" w:styleId="QuoteChar">
    <w:name w:val="Quote Char"/>
    <w:basedOn w:val="DefaultParagraphFont"/>
    <w:link w:val="Quote"/>
    <w:uiPriority w:val="29"/>
    <w:rsid w:val="005D0727"/>
    <w:rPr>
      <w:i/>
      <w:iCs/>
      <w:color w:val="404040" w:themeColor="text1" w:themeTint="BF"/>
      <w:lang w:val="en-GB"/>
    </w:rPr>
  </w:style>
  <w:style w:type="character" w:styleId="IntenseEmphasis">
    <w:name w:val="Intense Emphasis"/>
    <w:basedOn w:val="DefaultParagraphFont"/>
    <w:uiPriority w:val="21"/>
    <w:qFormat/>
    <w:rsid w:val="005D0727"/>
    <w:rPr>
      <w:i/>
      <w:iCs/>
      <w:color w:val="0F4761" w:themeColor="accent1" w:themeShade="BF"/>
    </w:rPr>
  </w:style>
  <w:style w:type="paragraph" w:styleId="IntenseQuote">
    <w:name w:val="Intense Quote"/>
    <w:basedOn w:val="Normal"/>
    <w:next w:val="Normal"/>
    <w:link w:val="IntenseQuoteChar"/>
    <w:uiPriority w:val="30"/>
    <w:qFormat/>
    <w:rsid w:val="005D07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D0727"/>
    <w:rPr>
      <w:i/>
      <w:iCs/>
      <w:color w:val="0F4761" w:themeColor="accent1" w:themeShade="BF"/>
      <w:lang w:val="en-GB"/>
    </w:rPr>
  </w:style>
  <w:style w:type="character" w:styleId="IntenseReference">
    <w:name w:val="Intense Reference"/>
    <w:basedOn w:val="DefaultParagraphFont"/>
    <w:uiPriority w:val="32"/>
    <w:qFormat/>
    <w:rsid w:val="005D0727"/>
    <w:rPr>
      <w:b/>
      <w:bCs/>
      <w:smallCaps/>
      <w:color w:val="0F4761" w:themeColor="accent1" w:themeShade="BF"/>
      <w:spacing w:val="5"/>
    </w:rPr>
  </w:style>
  <w:style w:type="table" w:styleId="TableGrid">
    <w:name w:val="Table Grid"/>
    <w:basedOn w:val="TableNormal"/>
    <w:uiPriority w:val="39"/>
    <w:rsid w:val="002B3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64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64D12"/>
    <w:rPr>
      <w:lang w:val="en-GB"/>
    </w:rPr>
  </w:style>
  <w:style w:type="paragraph" w:styleId="Footer">
    <w:name w:val="footer"/>
    <w:basedOn w:val="Normal"/>
    <w:link w:val="FooterChar"/>
    <w:uiPriority w:val="99"/>
    <w:unhideWhenUsed/>
    <w:rsid w:val="00464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64D12"/>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243</TotalTime>
  <Pages>3</Pages>
  <Words>1194</Words>
  <Characters>6477</Characters>
  <Application>Microsoft Office Word</Application>
  <DocSecurity>0</DocSecurity>
  <Lines>157</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11</cp:revision>
  <dcterms:created xsi:type="dcterms:W3CDTF">2025-11-04T09:58:00Z</dcterms:created>
  <dcterms:modified xsi:type="dcterms:W3CDTF">2025-11-05T15:40:00Z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e8611c41-cbfd-4379-afd7-3cdbedd80f9a</vt:lpwstr>
  </property>
</Properties>
</file>