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7FCC5" w14:textId="2B0EBB0A" w:rsidR="0017337A" w:rsidRPr="001664D3" w:rsidRDefault="008109E6" w:rsidP="00DB4149">
      <w:pPr>
        <w:tabs>
          <w:tab w:val="left" w:pos="5580"/>
          <w:tab w:val="left" w:pos="6379"/>
          <w:tab w:val="left" w:pos="6663"/>
        </w:tabs>
        <w:ind w:left="4254" w:hanging="4254"/>
        <w:rPr>
          <w:lang w:val="nl-BE"/>
        </w:rPr>
      </w:pPr>
      <w:r>
        <w:t xml:space="preserve">Submitted by Secretary </w:t>
      </w:r>
      <w:r w:rsidRPr="001664D3">
        <w:t>of the TF on ADAS</w:t>
      </w:r>
      <w:r w:rsidRPr="001664D3">
        <w:tab/>
      </w:r>
      <w:r w:rsidR="00300D07" w:rsidRPr="001664D3">
        <w:t xml:space="preserve">                               </w:t>
      </w:r>
      <w:r w:rsidR="009F0A71" w:rsidRPr="001664D3">
        <w:t xml:space="preserve">        </w:t>
      </w:r>
      <w:r w:rsidR="0029654C" w:rsidRPr="001664D3">
        <w:t>D</w:t>
      </w:r>
      <w:r w:rsidR="007E15FD" w:rsidRPr="001664D3">
        <w:t xml:space="preserve">ocument: </w:t>
      </w:r>
      <w:r w:rsidR="00C7746E" w:rsidRPr="001664D3">
        <w:t>ADAS</w:t>
      </w:r>
      <w:r w:rsidR="00097EDD" w:rsidRPr="001664D3">
        <w:t>-</w:t>
      </w:r>
      <w:r w:rsidR="009F0A71" w:rsidRPr="001664D3">
        <w:rPr>
          <w:lang w:val="en-US"/>
        </w:rPr>
        <w:t>43</w:t>
      </w:r>
      <w:r w:rsidR="00A466D3" w:rsidRPr="001664D3">
        <w:rPr>
          <w:lang w:val="en-US"/>
        </w:rPr>
        <w:t>-</w:t>
      </w:r>
      <w:r w:rsidR="0029637D" w:rsidRPr="001664D3">
        <w:rPr>
          <w:lang w:val="en-US"/>
        </w:rPr>
        <w:t>12</w:t>
      </w:r>
    </w:p>
    <w:p w14:paraId="37F8FFB6" w14:textId="77777777" w:rsidR="00083D34" w:rsidRPr="001664D3" w:rsidRDefault="007E15FD" w:rsidP="00083D34">
      <w:pPr>
        <w:tabs>
          <w:tab w:val="left" w:pos="5580"/>
        </w:tabs>
        <w:rPr>
          <w:sz w:val="20"/>
          <w:szCs w:val="20"/>
        </w:rPr>
      </w:pPr>
      <w:r w:rsidRPr="001664D3">
        <w:rPr>
          <w:sz w:val="22"/>
          <w:szCs w:val="22"/>
        </w:rPr>
        <w:tab/>
      </w:r>
    </w:p>
    <w:p w14:paraId="6676C38E" w14:textId="77777777" w:rsidR="00083D34" w:rsidRPr="001664D3" w:rsidRDefault="00083D34" w:rsidP="00083D34">
      <w:pPr>
        <w:tabs>
          <w:tab w:val="left" w:pos="5580"/>
        </w:tabs>
        <w:rPr>
          <w:sz w:val="20"/>
          <w:szCs w:val="20"/>
        </w:rPr>
      </w:pPr>
      <w:r w:rsidRPr="001664D3">
        <w:rPr>
          <w:sz w:val="20"/>
          <w:szCs w:val="20"/>
        </w:rPr>
        <w:tab/>
      </w:r>
    </w:p>
    <w:p w14:paraId="2700CF5D" w14:textId="42AC720A" w:rsidR="008B248A" w:rsidRPr="002D5F1B" w:rsidRDefault="00B4174F" w:rsidP="00083D34">
      <w:pPr>
        <w:tabs>
          <w:tab w:val="left" w:pos="5580"/>
        </w:tabs>
        <w:jc w:val="center"/>
        <w:rPr>
          <w:b/>
          <w:sz w:val="32"/>
          <w:szCs w:val="32"/>
        </w:rPr>
      </w:pPr>
      <w:r w:rsidRPr="001664D3">
        <w:rPr>
          <w:b/>
          <w:sz w:val="32"/>
          <w:szCs w:val="32"/>
        </w:rPr>
        <w:t xml:space="preserve">Draft </w:t>
      </w:r>
      <w:r w:rsidR="0029637D" w:rsidRPr="001664D3">
        <w:rPr>
          <w:b/>
          <w:sz w:val="32"/>
          <w:szCs w:val="32"/>
        </w:rPr>
        <w:t xml:space="preserve">Minutes </w:t>
      </w:r>
      <w:r w:rsidR="008B248A" w:rsidRPr="002D5F1B">
        <w:rPr>
          <w:b/>
          <w:sz w:val="32"/>
          <w:szCs w:val="32"/>
        </w:rPr>
        <w:t>for the</w:t>
      </w:r>
      <w:r w:rsidR="00C7746E">
        <w:rPr>
          <w:b/>
          <w:sz w:val="32"/>
          <w:szCs w:val="32"/>
        </w:rPr>
        <w:t xml:space="preserve"> </w:t>
      </w:r>
      <w:r w:rsidR="005E0EC6">
        <w:rPr>
          <w:b/>
          <w:sz w:val="32"/>
          <w:szCs w:val="32"/>
          <w:lang w:val="en-US"/>
        </w:rPr>
        <w:t>4</w:t>
      </w:r>
      <w:r w:rsidR="009F0A71">
        <w:rPr>
          <w:b/>
          <w:sz w:val="32"/>
          <w:szCs w:val="32"/>
          <w:lang w:val="en-US"/>
        </w:rPr>
        <w:t>3</w:t>
      </w:r>
      <w:r w:rsidR="009F0A71" w:rsidRPr="009F0A71">
        <w:rPr>
          <w:b/>
          <w:sz w:val="32"/>
          <w:szCs w:val="32"/>
          <w:vertAlign w:val="superscript"/>
          <w:lang w:val="en-US"/>
        </w:rPr>
        <w:t>rd</w:t>
      </w:r>
      <w:r w:rsidR="009F0A71">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33E483E3" w14:textId="77777777" w:rsidR="009F0A71" w:rsidRDefault="009F0A71" w:rsidP="009F0A71">
      <w:pPr>
        <w:tabs>
          <w:tab w:val="left" w:pos="1276"/>
          <w:tab w:val="left" w:pos="2410"/>
        </w:tabs>
      </w:pPr>
    </w:p>
    <w:p w14:paraId="60A47839" w14:textId="17888B1C" w:rsidR="009F0A71" w:rsidRDefault="009F0A71" w:rsidP="009F0A71">
      <w:pPr>
        <w:tabs>
          <w:tab w:val="left" w:pos="1276"/>
          <w:tab w:val="left" w:pos="2410"/>
        </w:tabs>
      </w:pPr>
      <w:r w:rsidRPr="00317AE7">
        <w:t>Hybrid meeting</w:t>
      </w:r>
      <w:r w:rsidR="00D921E4">
        <w:t>:</w:t>
      </w:r>
    </w:p>
    <w:p w14:paraId="0202F56B" w14:textId="3C77EEFF" w:rsidR="00D921E4" w:rsidRDefault="00D921E4" w:rsidP="00D921E4">
      <w:pPr>
        <w:tabs>
          <w:tab w:val="left" w:pos="1276"/>
          <w:tab w:val="left" w:pos="2410"/>
        </w:tabs>
      </w:pPr>
      <w:r>
        <w:t xml:space="preserve">Venue: OICA office, </w:t>
      </w:r>
      <w:r w:rsidRPr="009F0A71">
        <w:t>4 rue de Berri - 75008 Paris, France</w:t>
      </w:r>
    </w:p>
    <w:p w14:paraId="5FC1975D" w14:textId="77777777" w:rsidR="00D921E4" w:rsidRDefault="00D921E4" w:rsidP="00D921E4">
      <w:pPr>
        <w:tabs>
          <w:tab w:val="left" w:pos="1276"/>
          <w:tab w:val="left" w:pos="2410"/>
        </w:tabs>
      </w:pPr>
      <w:r>
        <w:t xml:space="preserve">(Location: see OICA contact webpage: </w:t>
      </w:r>
      <w:hyperlink r:id="rId8" w:history="1">
        <w:r w:rsidRPr="004B736D">
          <w:rPr>
            <w:rStyle w:val="Hyperlink"/>
          </w:rPr>
          <w:t>https://oica.net/contact/</w:t>
        </w:r>
      </w:hyperlink>
      <w:r>
        <w:t>)</w:t>
      </w:r>
    </w:p>
    <w:p w14:paraId="352D5036" w14:textId="77777777" w:rsidR="008C321D" w:rsidRDefault="008C321D" w:rsidP="009F0A71">
      <w:pPr>
        <w:tabs>
          <w:tab w:val="left" w:pos="1276"/>
          <w:tab w:val="left" w:pos="2410"/>
        </w:tabs>
      </w:pPr>
    </w:p>
    <w:p w14:paraId="20A51DF7" w14:textId="26CA2D01" w:rsidR="009F0A71" w:rsidRDefault="00D921E4" w:rsidP="009F0A71">
      <w:pPr>
        <w:tabs>
          <w:tab w:val="left" w:pos="1276"/>
          <w:tab w:val="left" w:pos="2410"/>
        </w:tabs>
      </w:pPr>
      <w:r w:rsidRPr="00D921E4">
        <w:t xml:space="preserve">Due to </w:t>
      </w:r>
      <w:r>
        <w:t>the limited room cap</w:t>
      </w:r>
      <w:r w:rsidR="008C321D">
        <w:t>acity</w:t>
      </w:r>
      <w:r w:rsidRPr="00D921E4">
        <w:t>, registration via the respective associations is required for industry representatives</w:t>
      </w:r>
      <w:r w:rsidR="008C321D">
        <w:t>. T</w:t>
      </w:r>
      <w:r w:rsidRPr="00D921E4">
        <w:t xml:space="preserve">he weblink to this meeting will be sent separately to all </w:t>
      </w:r>
      <w:r>
        <w:t xml:space="preserve">listed </w:t>
      </w:r>
      <w:r w:rsidRPr="00D921E4">
        <w:t>TF ADAS members. If you have any questions, please contact the secretaries</w:t>
      </w:r>
      <w:r>
        <w:t>.</w:t>
      </w:r>
    </w:p>
    <w:p w14:paraId="3BE6CF43" w14:textId="77777777" w:rsidR="00D921E4" w:rsidRPr="001664D3" w:rsidRDefault="00D921E4" w:rsidP="009F0A71">
      <w:pPr>
        <w:tabs>
          <w:tab w:val="left" w:pos="1276"/>
          <w:tab w:val="left" w:pos="2410"/>
        </w:tabs>
      </w:pPr>
    </w:p>
    <w:p w14:paraId="797B5ED9" w14:textId="5474E588" w:rsidR="009F0A71" w:rsidRPr="001664D3" w:rsidRDefault="009F0A71" w:rsidP="009F0A71">
      <w:pPr>
        <w:tabs>
          <w:tab w:val="left" w:pos="1276"/>
          <w:tab w:val="left" w:pos="2410"/>
        </w:tabs>
      </w:pPr>
      <w:r w:rsidRPr="001664D3">
        <w:t>Date/Time:</w:t>
      </w:r>
      <w:r w:rsidRPr="001664D3">
        <w:tab/>
        <w:t>Monday 17 November 2025, 13:30 – 1</w:t>
      </w:r>
      <w:r w:rsidR="0029637D" w:rsidRPr="001664D3">
        <w:t>7</w:t>
      </w:r>
      <w:r w:rsidRPr="001664D3">
        <w:t>:00</w:t>
      </w:r>
    </w:p>
    <w:p w14:paraId="550B44D8" w14:textId="47EA15CB" w:rsidR="009F0A71" w:rsidRPr="001664D3" w:rsidRDefault="009F0A71" w:rsidP="009F0A71">
      <w:pPr>
        <w:tabs>
          <w:tab w:val="left" w:pos="1276"/>
          <w:tab w:val="left" w:pos="2410"/>
        </w:tabs>
      </w:pPr>
      <w:r w:rsidRPr="001664D3">
        <w:tab/>
      </w:r>
    </w:p>
    <w:p w14:paraId="2C5CE770" w14:textId="2D34CEB8" w:rsidR="009F0A71" w:rsidRPr="001664D3" w:rsidRDefault="009F0A71" w:rsidP="009F0A71">
      <w:pPr>
        <w:tabs>
          <w:tab w:val="left" w:pos="1276"/>
          <w:tab w:val="left" w:pos="2410"/>
        </w:tabs>
        <w:ind w:left="1276"/>
      </w:pPr>
      <w:r w:rsidRPr="001664D3">
        <w:t xml:space="preserve">Tuesday 18 November 2025, </w:t>
      </w:r>
      <w:r w:rsidR="0029637D" w:rsidRPr="001664D3">
        <w:t>8</w:t>
      </w:r>
      <w:r w:rsidRPr="001664D3">
        <w:t>:</w:t>
      </w:r>
      <w:r w:rsidR="0029637D" w:rsidRPr="001664D3">
        <w:t>3</w:t>
      </w:r>
      <w:r w:rsidRPr="001664D3">
        <w:t>0 – 12:00 &amp; 13:30 – 1</w:t>
      </w:r>
      <w:r w:rsidR="0029637D" w:rsidRPr="001664D3">
        <w:t>7</w:t>
      </w:r>
      <w:r w:rsidRPr="001664D3">
        <w:t>:00</w:t>
      </w:r>
    </w:p>
    <w:p w14:paraId="1F508703" w14:textId="77777777" w:rsidR="009F0A71" w:rsidRPr="001664D3" w:rsidRDefault="009F0A71" w:rsidP="009F0A71">
      <w:pPr>
        <w:tabs>
          <w:tab w:val="left" w:pos="1276"/>
          <w:tab w:val="left" w:pos="2410"/>
        </w:tabs>
      </w:pPr>
    </w:p>
    <w:p w14:paraId="6F5833F7" w14:textId="1FCDEC18" w:rsidR="009F0A71" w:rsidRPr="001664D3" w:rsidRDefault="009F0A71" w:rsidP="009F0A71">
      <w:pPr>
        <w:tabs>
          <w:tab w:val="left" w:pos="1276"/>
          <w:tab w:val="left" w:pos="2410"/>
        </w:tabs>
        <w:ind w:left="1276"/>
      </w:pPr>
      <w:r w:rsidRPr="001664D3">
        <w:t>Wednesday 19 November 2025, 9:00 – 12:00 &amp; 13:30 – 18:00</w:t>
      </w:r>
    </w:p>
    <w:p w14:paraId="7B1A3997" w14:textId="59F493B2" w:rsidR="009F0A71" w:rsidRDefault="009F0A71" w:rsidP="009F0A71">
      <w:pPr>
        <w:tabs>
          <w:tab w:val="left" w:pos="1276"/>
          <w:tab w:val="left" w:pos="2410"/>
        </w:tabs>
      </w:pPr>
      <w:r>
        <w:tab/>
      </w:r>
    </w:p>
    <w:p w14:paraId="38205E3A" w14:textId="62C6D38A" w:rsidR="009F0A71" w:rsidRDefault="009F0A71" w:rsidP="009F0A71">
      <w:pPr>
        <w:tabs>
          <w:tab w:val="left" w:pos="1276"/>
          <w:tab w:val="left" w:pos="2410"/>
        </w:tabs>
        <w:ind w:left="1276"/>
      </w:pPr>
      <w:r>
        <w:t>Thursday 20 November 2025, 9:00 – 12:00 &amp; 13:30 – 18:00</w:t>
      </w:r>
    </w:p>
    <w:p w14:paraId="33F7D6FF" w14:textId="77777777" w:rsidR="009F0A71" w:rsidRDefault="009F0A71" w:rsidP="004A1687">
      <w:pPr>
        <w:tabs>
          <w:tab w:val="left" w:pos="1276"/>
          <w:tab w:val="left" w:pos="2410"/>
        </w:tabs>
      </w:pPr>
    </w:p>
    <w:p w14:paraId="010E5698" w14:textId="5945B893" w:rsidR="009F0A71" w:rsidRDefault="009F0A71" w:rsidP="004A1687">
      <w:pPr>
        <w:tabs>
          <w:tab w:val="left" w:pos="1276"/>
          <w:tab w:val="left" w:pos="2410"/>
        </w:tabs>
      </w:pPr>
      <w:r>
        <w:tab/>
        <w:t>Friday 21 November 2025, 9:00 – 12:00</w:t>
      </w:r>
    </w:p>
    <w:p w14:paraId="4BD599A5" w14:textId="77777777" w:rsidR="009F0A71" w:rsidRDefault="009F0A71" w:rsidP="004A1687">
      <w:pPr>
        <w:tabs>
          <w:tab w:val="left" w:pos="1276"/>
          <w:tab w:val="left" w:pos="2410"/>
        </w:tabs>
      </w:pPr>
    </w:p>
    <w:p w14:paraId="078A454D" w14:textId="5E90E8FF" w:rsidR="00FA541A" w:rsidRDefault="00F640BD" w:rsidP="007901AB">
      <w:pPr>
        <w:tabs>
          <w:tab w:val="left" w:pos="1276"/>
        </w:tabs>
        <w:rPr>
          <w:lang w:val="en-US"/>
        </w:rPr>
      </w:pPr>
      <w:r w:rsidRPr="009F6EB4">
        <w:t>Chair</w:t>
      </w:r>
      <w:r w:rsidR="005606D6" w:rsidRPr="009F6EB4">
        <w:t>:</w:t>
      </w:r>
      <w:r w:rsidR="007901AB">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9"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10"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1"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721557D2" w14:textId="77777777" w:rsidR="008C321D" w:rsidRDefault="009B375C" w:rsidP="009B375C">
      <w:pPr>
        <w:tabs>
          <w:tab w:val="left" w:pos="993"/>
          <w:tab w:val="left" w:pos="1276"/>
          <w:tab w:val="left" w:pos="7380"/>
        </w:tabs>
        <w:rPr>
          <w:lang w:val="en-US"/>
        </w:rPr>
      </w:pPr>
      <w:r>
        <w:rPr>
          <w:lang w:val="en-US"/>
        </w:rPr>
        <w:t>M</w:t>
      </w:r>
      <w:r w:rsidR="00DF7FD0">
        <w:rPr>
          <w:lang w:val="en-US"/>
        </w:rPr>
        <w:t xml:space="preserve">eeting objective: </w:t>
      </w:r>
    </w:p>
    <w:p w14:paraId="386BF42D" w14:textId="00A8611C" w:rsidR="009F0A71" w:rsidRPr="00EC03E3" w:rsidRDefault="009F0A71" w:rsidP="00EC03E3">
      <w:pPr>
        <w:pStyle w:val="ListParagraph"/>
        <w:numPr>
          <w:ilvl w:val="0"/>
          <w:numId w:val="35"/>
        </w:numPr>
        <w:tabs>
          <w:tab w:val="left" w:pos="993"/>
          <w:tab w:val="left" w:pos="1276"/>
          <w:tab w:val="left" w:pos="7380"/>
        </w:tabs>
        <w:rPr>
          <w:lang w:val="en-US"/>
        </w:rPr>
      </w:pPr>
      <w:r w:rsidRPr="00EC03E3">
        <w:rPr>
          <w:lang w:val="en-US"/>
        </w:rPr>
        <w:t>Reaching an</w:t>
      </w:r>
      <w:r w:rsidR="00003437" w:rsidRPr="00EC03E3">
        <w:rPr>
          <w:lang w:val="en-US"/>
        </w:rPr>
        <w:t xml:space="preserve"> agreement and removing square brackets from the master document ADAS 43-02 (draft 02 series of amendments to UN Regulation No. 171) submitted to the GRVA secretariat.</w:t>
      </w:r>
    </w:p>
    <w:p w14:paraId="3F44DCE7" w14:textId="02A0663E" w:rsidR="00EC03E3" w:rsidRPr="00EC03E3" w:rsidRDefault="00EC03E3" w:rsidP="00EC03E3">
      <w:pPr>
        <w:pStyle w:val="ListParagraph"/>
        <w:numPr>
          <w:ilvl w:val="0"/>
          <w:numId w:val="35"/>
        </w:numPr>
        <w:tabs>
          <w:tab w:val="left" w:pos="993"/>
          <w:tab w:val="left" w:pos="1276"/>
          <w:tab w:val="left" w:pos="7380"/>
        </w:tabs>
        <w:rPr>
          <w:lang w:val="en-US"/>
        </w:rPr>
      </w:pPr>
      <w:r w:rsidRPr="00EC03E3">
        <w:rPr>
          <w:lang w:val="en-US"/>
        </w:rPr>
        <w:t xml:space="preserve">Review </w:t>
      </w:r>
      <w:r w:rsidR="00E454EC">
        <w:rPr>
          <w:lang w:val="en-US"/>
        </w:rPr>
        <w:t>and</w:t>
      </w:r>
      <w:r w:rsidRPr="00EC03E3">
        <w:rPr>
          <w:lang w:val="en-US"/>
        </w:rPr>
        <w:t xml:space="preserve"> work on </w:t>
      </w:r>
      <w:r w:rsidR="00E454EC">
        <w:rPr>
          <w:lang w:val="en-US"/>
        </w:rPr>
        <w:t xml:space="preserve">proposal for </w:t>
      </w:r>
      <w:r w:rsidRPr="00EC03E3">
        <w:rPr>
          <w:lang w:val="en-US"/>
        </w:rPr>
        <w:t>UN-R79 document for distribution via TF ADAS to GRVA including comments from TF ADAS #41</w:t>
      </w:r>
    </w:p>
    <w:p w14:paraId="6660D24B" w14:textId="77777777" w:rsidR="009F0A71" w:rsidRDefault="009F0A71" w:rsidP="009B375C">
      <w:pPr>
        <w:tabs>
          <w:tab w:val="left" w:pos="993"/>
          <w:tab w:val="left" w:pos="1276"/>
          <w:tab w:val="left" w:pos="7380"/>
        </w:tabs>
        <w:rPr>
          <w:lang w:val="en-US"/>
        </w:rPr>
      </w:pPr>
    </w:p>
    <w:p w14:paraId="23175D57" w14:textId="5E9D5A04" w:rsidR="009B375C" w:rsidRPr="009B375C" w:rsidRDefault="00BB39CC" w:rsidP="009B375C">
      <w:pPr>
        <w:tabs>
          <w:tab w:val="left" w:pos="993"/>
          <w:tab w:val="left" w:pos="1276"/>
          <w:tab w:val="left" w:pos="7380"/>
        </w:tabs>
        <w:rPr>
          <w:lang w:val="en-US"/>
        </w:rPr>
      </w:pPr>
      <w:r>
        <w:rPr>
          <w:lang w:val="en-US"/>
        </w:rPr>
        <w:t>Further development of (phase 3)</w:t>
      </w:r>
      <w:r w:rsidR="00263EC7">
        <w:rPr>
          <w:lang w:val="en-US"/>
        </w:rPr>
        <w:t>.</w:t>
      </w:r>
    </w:p>
    <w:p w14:paraId="76781DD0" w14:textId="77777777" w:rsidR="009B375C" w:rsidRPr="009B375C" w:rsidRDefault="009B375C" w:rsidP="00EE7FA2">
      <w:pPr>
        <w:tabs>
          <w:tab w:val="left" w:pos="993"/>
          <w:tab w:val="left" w:pos="1276"/>
        </w:tabs>
        <w:rPr>
          <w:lang w:val="en-US"/>
        </w:rPr>
      </w:pPr>
    </w:p>
    <w:p w14:paraId="37D6FA64" w14:textId="77777777" w:rsidR="00E454EC" w:rsidRDefault="00E454EC" w:rsidP="00400A43">
      <w:pPr>
        <w:tabs>
          <w:tab w:val="left" w:pos="993"/>
          <w:tab w:val="left" w:pos="1276"/>
          <w:tab w:val="left" w:pos="7380"/>
        </w:tabs>
        <w:rPr>
          <w:lang w:val="en-US"/>
        </w:rPr>
      </w:pPr>
    </w:p>
    <w:p w14:paraId="520DA95B" w14:textId="615C9542" w:rsidR="005E7534" w:rsidRDefault="007432BF" w:rsidP="00400A43">
      <w:pPr>
        <w:tabs>
          <w:tab w:val="left" w:pos="993"/>
          <w:tab w:val="left" w:pos="1276"/>
          <w:tab w:val="left" w:pos="7380"/>
        </w:tabs>
        <w:rPr>
          <w:lang w:val="en-US"/>
        </w:rPr>
      </w:pPr>
      <w:r>
        <w:rPr>
          <w:lang w:val="en-US"/>
        </w:rPr>
        <w:t>Provisional agenda items:</w:t>
      </w:r>
      <w:r w:rsidR="00835430">
        <w:rPr>
          <w:lang w:val="en-US"/>
        </w:rPr>
        <w:br/>
      </w:r>
    </w:p>
    <w:p w14:paraId="1B9B6636" w14:textId="7CE6CEB5" w:rsidR="00DF7FD0" w:rsidRPr="00C938F5"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36EE44C4" w14:textId="77777777" w:rsidR="00C938F5" w:rsidRDefault="00C938F5" w:rsidP="00C938F5">
      <w:pPr>
        <w:pStyle w:val="ListParagraph"/>
        <w:tabs>
          <w:tab w:val="left" w:pos="993"/>
          <w:tab w:val="left" w:pos="1276"/>
          <w:tab w:val="left" w:pos="7380"/>
        </w:tabs>
        <w:ind w:left="720"/>
        <w:rPr>
          <w:b/>
          <w:bCs/>
        </w:rPr>
      </w:pPr>
    </w:p>
    <w:p w14:paraId="0014B3D9" w14:textId="0DEFA84D" w:rsidR="00C938F5" w:rsidRDefault="00C938F5" w:rsidP="00C938F5">
      <w:pPr>
        <w:pStyle w:val="ListParagraph"/>
        <w:tabs>
          <w:tab w:val="left" w:pos="993"/>
          <w:tab w:val="left" w:pos="1276"/>
          <w:tab w:val="left" w:pos="7380"/>
        </w:tabs>
        <w:ind w:left="720"/>
        <w:rPr>
          <w:color w:val="1F497D" w:themeColor="text2"/>
        </w:rPr>
      </w:pPr>
      <w:r w:rsidRPr="00C938F5">
        <w:rPr>
          <w:color w:val="1F497D" w:themeColor="text2"/>
        </w:rPr>
        <w:t xml:space="preserve">The forty-third session of the Task Force on Advanced Driver Assistance Systems (TF on ADAS) was held as a hybrid meeting at the OICA offices in Paris from 17–21 November 2025. The meeting was chaired </w:t>
      </w:r>
      <w:r w:rsidRPr="00950D32">
        <w:rPr>
          <w:color w:val="1F497D" w:themeColor="text2"/>
        </w:rPr>
        <w:t xml:space="preserve">by </w:t>
      </w:r>
      <w:r w:rsidRPr="00950D32">
        <w:rPr>
          <w:rStyle w:val="Strong"/>
          <w:b w:val="0"/>
          <w:bCs w:val="0"/>
          <w:color w:val="1F497D" w:themeColor="text2"/>
        </w:rPr>
        <w:t>Andrei Bocharov (</w:t>
      </w:r>
      <w:r w:rsidR="00950D32">
        <w:rPr>
          <w:rStyle w:val="Strong"/>
          <w:b w:val="0"/>
          <w:bCs w:val="0"/>
          <w:color w:val="1F497D" w:themeColor="text2"/>
        </w:rPr>
        <w:t>Russia</w:t>
      </w:r>
      <w:r w:rsidRPr="00950D32">
        <w:rPr>
          <w:rStyle w:val="Strong"/>
          <w:b w:val="0"/>
          <w:bCs w:val="0"/>
          <w:color w:val="1F497D" w:themeColor="text2"/>
        </w:rPr>
        <w:t>)</w:t>
      </w:r>
      <w:r w:rsidRPr="00950D32">
        <w:rPr>
          <w:color w:val="1F497D" w:themeColor="text2"/>
        </w:rPr>
        <w:t xml:space="preserve"> with secretariat support from </w:t>
      </w:r>
      <w:r w:rsidRPr="00950D32">
        <w:rPr>
          <w:rStyle w:val="Strong"/>
          <w:b w:val="0"/>
          <w:bCs w:val="0"/>
          <w:color w:val="1F497D" w:themeColor="text2"/>
        </w:rPr>
        <w:t>Richard Krüger (OICA)</w:t>
      </w:r>
      <w:r w:rsidRPr="00950D32">
        <w:rPr>
          <w:color w:val="1F497D" w:themeColor="text2"/>
        </w:rPr>
        <w:t xml:space="preserve"> and </w:t>
      </w:r>
      <w:r w:rsidRPr="00950D32">
        <w:rPr>
          <w:rStyle w:val="Strong"/>
          <w:b w:val="0"/>
          <w:bCs w:val="0"/>
          <w:color w:val="1F497D" w:themeColor="text2"/>
        </w:rPr>
        <w:t>Morgan Kirkham-Jones</w:t>
      </w:r>
      <w:r w:rsidRPr="00950D32">
        <w:rPr>
          <w:rStyle w:val="Strong"/>
          <w:color w:val="1F497D" w:themeColor="text2"/>
        </w:rPr>
        <w:t xml:space="preserve"> </w:t>
      </w:r>
      <w:r w:rsidRPr="00950D32">
        <w:rPr>
          <w:rStyle w:val="Strong"/>
          <w:b w:val="0"/>
          <w:bCs w:val="0"/>
          <w:color w:val="1F497D" w:themeColor="text2"/>
        </w:rPr>
        <w:t>(CLEPA)</w:t>
      </w:r>
      <w:r w:rsidRPr="00950D32">
        <w:rPr>
          <w:b/>
          <w:bCs/>
          <w:color w:val="1F497D" w:themeColor="text2"/>
        </w:rPr>
        <w:t>.</w:t>
      </w:r>
      <w:r w:rsidRPr="00C938F5">
        <w:rPr>
          <w:color w:val="1F497D" w:themeColor="text2"/>
        </w:rPr>
        <w:t xml:space="preserve"> </w:t>
      </w:r>
    </w:p>
    <w:p w14:paraId="523B5E18" w14:textId="77777777" w:rsidR="002F04D1" w:rsidRDefault="002F04D1" w:rsidP="00C938F5">
      <w:pPr>
        <w:pStyle w:val="ListParagraph"/>
        <w:tabs>
          <w:tab w:val="left" w:pos="993"/>
          <w:tab w:val="left" w:pos="1276"/>
          <w:tab w:val="left" w:pos="7380"/>
        </w:tabs>
        <w:ind w:left="720"/>
        <w:rPr>
          <w:color w:val="1F497D" w:themeColor="text2"/>
        </w:rPr>
      </w:pPr>
    </w:p>
    <w:p w14:paraId="6AADF93A" w14:textId="4D55E229" w:rsidR="002F04D1" w:rsidRDefault="002F04D1" w:rsidP="00C938F5">
      <w:pPr>
        <w:pStyle w:val="ListParagraph"/>
        <w:tabs>
          <w:tab w:val="left" w:pos="993"/>
          <w:tab w:val="left" w:pos="1276"/>
          <w:tab w:val="left" w:pos="7380"/>
        </w:tabs>
        <w:ind w:left="720"/>
        <w:rPr>
          <w:color w:val="1F497D" w:themeColor="text2"/>
        </w:rPr>
      </w:pPr>
      <w:r w:rsidRPr="00A37839">
        <w:rPr>
          <w:color w:val="1F497D" w:themeColor="text2"/>
        </w:rPr>
        <w:t>The Secretariat introduced the planned work structure for the week. The Task Force was reminded that the base document for the meeting was ADAS 43</w:t>
      </w:r>
      <w:r w:rsidR="00A37839">
        <w:rPr>
          <w:color w:val="1F497D" w:themeColor="text2"/>
        </w:rPr>
        <w:t>-</w:t>
      </w:r>
      <w:r w:rsidRPr="00A37839">
        <w:rPr>
          <w:color w:val="1F497D" w:themeColor="text2"/>
        </w:rPr>
        <w:t xml:space="preserve">02, which contains the consolidated Phase 3 draft. </w:t>
      </w:r>
      <w:r w:rsidR="00A37839" w:rsidRPr="00A37839">
        <w:rPr>
          <w:color w:val="1F497D" w:themeColor="text2"/>
        </w:rPr>
        <w:t>A working version uploaded by the GRVA Secretariat as ADAS 43</w:t>
      </w:r>
      <w:r w:rsidR="00A37839">
        <w:rPr>
          <w:color w:val="1F497D" w:themeColor="text2"/>
        </w:rPr>
        <w:t>-</w:t>
      </w:r>
      <w:r w:rsidR="00A37839" w:rsidRPr="00A37839">
        <w:rPr>
          <w:color w:val="1F497D" w:themeColor="text2"/>
        </w:rPr>
        <w:t>11 included some editorial corrections such as numbering alignment.</w:t>
      </w:r>
      <w:r w:rsidR="00A37839">
        <w:rPr>
          <w:color w:val="1F497D" w:themeColor="text2"/>
        </w:rPr>
        <w:t xml:space="preserve"> </w:t>
      </w:r>
      <w:r w:rsidRPr="00A37839">
        <w:rPr>
          <w:color w:val="1F497D" w:themeColor="text2"/>
        </w:rPr>
        <w:t>Additional proposals submitted by Contracting Parties and associations were contained in documents ADAS 43</w:t>
      </w:r>
      <w:r w:rsidR="00A37839">
        <w:rPr>
          <w:color w:val="1F497D" w:themeColor="text2"/>
        </w:rPr>
        <w:t>-</w:t>
      </w:r>
      <w:r w:rsidRPr="00A37839">
        <w:rPr>
          <w:color w:val="1F497D" w:themeColor="text2"/>
        </w:rPr>
        <w:t>04 to ADAS 43</w:t>
      </w:r>
      <w:r w:rsidR="00A37839">
        <w:rPr>
          <w:color w:val="1F497D" w:themeColor="text2"/>
        </w:rPr>
        <w:t>-09</w:t>
      </w:r>
      <w:r w:rsidRPr="00A37839">
        <w:rPr>
          <w:color w:val="1F497D" w:themeColor="text2"/>
        </w:rPr>
        <w:t>. These proposals were combined into an overview table to support clause by clause review</w:t>
      </w:r>
      <w:r w:rsidR="00A37839">
        <w:rPr>
          <w:color w:val="1F497D" w:themeColor="text2"/>
        </w:rPr>
        <w:t xml:space="preserve"> (43-10)</w:t>
      </w:r>
      <w:r w:rsidRPr="00A37839">
        <w:rPr>
          <w:color w:val="1F497D" w:themeColor="text2"/>
        </w:rPr>
        <w:t xml:space="preserve">. </w:t>
      </w:r>
    </w:p>
    <w:p w14:paraId="5CE4A3F5" w14:textId="77777777" w:rsidR="00FA2791" w:rsidRDefault="00FA2791" w:rsidP="00C938F5">
      <w:pPr>
        <w:pStyle w:val="ListParagraph"/>
        <w:tabs>
          <w:tab w:val="left" w:pos="993"/>
          <w:tab w:val="left" w:pos="1276"/>
          <w:tab w:val="left" w:pos="7380"/>
        </w:tabs>
        <w:ind w:left="720"/>
        <w:rPr>
          <w:color w:val="1F497D" w:themeColor="text2"/>
        </w:rPr>
      </w:pP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3B66A9AD" w:rsidR="005A1CC3" w:rsidRDefault="00DF7FD0" w:rsidP="00FC1487">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0" w:name="_Hlk131762893"/>
      <w:r w:rsidR="007432BF" w:rsidRPr="002E554C">
        <w:rPr>
          <w:i/>
          <w:iCs/>
        </w:rPr>
        <w:t>Documentation</w:t>
      </w:r>
      <w:r w:rsidR="007432BF">
        <w:t>:</w:t>
      </w:r>
      <w:r w:rsidR="0096469D">
        <w:t xml:space="preserve"> </w:t>
      </w:r>
      <w:r w:rsidR="00FC1487">
        <w:br/>
      </w:r>
      <w:r w:rsidR="007432BF">
        <w:t>Working paper</w:t>
      </w:r>
      <w:r>
        <w:t xml:space="preserve"> </w:t>
      </w:r>
      <w:bookmarkEnd w:id="0"/>
      <w:r w:rsidR="00377DD1" w:rsidRPr="00377DD1">
        <w:t>ADAS-</w:t>
      </w:r>
      <w:r w:rsidR="005E0EC6">
        <w:t>4</w:t>
      </w:r>
      <w:r w:rsidR="00003437">
        <w:t>3</w:t>
      </w:r>
      <w:r w:rsidR="00377DD1" w:rsidRPr="00377DD1">
        <w:t xml:space="preserve">-01 (Secretary) Draft Agenda for the </w:t>
      </w:r>
      <w:r w:rsidR="005E0EC6">
        <w:t>4</w:t>
      </w:r>
      <w:r w:rsidR="00003437">
        <w:t>3</w:t>
      </w:r>
      <w:r w:rsidR="00003437" w:rsidRPr="00003437">
        <w:rPr>
          <w:vertAlign w:val="superscript"/>
        </w:rPr>
        <w:t>rd</w:t>
      </w:r>
      <w:r w:rsidR="00003437">
        <w:t xml:space="preserve"> </w:t>
      </w:r>
      <w:r w:rsidR="00377DD1" w:rsidRPr="00377DD1">
        <w:t>session of the TF on ADAS</w:t>
      </w:r>
    </w:p>
    <w:p w14:paraId="2D524B61" w14:textId="77777777" w:rsidR="00C938F5" w:rsidRDefault="00C938F5" w:rsidP="00C938F5">
      <w:pPr>
        <w:pStyle w:val="ListParagraph"/>
        <w:tabs>
          <w:tab w:val="left" w:pos="993"/>
          <w:tab w:val="left" w:pos="1276"/>
          <w:tab w:val="left" w:pos="2835"/>
        </w:tabs>
        <w:ind w:left="720"/>
        <w:rPr>
          <w:b/>
          <w:bCs/>
        </w:rPr>
      </w:pPr>
    </w:p>
    <w:p w14:paraId="4E608594" w14:textId="4FC98885" w:rsidR="00C938F5" w:rsidRPr="00C938F5" w:rsidRDefault="00C938F5" w:rsidP="00C938F5">
      <w:pPr>
        <w:pStyle w:val="ListParagraph"/>
        <w:tabs>
          <w:tab w:val="left" w:pos="993"/>
          <w:tab w:val="left" w:pos="1276"/>
          <w:tab w:val="left" w:pos="2835"/>
        </w:tabs>
        <w:ind w:left="720"/>
        <w:rPr>
          <w:color w:val="1F497D" w:themeColor="text2"/>
        </w:rPr>
      </w:pPr>
      <w:r w:rsidRPr="00C938F5">
        <w:rPr>
          <w:color w:val="1F497D" w:themeColor="text2"/>
        </w:rPr>
        <w:t>The Task Force adopted the revised agenda (document ADAS-43-01/Rev.1) without changes. The Chair reminded delegates of the meeting’s objective: to finalise the 02 series of amendments to UN Regulation No. 171 (Driver Control Assistance Systems) for submission to GRVA and to identify remaining items requiring further consultation.</w:t>
      </w:r>
    </w:p>
    <w:p w14:paraId="6E36DAA3" w14:textId="77777777" w:rsidR="00E454EC" w:rsidRDefault="00E454EC" w:rsidP="00E454EC">
      <w:pPr>
        <w:pStyle w:val="ListParagraph"/>
      </w:pPr>
    </w:p>
    <w:p w14:paraId="01A67AAD" w14:textId="09342B2D" w:rsidR="00633375" w:rsidRPr="00C938F5" w:rsidRDefault="00633375" w:rsidP="00542099">
      <w:pPr>
        <w:pStyle w:val="ListParagraph"/>
        <w:widowControl w:val="0"/>
        <w:numPr>
          <w:ilvl w:val="0"/>
          <w:numId w:val="2"/>
        </w:numPr>
        <w:tabs>
          <w:tab w:val="left" w:pos="993"/>
          <w:tab w:val="left" w:pos="1276"/>
          <w:tab w:val="left" w:pos="2835"/>
        </w:tabs>
        <w:ind w:left="714" w:hanging="357"/>
        <w:rPr>
          <w:b/>
          <w:bCs/>
        </w:rPr>
      </w:pPr>
      <w:r>
        <w:rPr>
          <w:b/>
          <w:bCs/>
        </w:rPr>
        <w:t xml:space="preserve">Adoption of the meeting minutes for the </w:t>
      </w:r>
      <w:r w:rsidR="00D2051D">
        <w:rPr>
          <w:b/>
          <w:bCs/>
        </w:rPr>
        <w:t>4</w:t>
      </w:r>
      <w:r w:rsidR="00003437">
        <w:rPr>
          <w:b/>
          <w:bCs/>
        </w:rPr>
        <w:t>2</w:t>
      </w:r>
      <w:r w:rsidR="00003437" w:rsidRPr="00003437">
        <w:rPr>
          <w:b/>
          <w:bCs/>
          <w:vertAlign w:val="superscript"/>
        </w:rPr>
        <w:t>nd</w:t>
      </w:r>
      <w:r w:rsidR="00003437">
        <w:rPr>
          <w:b/>
          <w:bCs/>
        </w:rPr>
        <w:t xml:space="preserve"> </w:t>
      </w:r>
      <w:r>
        <w:rPr>
          <w:b/>
          <w:bCs/>
        </w:rPr>
        <w:t>session of the TF on ADAS</w:t>
      </w:r>
      <w:r>
        <w:rPr>
          <w:b/>
          <w:bCs/>
        </w:rPr>
        <w:br/>
      </w:r>
      <w:r w:rsidRPr="002E554C">
        <w:rPr>
          <w:i/>
          <w:iCs/>
        </w:rPr>
        <w:t>Documentation</w:t>
      </w:r>
      <w:r>
        <w:t xml:space="preserve">: </w:t>
      </w:r>
      <w:r w:rsidR="00FC1487">
        <w:br/>
      </w:r>
      <w:r>
        <w:t>Working paper ADAS-</w:t>
      </w:r>
      <w:r w:rsidR="00D2051D">
        <w:rPr>
          <w:lang w:val="en-US"/>
        </w:rPr>
        <w:t>4</w:t>
      </w:r>
      <w:r w:rsidR="00003437">
        <w:rPr>
          <w:lang w:val="en-US"/>
        </w:rPr>
        <w:t>2</w:t>
      </w:r>
      <w:r w:rsidR="00D2051D">
        <w:rPr>
          <w:lang w:val="en-US"/>
        </w:rPr>
        <w:t>-</w:t>
      </w:r>
      <w:r w:rsidR="00003437">
        <w:rPr>
          <w:lang w:val="en-US"/>
        </w:rPr>
        <w:t>05</w:t>
      </w:r>
      <w:r w:rsidR="00377DD1">
        <w:rPr>
          <w:lang w:val="en-US"/>
        </w:rPr>
        <w:t xml:space="preserve"> </w:t>
      </w:r>
      <w:r w:rsidR="00377DD1" w:rsidRPr="00377DD1">
        <w:rPr>
          <w:lang w:val="en-US"/>
        </w:rPr>
        <w:t xml:space="preserve">(Secretary) Draft Minutes for the </w:t>
      </w:r>
      <w:r w:rsidR="00D2051D">
        <w:rPr>
          <w:lang w:val="en-US"/>
        </w:rPr>
        <w:t>4</w:t>
      </w:r>
      <w:r w:rsidR="00003437">
        <w:rPr>
          <w:lang w:val="en-US"/>
        </w:rPr>
        <w:t>2</w:t>
      </w:r>
      <w:r w:rsidR="00003437" w:rsidRPr="00003437">
        <w:rPr>
          <w:vertAlign w:val="superscript"/>
          <w:lang w:val="en-US"/>
        </w:rPr>
        <w:t>nd</w:t>
      </w:r>
      <w:r w:rsidR="00003437">
        <w:rPr>
          <w:lang w:val="en-US"/>
        </w:rPr>
        <w:t xml:space="preserve"> </w:t>
      </w:r>
      <w:r w:rsidR="00377DD1" w:rsidRPr="00377DD1">
        <w:rPr>
          <w:lang w:val="en-US"/>
        </w:rPr>
        <w:t>session of the TF on ADAS</w:t>
      </w:r>
    </w:p>
    <w:p w14:paraId="26E6CBAD" w14:textId="77777777" w:rsidR="00C938F5" w:rsidRDefault="00C938F5" w:rsidP="00C938F5">
      <w:pPr>
        <w:pStyle w:val="ListParagraph"/>
        <w:widowControl w:val="0"/>
        <w:tabs>
          <w:tab w:val="left" w:pos="993"/>
          <w:tab w:val="left" w:pos="1276"/>
          <w:tab w:val="left" w:pos="2835"/>
        </w:tabs>
        <w:ind w:left="714"/>
        <w:rPr>
          <w:b/>
          <w:bCs/>
        </w:rPr>
      </w:pPr>
    </w:p>
    <w:p w14:paraId="1BB2F9C3" w14:textId="0E9B6A75" w:rsidR="00C938F5" w:rsidRPr="00C938F5" w:rsidRDefault="00C938F5" w:rsidP="00C938F5">
      <w:pPr>
        <w:pStyle w:val="ListParagraph"/>
        <w:widowControl w:val="0"/>
        <w:tabs>
          <w:tab w:val="left" w:pos="993"/>
          <w:tab w:val="left" w:pos="1276"/>
          <w:tab w:val="left" w:pos="2835"/>
        </w:tabs>
        <w:ind w:left="714"/>
        <w:rPr>
          <w:b/>
          <w:bCs/>
          <w:color w:val="1F497D" w:themeColor="text2"/>
        </w:rPr>
      </w:pPr>
      <w:r w:rsidRPr="00C938F5">
        <w:rPr>
          <w:color w:val="1F497D" w:themeColor="text2"/>
        </w:rPr>
        <w:t>The minutes of the forty-second session (ADAS-42-05) were adopted without comment.</w:t>
      </w:r>
    </w:p>
    <w:p w14:paraId="6ABCE56F" w14:textId="77777777" w:rsidR="00633375" w:rsidRPr="00633375" w:rsidRDefault="00633375" w:rsidP="00633375">
      <w:pPr>
        <w:pStyle w:val="ListParagraph"/>
        <w:rPr>
          <w:b/>
          <w:bCs/>
        </w:rPr>
      </w:pPr>
    </w:p>
    <w:p w14:paraId="6099F7AC" w14:textId="3BA07430" w:rsidR="00E454EC" w:rsidRPr="00E454EC" w:rsidRDefault="00E454EC" w:rsidP="00E454EC">
      <w:pPr>
        <w:pStyle w:val="ListParagraph"/>
        <w:widowControl w:val="0"/>
        <w:numPr>
          <w:ilvl w:val="0"/>
          <w:numId w:val="2"/>
        </w:numPr>
        <w:tabs>
          <w:tab w:val="left" w:pos="993"/>
          <w:tab w:val="left" w:pos="1276"/>
          <w:tab w:val="left" w:pos="2835"/>
        </w:tabs>
        <w:ind w:left="714" w:hanging="357"/>
        <w:rPr>
          <w:b/>
          <w:bCs/>
        </w:rPr>
      </w:pPr>
      <w:r>
        <w:rPr>
          <w:b/>
          <w:bCs/>
          <w:lang w:val="en-US"/>
        </w:rPr>
        <w:t>Document preparatio</w:t>
      </w:r>
      <w:r w:rsidRPr="00E454EC">
        <w:rPr>
          <w:b/>
          <w:bCs/>
          <w:lang w:val="en-US"/>
        </w:rPr>
        <w:t xml:space="preserve">n </w:t>
      </w:r>
      <w:r w:rsidR="00B948B4">
        <w:rPr>
          <w:b/>
          <w:bCs/>
          <w:lang w:val="en-US"/>
        </w:rPr>
        <w:t xml:space="preserve">for </w:t>
      </w:r>
      <w:r w:rsidRPr="00E454EC">
        <w:rPr>
          <w:b/>
          <w:bCs/>
          <w:lang w:val="en-US"/>
        </w:rPr>
        <w:t>distribution via TF ADAS to GRVA</w:t>
      </w:r>
    </w:p>
    <w:p w14:paraId="4E3E6F98" w14:textId="77777777" w:rsidR="00C938F5" w:rsidRPr="0029637D" w:rsidRDefault="00C938F5" w:rsidP="00C938F5">
      <w:pPr>
        <w:widowControl w:val="0"/>
        <w:tabs>
          <w:tab w:val="left" w:pos="993"/>
          <w:tab w:val="left" w:pos="1276"/>
          <w:tab w:val="left" w:pos="2835"/>
        </w:tabs>
        <w:ind w:left="714"/>
        <w:rPr>
          <w:b/>
          <w:bCs/>
          <w:lang w:val="fr-FR"/>
        </w:rPr>
      </w:pPr>
      <w:r w:rsidRPr="0029637D">
        <w:rPr>
          <w:b/>
          <w:bCs/>
          <w:lang w:val="fr-FR"/>
        </w:rPr>
        <w:t>4.2 Draft UN-R79 document to Review</w:t>
      </w:r>
    </w:p>
    <w:p w14:paraId="4C4BFBB3" w14:textId="77777777" w:rsidR="00C938F5" w:rsidRPr="0029637D" w:rsidRDefault="00C938F5" w:rsidP="00C938F5">
      <w:pPr>
        <w:pStyle w:val="ListParagraph"/>
        <w:widowControl w:val="0"/>
        <w:tabs>
          <w:tab w:val="left" w:pos="993"/>
          <w:tab w:val="left" w:pos="2410"/>
        </w:tabs>
        <w:ind w:left="720"/>
        <w:rPr>
          <w:lang w:val="fr-FR"/>
        </w:rPr>
      </w:pPr>
      <w:r w:rsidRPr="0029637D">
        <w:rPr>
          <w:i/>
          <w:iCs/>
          <w:lang w:val="fr-FR"/>
        </w:rPr>
        <w:t>Documentation</w:t>
      </w:r>
      <w:r w:rsidRPr="0029637D">
        <w:rPr>
          <w:lang w:val="fr-FR"/>
        </w:rPr>
        <w:t xml:space="preserve">: </w:t>
      </w:r>
    </w:p>
    <w:p w14:paraId="1A03E7EF" w14:textId="77777777" w:rsidR="00C938F5" w:rsidRDefault="00C938F5" w:rsidP="00C938F5">
      <w:pPr>
        <w:pStyle w:val="ListParagraph"/>
        <w:widowControl w:val="0"/>
        <w:tabs>
          <w:tab w:val="left" w:pos="993"/>
          <w:tab w:val="left" w:pos="2410"/>
        </w:tabs>
        <w:ind w:left="720"/>
        <w:rPr>
          <w:lang w:val="en-US"/>
        </w:rPr>
      </w:pPr>
      <w:r>
        <w:t xml:space="preserve">Working paper </w:t>
      </w:r>
      <w:r>
        <w:rPr>
          <w:lang w:val="en-US"/>
        </w:rPr>
        <w:t xml:space="preserve">Review of </w:t>
      </w:r>
      <w:r w:rsidRPr="00FC1487">
        <w:rPr>
          <w:lang w:val="en-US"/>
        </w:rPr>
        <w:t>ADAS-4</w:t>
      </w:r>
      <w:r>
        <w:rPr>
          <w:lang w:val="en-US"/>
        </w:rPr>
        <w:t>3</w:t>
      </w:r>
      <w:r w:rsidRPr="00FC1487">
        <w:rPr>
          <w:lang w:val="en-US"/>
        </w:rPr>
        <w:t>-0</w:t>
      </w:r>
      <w:r>
        <w:rPr>
          <w:lang w:val="en-US"/>
        </w:rPr>
        <w:t>3</w:t>
      </w:r>
      <w:r w:rsidRPr="00FC1487">
        <w:rPr>
          <w:lang w:val="en-US"/>
        </w:rPr>
        <w:t xml:space="preserve"> </w:t>
      </w:r>
      <w:r>
        <w:rPr>
          <w:lang w:val="en-US"/>
        </w:rPr>
        <w:t xml:space="preserve">(DE) </w:t>
      </w:r>
      <w:r w:rsidRPr="008C321D">
        <w:rPr>
          <w:lang w:val="en-US"/>
        </w:rPr>
        <w:t>UN-R79 document for distribution via TF ADAS to GRVA including comments from TF ADAS #41</w:t>
      </w:r>
    </w:p>
    <w:p w14:paraId="35B8258F" w14:textId="77777777" w:rsidR="00C938F5" w:rsidRDefault="00C938F5" w:rsidP="00C938F5">
      <w:pPr>
        <w:pStyle w:val="ListParagraph"/>
        <w:widowControl w:val="0"/>
        <w:tabs>
          <w:tab w:val="left" w:pos="993"/>
          <w:tab w:val="left" w:pos="2410"/>
        </w:tabs>
        <w:ind w:left="720"/>
        <w:rPr>
          <w:lang w:val="en-US"/>
        </w:rPr>
      </w:pPr>
    </w:p>
    <w:p w14:paraId="2FA2019E" w14:textId="3A396AAA" w:rsidR="002F04D1" w:rsidRPr="00A37839" w:rsidRDefault="002F04D1" w:rsidP="002F04D1">
      <w:pPr>
        <w:pStyle w:val="NormalWeb"/>
        <w:rPr>
          <w:color w:val="1F497D" w:themeColor="text2"/>
        </w:rPr>
      </w:pPr>
      <w:r w:rsidRPr="00A37839">
        <w:rPr>
          <w:color w:val="1F497D" w:themeColor="text2"/>
        </w:rPr>
        <w:t xml:space="preserve">The Task Force reviewed the document concerning amendments to UN Regulation No. 79. The proposal was presented by </w:t>
      </w:r>
      <w:r w:rsidR="00FA2791">
        <w:rPr>
          <w:color w:val="1F497D" w:themeColor="text2"/>
        </w:rPr>
        <w:t xml:space="preserve">Germany </w:t>
      </w:r>
      <w:r w:rsidRPr="00A37839">
        <w:rPr>
          <w:color w:val="1F497D" w:themeColor="text2"/>
        </w:rPr>
        <w:t>to clarify the boundary between parking related capabilities under R79 and the manoeuvre requirements under DCAS.</w:t>
      </w:r>
    </w:p>
    <w:p w14:paraId="7524DFAA" w14:textId="4AEDC58A" w:rsidR="002F04D1" w:rsidRPr="00A37839" w:rsidRDefault="00FA2791" w:rsidP="002F04D1">
      <w:pPr>
        <w:pStyle w:val="NormalWeb"/>
        <w:rPr>
          <w:color w:val="1F497D" w:themeColor="text2"/>
        </w:rPr>
      </w:pPr>
      <w:r>
        <w:rPr>
          <w:color w:val="1F497D" w:themeColor="text2"/>
        </w:rPr>
        <w:t>Germany</w:t>
      </w:r>
      <w:r w:rsidR="002F04D1" w:rsidRPr="00A37839">
        <w:rPr>
          <w:color w:val="1F497D" w:themeColor="text2"/>
        </w:rPr>
        <w:t xml:space="preserve"> explained that some parking features remain too advanced to be covered under the current scope of DCAS and should therefore continue to be regulated in R79 until future phases of DCAS are developed. They also clarified that the proposed changes would ensure that parking systems requiring remote or autonomous elements are clearly retained within R79.</w:t>
      </w:r>
    </w:p>
    <w:p w14:paraId="22A571B9" w14:textId="513AEC74" w:rsidR="002F04D1" w:rsidRPr="00A37839" w:rsidRDefault="002F04D1" w:rsidP="002F04D1">
      <w:pPr>
        <w:pStyle w:val="NormalWeb"/>
        <w:rPr>
          <w:color w:val="1F497D" w:themeColor="text2"/>
        </w:rPr>
      </w:pPr>
      <w:r w:rsidRPr="00A37839">
        <w:rPr>
          <w:color w:val="1F497D" w:themeColor="text2"/>
        </w:rPr>
        <w:t xml:space="preserve">There were no objections raised. The Chair confirmed that the document would be </w:t>
      </w:r>
      <w:r w:rsidR="00FA2791">
        <w:rPr>
          <w:color w:val="1F497D" w:themeColor="text2"/>
        </w:rPr>
        <w:t>submitted</w:t>
      </w:r>
      <w:r w:rsidRPr="00A37839">
        <w:rPr>
          <w:color w:val="1F497D" w:themeColor="text2"/>
        </w:rPr>
        <w:t xml:space="preserve"> to GRVA for consideration.</w:t>
      </w:r>
    </w:p>
    <w:p w14:paraId="48513797" w14:textId="77777777" w:rsidR="00C938F5" w:rsidRPr="008C321D" w:rsidRDefault="00C938F5" w:rsidP="00C938F5">
      <w:pPr>
        <w:pStyle w:val="ListParagraph"/>
        <w:widowControl w:val="0"/>
        <w:tabs>
          <w:tab w:val="left" w:pos="993"/>
          <w:tab w:val="left" w:pos="2410"/>
        </w:tabs>
        <w:ind w:left="720"/>
        <w:rPr>
          <w:lang w:val="en-US"/>
        </w:rPr>
      </w:pPr>
    </w:p>
    <w:p w14:paraId="1D08F030" w14:textId="22E57080" w:rsidR="00C938F5" w:rsidRPr="00C938F5" w:rsidRDefault="00C938F5" w:rsidP="00C938F5">
      <w:pPr>
        <w:pStyle w:val="ListParagraph"/>
        <w:widowControl w:val="0"/>
        <w:tabs>
          <w:tab w:val="left" w:pos="993"/>
          <w:tab w:val="left" w:pos="1276"/>
          <w:tab w:val="left" w:pos="2835"/>
        </w:tabs>
        <w:ind w:left="714"/>
        <w:rPr>
          <w:lang w:val="en-US"/>
        </w:rPr>
      </w:pPr>
    </w:p>
    <w:p w14:paraId="32C3A1A7" w14:textId="52006A53" w:rsidR="00E454EC" w:rsidRPr="00E454EC" w:rsidRDefault="00C938F5" w:rsidP="00C938F5">
      <w:pPr>
        <w:pStyle w:val="ListParagraph"/>
        <w:widowControl w:val="0"/>
        <w:tabs>
          <w:tab w:val="left" w:pos="993"/>
          <w:tab w:val="left" w:pos="1276"/>
          <w:tab w:val="left" w:pos="2835"/>
        </w:tabs>
        <w:ind w:left="714"/>
        <w:rPr>
          <w:lang w:val="en-US"/>
        </w:rPr>
      </w:pPr>
      <w:r>
        <w:rPr>
          <w:b/>
          <w:bCs/>
          <w:lang w:val="en-US"/>
        </w:rPr>
        <w:t>4.1</w:t>
      </w:r>
      <w:r w:rsidR="00E454EC" w:rsidRPr="00E454EC">
        <w:rPr>
          <w:b/>
          <w:bCs/>
          <w:lang w:val="en-US"/>
        </w:rPr>
        <w:t xml:space="preserve"> </w:t>
      </w:r>
      <w:r w:rsidR="00003437" w:rsidRPr="00E454EC">
        <w:rPr>
          <w:b/>
          <w:bCs/>
          <w:lang w:val="en-US"/>
        </w:rPr>
        <w:t>Draft 02 series of amendments to</w:t>
      </w:r>
      <w:r w:rsidR="00300D07" w:rsidRPr="00E454EC">
        <w:rPr>
          <w:b/>
          <w:bCs/>
          <w:lang w:val="en-US"/>
        </w:rPr>
        <w:t xml:space="preserve"> UN Regulation No. 171</w:t>
      </w:r>
    </w:p>
    <w:p w14:paraId="763CD633" w14:textId="1596356C" w:rsidR="00FC1487" w:rsidRPr="00E454EC" w:rsidRDefault="00024C77" w:rsidP="00E454EC">
      <w:pPr>
        <w:pStyle w:val="ListParagraph"/>
        <w:widowControl w:val="0"/>
        <w:tabs>
          <w:tab w:val="left" w:pos="993"/>
          <w:tab w:val="left" w:pos="1276"/>
          <w:tab w:val="left" w:pos="2835"/>
        </w:tabs>
        <w:ind w:left="714"/>
        <w:rPr>
          <w:lang w:val="en-US"/>
        </w:rPr>
      </w:pPr>
      <w:r w:rsidRPr="00E454EC">
        <w:rPr>
          <w:i/>
          <w:iCs/>
        </w:rPr>
        <w:t>Documentation</w:t>
      </w:r>
      <w:r w:rsidRPr="00B17859">
        <w:t>:</w:t>
      </w:r>
      <w:r w:rsidR="00997ABA">
        <w:t xml:space="preserve"> </w:t>
      </w:r>
    </w:p>
    <w:p w14:paraId="434E9A9B" w14:textId="2752450E" w:rsidR="009F77EE" w:rsidRDefault="002301F9" w:rsidP="00FC1487">
      <w:pPr>
        <w:pStyle w:val="ListParagraph"/>
        <w:widowControl w:val="0"/>
        <w:tabs>
          <w:tab w:val="left" w:pos="993"/>
          <w:tab w:val="left" w:pos="2410"/>
        </w:tabs>
        <w:ind w:left="714"/>
        <w:rPr>
          <w:lang w:val="en-US"/>
        </w:rPr>
      </w:pPr>
      <w:r>
        <w:t xml:space="preserve">Working paper </w:t>
      </w:r>
      <w:r w:rsidRPr="00FC1487">
        <w:rPr>
          <w:lang w:val="en-US"/>
        </w:rPr>
        <w:t>ADAS-4</w:t>
      </w:r>
      <w:r w:rsidR="00003437">
        <w:rPr>
          <w:lang w:val="en-US"/>
        </w:rPr>
        <w:t>3</w:t>
      </w:r>
      <w:r w:rsidRPr="00FC1487">
        <w:rPr>
          <w:lang w:val="en-US"/>
        </w:rPr>
        <w:t>-0</w:t>
      </w:r>
      <w:r w:rsidR="00003437">
        <w:rPr>
          <w:lang w:val="en-US"/>
        </w:rPr>
        <w:t>2</w:t>
      </w:r>
      <w:r w:rsidRPr="00FC1487">
        <w:rPr>
          <w:lang w:val="en-US"/>
        </w:rPr>
        <w:t xml:space="preserve"> (SDG)</w:t>
      </w:r>
      <w:r>
        <w:rPr>
          <w:lang w:val="en-US"/>
        </w:rPr>
        <w:t xml:space="preserve"> </w:t>
      </w:r>
      <w:r w:rsidR="00CF2F3C">
        <w:rPr>
          <w:lang w:val="en-US"/>
        </w:rPr>
        <w:t>D</w:t>
      </w:r>
      <w:r>
        <w:rPr>
          <w:lang w:val="en-US"/>
        </w:rPr>
        <w:t xml:space="preserve">raft </w:t>
      </w:r>
      <w:r w:rsidR="00003437">
        <w:rPr>
          <w:lang w:val="en-US"/>
        </w:rPr>
        <w:t xml:space="preserve">02 series of </w:t>
      </w:r>
      <w:r>
        <w:rPr>
          <w:lang w:val="en-US"/>
        </w:rPr>
        <w:t xml:space="preserve">amendments to UN Regulation No. 171 (Phase 3 amendments) </w:t>
      </w:r>
    </w:p>
    <w:p w14:paraId="7874421C" w14:textId="77777777" w:rsidR="002F04D1" w:rsidRDefault="002F04D1" w:rsidP="00FA2791">
      <w:pPr>
        <w:widowControl w:val="0"/>
        <w:tabs>
          <w:tab w:val="left" w:pos="993"/>
          <w:tab w:val="left" w:pos="2410"/>
        </w:tabs>
        <w:rPr>
          <w:lang w:val="en-US"/>
        </w:rPr>
      </w:pPr>
    </w:p>
    <w:p w14:paraId="17D42336" w14:textId="77777777" w:rsidR="00FA2791" w:rsidRPr="00FA2791" w:rsidRDefault="00FA2791" w:rsidP="00FA2791">
      <w:pPr>
        <w:widowControl w:val="0"/>
        <w:tabs>
          <w:tab w:val="left" w:pos="993"/>
          <w:tab w:val="left" w:pos="2410"/>
        </w:tabs>
        <w:rPr>
          <w:b/>
          <w:bCs/>
          <w:color w:val="1F497D" w:themeColor="text2"/>
          <w:lang w:val="en-US"/>
        </w:rPr>
      </w:pPr>
      <w:r w:rsidRPr="00FA2791">
        <w:rPr>
          <w:b/>
          <w:bCs/>
          <w:color w:val="1F497D" w:themeColor="text2"/>
          <w:lang w:val="en-US"/>
        </w:rPr>
        <w:t>Day One</w:t>
      </w:r>
    </w:p>
    <w:p w14:paraId="783B590C" w14:textId="77777777" w:rsidR="00FA2791" w:rsidRPr="00FA2791" w:rsidRDefault="00FA2791" w:rsidP="00FA2791">
      <w:pPr>
        <w:widowControl w:val="0"/>
        <w:tabs>
          <w:tab w:val="left" w:pos="993"/>
          <w:tab w:val="left" w:pos="2410"/>
        </w:tabs>
        <w:rPr>
          <w:lang w:val="en-US"/>
        </w:rPr>
      </w:pPr>
    </w:p>
    <w:p w14:paraId="7015348C" w14:textId="1F0B3279" w:rsidR="00C938F5" w:rsidRPr="00950D32" w:rsidRDefault="002F04D1" w:rsidP="00C938F5">
      <w:pPr>
        <w:widowControl w:val="0"/>
        <w:tabs>
          <w:tab w:val="left" w:pos="993"/>
          <w:tab w:val="left" w:pos="2410"/>
        </w:tabs>
        <w:rPr>
          <w:color w:val="1F497D" w:themeColor="text2"/>
          <w:lang w:val="en-US"/>
        </w:rPr>
      </w:pPr>
      <w:r w:rsidRPr="00950D32">
        <w:rPr>
          <w:color w:val="1F497D" w:themeColor="text2"/>
        </w:rPr>
        <w:t>The Chair invited delegations to begin the detailed technical review of ADAS 43</w:t>
      </w:r>
      <w:r w:rsidR="00950D32">
        <w:rPr>
          <w:color w:val="1F497D" w:themeColor="text2"/>
        </w:rPr>
        <w:t>-</w:t>
      </w:r>
      <w:r w:rsidRPr="00950D32">
        <w:rPr>
          <w:color w:val="1F497D" w:themeColor="text2"/>
        </w:rPr>
        <w:t xml:space="preserve">02 and the consolidated proposals table. </w:t>
      </w:r>
    </w:p>
    <w:p w14:paraId="0F9DE150" w14:textId="77777777" w:rsidR="00FA2791" w:rsidRPr="00950D32" w:rsidRDefault="00FA2791" w:rsidP="00C938F5">
      <w:pPr>
        <w:widowControl w:val="0"/>
        <w:tabs>
          <w:tab w:val="left" w:pos="993"/>
          <w:tab w:val="left" w:pos="2410"/>
        </w:tabs>
        <w:rPr>
          <w:color w:val="1F497D" w:themeColor="text2"/>
          <w:lang w:val="en-US"/>
        </w:rPr>
      </w:pPr>
    </w:p>
    <w:p w14:paraId="52038DFF" w14:textId="7DDB7C98" w:rsidR="00FA2791" w:rsidRPr="00950D32" w:rsidRDefault="00FA2791" w:rsidP="00C938F5">
      <w:pPr>
        <w:widowControl w:val="0"/>
        <w:tabs>
          <w:tab w:val="left" w:pos="993"/>
          <w:tab w:val="left" w:pos="2410"/>
        </w:tabs>
        <w:rPr>
          <w:color w:val="1F497D" w:themeColor="text2"/>
          <w:lang w:val="en-US"/>
        </w:rPr>
      </w:pPr>
      <w:r w:rsidRPr="00950D32">
        <w:rPr>
          <w:color w:val="1F497D" w:themeColor="text2"/>
          <w:lang w:val="en-US"/>
        </w:rPr>
        <w:t>The table in ADAS 43-10 contains three columns, the left column is the provision, the middle contains the proposals, and the right column contains the agreement once reached.</w:t>
      </w:r>
    </w:p>
    <w:p w14:paraId="3C6B076F" w14:textId="77777777" w:rsidR="00C938F5" w:rsidRPr="00950D32" w:rsidRDefault="00C938F5" w:rsidP="00C938F5">
      <w:pPr>
        <w:pStyle w:val="NormalWeb"/>
        <w:rPr>
          <w:color w:val="1F497D" w:themeColor="text2"/>
        </w:rPr>
      </w:pPr>
      <w:r w:rsidRPr="00950D32">
        <w:rPr>
          <w:color w:val="1F497D" w:themeColor="text2"/>
        </w:rPr>
        <w:t>5.3.5.1 – Exceeding System Boundaries</w:t>
      </w:r>
    </w:p>
    <w:p w14:paraId="7109007E" w14:textId="77777777" w:rsidR="00C938F5" w:rsidRPr="00950D32" w:rsidRDefault="00C938F5" w:rsidP="00C938F5">
      <w:pPr>
        <w:pStyle w:val="NormalWeb"/>
        <w:rPr>
          <w:color w:val="1F497D" w:themeColor="text2"/>
        </w:rPr>
      </w:pPr>
      <w:r w:rsidRPr="00950D32">
        <w:rPr>
          <w:color w:val="1F497D" w:themeColor="text2"/>
        </w:rPr>
        <w:t>The Task Force reviewed proposals from EME, JRC and OICA CLEPA concerning system behaviour when DCAS exceeds boundaries.</w:t>
      </w:r>
    </w:p>
    <w:p w14:paraId="0164D372" w14:textId="2CD6D019" w:rsidR="00C938F5" w:rsidRPr="00950D32" w:rsidRDefault="00C938F5" w:rsidP="00C938F5">
      <w:pPr>
        <w:pStyle w:val="NormalWeb"/>
        <w:rPr>
          <w:color w:val="1F497D" w:themeColor="text2"/>
        </w:rPr>
      </w:pPr>
      <w:r w:rsidRPr="00950D32">
        <w:rPr>
          <w:color w:val="1F497D" w:themeColor="text2"/>
        </w:rPr>
        <w:t>EME explained that systems do not always pass through a stand</w:t>
      </w:r>
      <w:r w:rsidR="00FA2791" w:rsidRPr="00950D32">
        <w:rPr>
          <w:color w:val="1F497D" w:themeColor="text2"/>
        </w:rPr>
        <w:t>-</w:t>
      </w:r>
      <w:r w:rsidRPr="00950D32">
        <w:rPr>
          <w:color w:val="1F497D" w:themeColor="text2"/>
        </w:rPr>
        <w:t>by state when leaving active mode and that the regulation should not require a stand</w:t>
      </w:r>
      <w:r w:rsidR="00FA2791" w:rsidRPr="00950D32">
        <w:rPr>
          <w:color w:val="1F497D" w:themeColor="text2"/>
        </w:rPr>
        <w:t>-</w:t>
      </w:r>
      <w:r w:rsidRPr="00950D32">
        <w:rPr>
          <w:color w:val="1F497D" w:themeColor="text2"/>
        </w:rPr>
        <w:t>by mode where one does not exist. They supported the idea that the system should leave active mode without prescribing how the transition occurs.</w:t>
      </w:r>
    </w:p>
    <w:p w14:paraId="530C2D3F" w14:textId="77777777" w:rsidR="00C938F5" w:rsidRPr="00950D32" w:rsidRDefault="00C938F5" w:rsidP="00C938F5">
      <w:pPr>
        <w:pStyle w:val="NormalWeb"/>
        <w:rPr>
          <w:color w:val="1F497D" w:themeColor="text2"/>
        </w:rPr>
      </w:pPr>
      <w:r w:rsidRPr="00950D32">
        <w:rPr>
          <w:color w:val="1F497D" w:themeColor="text2"/>
        </w:rPr>
        <w:t>OICA and CLEPA argued for manufacturer flexibility, stating that the correct wording should be that the system shall leave active mode, allowing either transition to stand by or transition directly to off. They emphasised that prescribing a fixed path would be detrimental to system diversity.</w:t>
      </w:r>
    </w:p>
    <w:p w14:paraId="4C53A6FC" w14:textId="4026790C" w:rsidR="002C7DEE" w:rsidRPr="00950D32" w:rsidRDefault="00C938F5" w:rsidP="00C938F5">
      <w:pPr>
        <w:pStyle w:val="NormalWeb"/>
        <w:rPr>
          <w:color w:val="1F497D" w:themeColor="text2"/>
        </w:rPr>
      </w:pPr>
      <w:r w:rsidRPr="00950D32">
        <w:rPr>
          <w:color w:val="1F497D" w:themeColor="text2"/>
        </w:rPr>
        <w:t>JRC expressed concerns regarding how assistance could continue after boundaries are exceeded</w:t>
      </w:r>
      <w:r w:rsidR="002C7DEE" w:rsidRPr="00950D32">
        <w:rPr>
          <w:color w:val="1F497D" w:themeColor="text2"/>
        </w:rPr>
        <w:t>.</w:t>
      </w:r>
      <w:r w:rsidR="00D45D0B" w:rsidRPr="00950D32">
        <w:rPr>
          <w:color w:val="1F497D" w:themeColor="text2"/>
        </w:rPr>
        <w:t xml:space="preserve"> </w:t>
      </w:r>
      <w:r w:rsidR="002C7DEE" w:rsidRPr="00950D32">
        <w:rPr>
          <w:color w:val="1F497D" w:themeColor="text2"/>
        </w:rPr>
        <w:t>The UK expect some performance if the system exceeds the boundaries, they accept it may be degraded.</w:t>
      </w:r>
    </w:p>
    <w:p w14:paraId="17FCD320" w14:textId="77777777" w:rsidR="00C938F5" w:rsidRPr="00950D32" w:rsidRDefault="00C938F5" w:rsidP="00C938F5">
      <w:pPr>
        <w:pStyle w:val="NormalWeb"/>
        <w:rPr>
          <w:color w:val="1F497D" w:themeColor="text2"/>
        </w:rPr>
      </w:pPr>
      <w:r w:rsidRPr="00950D32">
        <w:rPr>
          <w:color w:val="1F497D" w:themeColor="text2"/>
        </w:rPr>
        <w:t>Industry responded that assistance can continue to the extent possible depending on the nature of the boundary, and that the system should not create an expectation of guaranteed assistance outside its intended scope. They argued that some boundaries are soft, such as tunnels, where reduced but safe operation is feasible, while others are not.</w:t>
      </w:r>
    </w:p>
    <w:p w14:paraId="593C2AAC" w14:textId="6C8EEB01" w:rsidR="00C938F5" w:rsidRPr="00950D32" w:rsidRDefault="00C938F5" w:rsidP="00C938F5">
      <w:pPr>
        <w:pStyle w:val="NormalWeb"/>
        <w:rPr>
          <w:color w:val="1F497D" w:themeColor="text2"/>
        </w:rPr>
      </w:pPr>
      <w:r w:rsidRPr="00950D32">
        <w:rPr>
          <w:color w:val="1F497D" w:themeColor="text2"/>
        </w:rPr>
        <w:t xml:space="preserve">There was discussion concerning the message conveyed to the driver. OICA and CLEPA cautioned that implying guaranteed continued support could lead to misuse. UK and EC emphasised that the safety concept must </w:t>
      </w:r>
      <w:r w:rsidR="00950D32">
        <w:rPr>
          <w:color w:val="1F497D" w:themeColor="text2"/>
        </w:rPr>
        <w:t>explain</w:t>
      </w:r>
      <w:r w:rsidRPr="00950D32">
        <w:rPr>
          <w:color w:val="1F497D" w:themeColor="text2"/>
        </w:rPr>
        <w:t xml:space="preserve"> whether the system continues, gradually terminates or </w:t>
      </w:r>
      <w:r w:rsidR="00950D32">
        <w:rPr>
          <w:color w:val="1F497D" w:themeColor="text2"/>
        </w:rPr>
        <w:t>initiates a Driver Unavailability Response (DUR)</w:t>
      </w:r>
      <w:r w:rsidRPr="00950D32">
        <w:rPr>
          <w:color w:val="1F497D" w:themeColor="text2"/>
        </w:rPr>
        <w:t>.</w:t>
      </w:r>
    </w:p>
    <w:p w14:paraId="743DDD3A" w14:textId="77777777" w:rsidR="00C938F5" w:rsidRPr="00950D32" w:rsidRDefault="00C938F5" w:rsidP="00C938F5">
      <w:pPr>
        <w:pStyle w:val="NormalWeb"/>
        <w:rPr>
          <w:color w:val="1F497D" w:themeColor="text2"/>
        </w:rPr>
      </w:pPr>
      <w:r w:rsidRPr="00950D32">
        <w:rPr>
          <w:color w:val="1F497D" w:themeColor="text2"/>
        </w:rPr>
        <w:t>After several iterations, the group agreed to the principle that the system shall leave active mode when system boundaries are exceeded, with continued assistance only to the extent possible. The second paragraph remained subject to further discussion and was left open.</w:t>
      </w:r>
    </w:p>
    <w:p w14:paraId="045CE49F" w14:textId="77777777" w:rsidR="00C938F5" w:rsidRPr="00950D32" w:rsidRDefault="00C938F5" w:rsidP="00C938F5">
      <w:pPr>
        <w:pStyle w:val="NormalWeb"/>
        <w:rPr>
          <w:color w:val="1F497D" w:themeColor="text2"/>
        </w:rPr>
      </w:pPr>
      <w:r w:rsidRPr="00950D32">
        <w:rPr>
          <w:color w:val="1F497D" w:themeColor="text2"/>
        </w:rPr>
        <w:t>5.3.6.1.2 – Driver Reaction and Comprehension Time</w:t>
      </w:r>
    </w:p>
    <w:p w14:paraId="7ABB6679" w14:textId="4486109C" w:rsidR="00C938F5" w:rsidRPr="00950D32" w:rsidRDefault="00C938F5" w:rsidP="00C938F5">
      <w:pPr>
        <w:pStyle w:val="NormalWeb"/>
        <w:rPr>
          <w:color w:val="1F497D" w:themeColor="text2"/>
        </w:rPr>
      </w:pPr>
      <w:r w:rsidRPr="00950D32">
        <w:rPr>
          <w:color w:val="1F497D" w:themeColor="text2"/>
        </w:rPr>
        <w:lastRenderedPageBreak/>
        <w:t xml:space="preserve">The Task Force discussed how much time the driver should have to visually re engage before or during a </w:t>
      </w:r>
      <w:r w:rsidR="00000F00" w:rsidRPr="00950D32">
        <w:rPr>
          <w:color w:val="1F497D" w:themeColor="text2"/>
        </w:rPr>
        <w:t>system-initiated</w:t>
      </w:r>
      <w:r w:rsidRPr="00950D32">
        <w:rPr>
          <w:color w:val="1F497D" w:themeColor="text2"/>
        </w:rPr>
        <w:t xml:space="preserve"> manoeuvre.</w:t>
      </w:r>
    </w:p>
    <w:p w14:paraId="02573170" w14:textId="77777777" w:rsidR="00C938F5" w:rsidRPr="00950D32" w:rsidRDefault="00C938F5" w:rsidP="00C938F5">
      <w:pPr>
        <w:pStyle w:val="NormalWeb"/>
        <w:rPr>
          <w:color w:val="1F497D" w:themeColor="text2"/>
        </w:rPr>
      </w:pPr>
      <w:r w:rsidRPr="00950D32">
        <w:rPr>
          <w:color w:val="1F497D" w:themeColor="text2"/>
        </w:rPr>
        <w:t>JRC presented findings suggesting drivers typically begin checking their environment three to four seconds prior to a manoeuvre in manual driving scenarios. They stated that the requirement should ensure drivers are provided adequate time to understand the manoeuvre.</w:t>
      </w:r>
    </w:p>
    <w:p w14:paraId="6610445E" w14:textId="4A3B7D74" w:rsidR="00C938F5" w:rsidRPr="00950D32" w:rsidRDefault="00C938F5" w:rsidP="00C938F5">
      <w:pPr>
        <w:pStyle w:val="NormalWeb"/>
        <w:rPr>
          <w:color w:val="1F497D" w:themeColor="text2"/>
        </w:rPr>
      </w:pPr>
      <w:r w:rsidRPr="00950D32">
        <w:rPr>
          <w:color w:val="1F497D" w:themeColor="text2"/>
        </w:rPr>
        <w:t xml:space="preserve">EME stated that the requirement risks implying that systems must adapt manoeuvre speed to </w:t>
      </w:r>
      <w:r w:rsidR="00000F00" w:rsidRPr="00950D32">
        <w:rPr>
          <w:color w:val="1F497D" w:themeColor="text2"/>
        </w:rPr>
        <w:t>the level of engagement</w:t>
      </w:r>
      <w:r w:rsidRPr="00950D32">
        <w:rPr>
          <w:color w:val="1F497D" w:themeColor="text2"/>
        </w:rPr>
        <w:t xml:space="preserve">, which would exceed the scope of DCAS and conflict with existing DMS principles. Industry noted that the provision must not require systems to alter manoeuvre execution based on </w:t>
      </w:r>
      <w:r w:rsidR="00000F00" w:rsidRPr="00950D32">
        <w:rPr>
          <w:color w:val="1F497D" w:themeColor="text2"/>
        </w:rPr>
        <w:t>engagement</w:t>
      </w:r>
      <w:r w:rsidRPr="00950D32">
        <w:rPr>
          <w:color w:val="1F497D" w:themeColor="text2"/>
        </w:rPr>
        <w:t>.</w:t>
      </w:r>
    </w:p>
    <w:p w14:paraId="555D9EDA" w14:textId="6A534C21" w:rsidR="00C938F5" w:rsidRPr="00950D32" w:rsidRDefault="00C938F5" w:rsidP="00C938F5">
      <w:pPr>
        <w:pStyle w:val="NormalWeb"/>
        <w:rPr>
          <w:color w:val="1F497D" w:themeColor="text2"/>
        </w:rPr>
      </w:pPr>
      <w:r w:rsidRPr="00950D32">
        <w:rPr>
          <w:color w:val="1F497D" w:themeColor="text2"/>
        </w:rPr>
        <w:t xml:space="preserve">The UK suggested that text be clarified to apply to a specific manoeuvre rather than </w:t>
      </w:r>
      <w:r w:rsidR="00000F00" w:rsidRPr="00950D32">
        <w:rPr>
          <w:color w:val="1F497D" w:themeColor="text2"/>
        </w:rPr>
        <w:t>SIM in general</w:t>
      </w:r>
      <w:r w:rsidR="009D192B" w:rsidRPr="00950D32">
        <w:rPr>
          <w:color w:val="1F497D" w:themeColor="text2"/>
        </w:rPr>
        <w:t>.</w:t>
      </w:r>
      <w:r w:rsidR="00D45D0B" w:rsidRPr="00950D32">
        <w:rPr>
          <w:color w:val="1F497D" w:themeColor="text2"/>
        </w:rPr>
        <w:t xml:space="preserve"> </w:t>
      </w:r>
      <w:r w:rsidRPr="00950D32">
        <w:rPr>
          <w:color w:val="1F497D" w:themeColor="text2"/>
        </w:rPr>
        <w:t>Japan questioned why reaction time was needed after SIM initiation when drivers should already be engaged before the manoeuvre starts.</w:t>
      </w:r>
    </w:p>
    <w:p w14:paraId="20D01DE1" w14:textId="73B32E23" w:rsidR="00AE29A3" w:rsidRPr="00950D32" w:rsidRDefault="00AE29A3" w:rsidP="00C938F5">
      <w:pPr>
        <w:pStyle w:val="NormalWeb"/>
        <w:rPr>
          <w:color w:val="1F497D" w:themeColor="text2"/>
        </w:rPr>
      </w:pPr>
      <w:r w:rsidRPr="00950D32">
        <w:rPr>
          <w:color w:val="1F497D" w:themeColor="text2"/>
        </w:rPr>
        <w:t xml:space="preserve">The JRC presented ADAS-43-08 showing the results from testing completed in the US with different automation levels. </w:t>
      </w:r>
    </w:p>
    <w:p w14:paraId="03A3E4BF" w14:textId="0F4A0599" w:rsidR="00C938F5" w:rsidRPr="00950D32" w:rsidRDefault="00C938F5" w:rsidP="00C938F5">
      <w:pPr>
        <w:pStyle w:val="NormalWeb"/>
        <w:rPr>
          <w:color w:val="1F497D" w:themeColor="text2"/>
        </w:rPr>
      </w:pPr>
      <w:r w:rsidRPr="00950D32">
        <w:rPr>
          <w:color w:val="1F497D" w:themeColor="text2"/>
        </w:rPr>
        <w:t xml:space="preserve">The provision remained open with the </w:t>
      </w:r>
      <w:r w:rsidR="00AE29A3" w:rsidRPr="00950D32">
        <w:rPr>
          <w:color w:val="1F497D" w:themeColor="text2"/>
        </w:rPr>
        <w:t>JRC and EME to clarify.</w:t>
      </w:r>
    </w:p>
    <w:p w14:paraId="418B14CE" w14:textId="77777777" w:rsidR="00C938F5" w:rsidRPr="00950D32" w:rsidRDefault="00C938F5" w:rsidP="00C938F5">
      <w:pPr>
        <w:pStyle w:val="NormalWeb"/>
        <w:rPr>
          <w:color w:val="1F497D" w:themeColor="text2"/>
        </w:rPr>
      </w:pPr>
      <w:r w:rsidRPr="00950D32">
        <w:rPr>
          <w:color w:val="1F497D" w:themeColor="text2"/>
        </w:rPr>
        <w:t>5.3.6.2.1 – Controllability During SIM</w:t>
      </w:r>
    </w:p>
    <w:p w14:paraId="0FA9FD21" w14:textId="77777777" w:rsidR="00C938F5" w:rsidRPr="00950D32" w:rsidRDefault="00C938F5" w:rsidP="00C938F5">
      <w:pPr>
        <w:pStyle w:val="NormalWeb"/>
        <w:rPr>
          <w:color w:val="1F497D" w:themeColor="text2"/>
        </w:rPr>
      </w:pPr>
      <w:r w:rsidRPr="00950D32">
        <w:rPr>
          <w:color w:val="1F497D" w:themeColor="text2"/>
        </w:rPr>
        <w:t>EME, JRC and industry concluded that this provision duplicated requirements already present in other parts of the regulation, particularly those relating to controllability and DMS logic.</w:t>
      </w:r>
    </w:p>
    <w:p w14:paraId="076089BF" w14:textId="468CFAE3" w:rsidR="00C938F5" w:rsidRPr="00950D32" w:rsidRDefault="00C938F5" w:rsidP="00C938F5">
      <w:pPr>
        <w:pStyle w:val="NormalWeb"/>
        <w:rPr>
          <w:color w:val="1F497D" w:themeColor="text2"/>
        </w:rPr>
      </w:pPr>
      <w:r w:rsidRPr="00950D32">
        <w:rPr>
          <w:color w:val="1F497D" w:themeColor="text2"/>
        </w:rPr>
        <w:t xml:space="preserve">The </w:t>
      </w:r>
      <w:r w:rsidR="00000F00" w:rsidRPr="00950D32">
        <w:rPr>
          <w:color w:val="1F497D" w:themeColor="text2"/>
        </w:rPr>
        <w:t>provision</w:t>
      </w:r>
      <w:r w:rsidRPr="00950D32">
        <w:rPr>
          <w:color w:val="1F497D" w:themeColor="text2"/>
        </w:rPr>
        <w:t xml:space="preserve"> was </w:t>
      </w:r>
      <w:r w:rsidR="00000F00" w:rsidRPr="00950D32">
        <w:rPr>
          <w:color w:val="1F497D" w:themeColor="text2"/>
        </w:rPr>
        <w:t>removed</w:t>
      </w:r>
      <w:r w:rsidRPr="00950D32">
        <w:rPr>
          <w:color w:val="1F497D" w:themeColor="text2"/>
        </w:rPr>
        <w:t>.</w:t>
      </w:r>
    </w:p>
    <w:p w14:paraId="1D91250D" w14:textId="77777777" w:rsidR="00C938F5" w:rsidRPr="00950D32" w:rsidRDefault="00C938F5" w:rsidP="00C938F5">
      <w:pPr>
        <w:pStyle w:val="NormalWeb"/>
        <w:rPr>
          <w:color w:val="1F497D" w:themeColor="text2"/>
        </w:rPr>
      </w:pPr>
      <w:r w:rsidRPr="00950D32">
        <w:rPr>
          <w:color w:val="1F497D" w:themeColor="text2"/>
        </w:rPr>
        <w:t>5.3.7.2.1.1 – SIM Initiation Conditions</w:t>
      </w:r>
    </w:p>
    <w:p w14:paraId="64473432" w14:textId="77777777" w:rsidR="00C938F5" w:rsidRPr="00950D32" w:rsidRDefault="00C938F5" w:rsidP="00C938F5">
      <w:pPr>
        <w:pStyle w:val="NormalWeb"/>
        <w:rPr>
          <w:color w:val="1F497D" w:themeColor="text2"/>
        </w:rPr>
      </w:pPr>
      <w:r w:rsidRPr="00950D32">
        <w:rPr>
          <w:color w:val="1F497D" w:themeColor="text2"/>
        </w:rPr>
        <w:t>The Task Force discussed whether the system may initiate a manoeuvre if the driver is disengaged.</w:t>
      </w:r>
    </w:p>
    <w:p w14:paraId="1AAA3F27" w14:textId="3CABF284" w:rsidR="00C938F5" w:rsidRPr="00950D32" w:rsidRDefault="00387B4F" w:rsidP="00C938F5">
      <w:pPr>
        <w:pStyle w:val="NormalWeb"/>
        <w:rPr>
          <w:color w:val="1F497D" w:themeColor="text2"/>
        </w:rPr>
      </w:pPr>
      <w:r w:rsidRPr="00950D32">
        <w:rPr>
          <w:color w:val="1F497D" w:themeColor="text2"/>
        </w:rPr>
        <w:t xml:space="preserve">CLEPA </w:t>
      </w:r>
      <w:r w:rsidR="00C938F5" w:rsidRPr="00950D32">
        <w:rPr>
          <w:color w:val="1F497D" w:themeColor="text2"/>
        </w:rPr>
        <w:t xml:space="preserve">raised </w:t>
      </w:r>
      <w:r w:rsidR="00AE29A3" w:rsidRPr="00950D32">
        <w:rPr>
          <w:color w:val="1F497D" w:themeColor="text2"/>
        </w:rPr>
        <w:t xml:space="preserve">the </w:t>
      </w:r>
      <w:r w:rsidR="00C938F5" w:rsidRPr="00950D32">
        <w:rPr>
          <w:color w:val="1F497D" w:themeColor="text2"/>
        </w:rPr>
        <w:t>concern that the current text is too restrictive, as even a brief glance away is considered disengagement. They argued that normal road use involves momentary glances and that the provision would block legitimate manoeuvres.</w:t>
      </w:r>
      <w:r w:rsidRPr="00950D32">
        <w:rPr>
          <w:color w:val="1F497D" w:themeColor="text2"/>
        </w:rPr>
        <w:t xml:space="preserve"> </w:t>
      </w:r>
      <w:r w:rsidR="00AE29A3" w:rsidRPr="00950D32">
        <w:rPr>
          <w:color w:val="1F497D" w:themeColor="text2"/>
        </w:rPr>
        <w:t>The proposed text gives some flexibility for certain circumstances to do a manoeuvre in this case.</w:t>
      </w:r>
    </w:p>
    <w:p w14:paraId="5EE8E6F4" w14:textId="3118055C" w:rsidR="00387B4F" w:rsidRPr="00950D32" w:rsidRDefault="00387B4F" w:rsidP="00C938F5">
      <w:pPr>
        <w:pStyle w:val="NormalWeb"/>
        <w:rPr>
          <w:color w:val="1F497D" w:themeColor="text2"/>
        </w:rPr>
      </w:pPr>
      <w:r w:rsidRPr="00950D32">
        <w:rPr>
          <w:color w:val="1F497D" w:themeColor="text2"/>
        </w:rPr>
        <w:t>OICA reminds the group we have the provision 5.3.7.2.3.5.f which states that a manoeuvre cannot be initiated unless the driver has looked at the right place.</w:t>
      </w:r>
    </w:p>
    <w:p w14:paraId="6F23ED19" w14:textId="30590797" w:rsidR="00AE29A3" w:rsidRPr="00950D32" w:rsidRDefault="00AE29A3" w:rsidP="00C938F5">
      <w:pPr>
        <w:pStyle w:val="NormalWeb"/>
        <w:rPr>
          <w:color w:val="1F497D" w:themeColor="text2"/>
        </w:rPr>
      </w:pPr>
      <w:r w:rsidRPr="00950D32">
        <w:rPr>
          <w:color w:val="1F497D" w:themeColor="text2"/>
        </w:rPr>
        <w:t xml:space="preserve">ETSC raised the concern of trying to cover all </w:t>
      </w:r>
      <w:r w:rsidR="00E9687C" w:rsidRPr="00950D32">
        <w:rPr>
          <w:color w:val="1F497D" w:themeColor="text2"/>
        </w:rPr>
        <w:t>environments</w:t>
      </w:r>
      <w:r w:rsidRPr="00950D32">
        <w:rPr>
          <w:color w:val="1F497D" w:themeColor="text2"/>
        </w:rPr>
        <w:t xml:space="preserve"> and questions where the 3 second value comes from, noting that previous research has shown 2 seconds to be appropriate. Also noted a concern about roundabouts and if the vehicle would be able to enter the roundabout to avoid a rear collision.</w:t>
      </w:r>
    </w:p>
    <w:p w14:paraId="22E31A32" w14:textId="0E5C19C1" w:rsidR="003F2EEE" w:rsidRPr="00950D32" w:rsidRDefault="003F2EEE" w:rsidP="00C938F5">
      <w:pPr>
        <w:pStyle w:val="NormalWeb"/>
        <w:rPr>
          <w:color w:val="1F497D" w:themeColor="text2"/>
        </w:rPr>
      </w:pPr>
      <w:r w:rsidRPr="00950D32">
        <w:rPr>
          <w:color w:val="1F497D" w:themeColor="text2"/>
        </w:rPr>
        <w:t xml:space="preserve">The UK noted concerns with this requirement in general, the intention is to keep the driver engaged but do recognise the issue around momentary glances. Also understand the point around an imminent collision risk but there is an issue around performing a manoeuvre without the </w:t>
      </w:r>
      <w:r w:rsidR="00950D32" w:rsidRPr="00950D32">
        <w:rPr>
          <w:color w:val="1F497D" w:themeColor="text2"/>
        </w:rPr>
        <w:t>driver’s</w:t>
      </w:r>
      <w:r w:rsidRPr="00950D32">
        <w:rPr>
          <w:color w:val="1F497D" w:themeColor="text2"/>
        </w:rPr>
        <w:t xml:space="preserve"> involvement, braking in these situations is usually the safest option. </w:t>
      </w:r>
    </w:p>
    <w:p w14:paraId="10457E9B" w14:textId="7DBB05FF" w:rsidR="00C938F5" w:rsidRPr="00950D32" w:rsidRDefault="003F2EEE" w:rsidP="00C938F5">
      <w:pPr>
        <w:pStyle w:val="NormalWeb"/>
        <w:rPr>
          <w:color w:val="1F497D" w:themeColor="text2"/>
        </w:rPr>
      </w:pPr>
      <w:r w:rsidRPr="00950D32">
        <w:rPr>
          <w:color w:val="1F497D" w:themeColor="text2"/>
        </w:rPr>
        <w:lastRenderedPageBreak/>
        <w:t>CLEPA explains that in some circumstances steering may be the better manoeuvre, particularly if all other road users are doing the same which is echoed by OICA.</w:t>
      </w:r>
      <w:r w:rsidR="00E9687C" w:rsidRPr="00950D32">
        <w:rPr>
          <w:color w:val="1F497D" w:themeColor="text2"/>
        </w:rPr>
        <w:t xml:space="preserve"> </w:t>
      </w:r>
      <w:r w:rsidR="00C938F5" w:rsidRPr="00950D32">
        <w:rPr>
          <w:color w:val="1F497D" w:themeColor="text2"/>
        </w:rPr>
        <w:t>EME noted that the requirement mixes normal and emergency scenarios and requires clearer delineation.</w:t>
      </w:r>
    </w:p>
    <w:p w14:paraId="3CA81C55" w14:textId="19588395" w:rsidR="003F2EEE" w:rsidRPr="00950D32" w:rsidRDefault="003F2EEE" w:rsidP="00C938F5">
      <w:pPr>
        <w:pStyle w:val="NormalWeb"/>
        <w:rPr>
          <w:color w:val="1F497D" w:themeColor="text2"/>
        </w:rPr>
      </w:pPr>
      <w:r w:rsidRPr="00950D32">
        <w:rPr>
          <w:color w:val="1F497D" w:themeColor="text2"/>
        </w:rPr>
        <w:t>The chair asks members to review and return to the discussion tomorrow.</w:t>
      </w:r>
    </w:p>
    <w:p w14:paraId="404487A6" w14:textId="56E1D95D" w:rsidR="00000F00" w:rsidRPr="00950D32" w:rsidRDefault="00000F00" w:rsidP="00000F00">
      <w:pPr>
        <w:widowControl w:val="0"/>
        <w:tabs>
          <w:tab w:val="left" w:pos="993"/>
          <w:tab w:val="left" w:pos="2410"/>
        </w:tabs>
        <w:rPr>
          <w:b/>
          <w:bCs/>
          <w:color w:val="1F497D" w:themeColor="text2"/>
          <w:lang w:val="en-US"/>
        </w:rPr>
      </w:pPr>
      <w:r w:rsidRPr="00950D32">
        <w:rPr>
          <w:b/>
          <w:bCs/>
          <w:color w:val="1F497D" w:themeColor="text2"/>
          <w:lang w:val="en-US"/>
        </w:rPr>
        <w:t>Day Two</w:t>
      </w:r>
    </w:p>
    <w:p w14:paraId="19D96633" w14:textId="172669EE" w:rsidR="00DE2E83" w:rsidRPr="00950D32" w:rsidRDefault="00DE2E83" w:rsidP="00C938F5">
      <w:pPr>
        <w:pStyle w:val="NormalWeb"/>
        <w:rPr>
          <w:color w:val="1F497D" w:themeColor="text2"/>
        </w:rPr>
      </w:pPr>
      <w:r w:rsidRPr="00950D32">
        <w:rPr>
          <w:color w:val="1F497D" w:themeColor="text2"/>
        </w:rPr>
        <w:t>5.3.7.2.</w:t>
      </w:r>
      <w:r w:rsidR="003F2EEE" w:rsidRPr="00950D32">
        <w:rPr>
          <w:color w:val="1F497D" w:themeColor="text2"/>
        </w:rPr>
        <w:t>1.1.1</w:t>
      </w:r>
    </w:p>
    <w:p w14:paraId="08F905F8" w14:textId="21C404CE" w:rsidR="003F2EEE" w:rsidRPr="00950D32" w:rsidRDefault="003F2EEE" w:rsidP="00C938F5">
      <w:pPr>
        <w:pStyle w:val="NormalWeb"/>
        <w:rPr>
          <w:color w:val="1F497D" w:themeColor="text2"/>
        </w:rPr>
      </w:pPr>
      <w:r w:rsidRPr="00950D32">
        <w:rPr>
          <w:color w:val="1F497D" w:themeColor="text2"/>
        </w:rPr>
        <w:t xml:space="preserve">EME proposes to strike out </w:t>
      </w:r>
      <w:r w:rsidR="00B96C79" w:rsidRPr="00950D32">
        <w:rPr>
          <w:color w:val="1F497D" w:themeColor="text2"/>
        </w:rPr>
        <w:t>‘ongoing disengagement warning’ and add an additional provision in section 6</w:t>
      </w:r>
      <w:r w:rsidR="00B96C79" w:rsidRPr="00A01AB0">
        <w:rPr>
          <w:color w:val="EE0000"/>
        </w:rPr>
        <w:t xml:space="preserve"> </w:t>
      </w:r>
      <w:r w:rsidR="00B96C79" w:rsidRPr="00950D32">
        <w:rPr>
          <w:color w:val="1F497D" w:themeColor="text2"/>
        </w:rPr>
        <w:t>for a manoeuvre which may cause a rushed reaction by the driver and lead to unsafe behaviour.</w:t>
      </w:r>
    </w:p>
    <w:p w14:paraId="4516B0FF" w14:textId="098FD031" w:rsidR="00B96C79" w:rsidRPr="00950D32" w:rsidRDefault="00B96C79" w:rsidP="00C938F5">
      <w:pPr>
        <w:pStyle w:val="NormalWeb"/>
        <w:rPr>
          <w:color w:val="1F497D" w:themeColor="text2"/>
        </w:rPr>
      </w:pPr>
      <w:r w:rsidRPr="00950D32">
        <w:rPr>
          <w:color w:val="1F497D" w:themeColor="text2"/>
        </w:rPr>
        <w:t xml:space="preserve">NL raises a concern that this could open the door to a lot of different </w:t>
      </w:r>
      <w:proofErr w:type="gramStart"/>
      <w:r w:rsidRPr="00950D32">
        <w:rPr>
          <w:color w:val="1F497D" w:themeColor="text2"/>
        </w:rPr>
        <w:t>SIM</w:t>
      </w:r>
      <w:proofErr w:type="gramEnd"/>
      <w:r w:rsidRPr="00950D32">
        <w:rPr>
          <w:color w:val="1F497D" w:themeColor="text2"/>
        </w:rPr>
        <w:t xml:space="preserve"> and is not fully convinced on point D.</w:t>
      </w:r>
      <w:r w:rsidR="00E9687C" w:rsidRPr="00950D32">
        <w:rPr>
          <w:color w:val="1F497D" w:themeColor="text2"/>
        </w:rPr>
        <w:t xml:space="preserve"> </w:t>
      </w:r>
      <w:r w:rsidRPr="00950D32">
        <w:rPr>
          <w:color w:val="1F497D" w:themeColor="text2"/>
        </w:rPr>
        <w:t xml:space="preserve">EME explained that A and B are about external circumstances such as lane closures. The intention is to cover situations where a driver may be about to miss and exit leading to rushed behaviour. This behaviour should not be encouraged but notes an increase in safety. </w:t>
      </w:r>
    </w:p>
    <w:p w14:paraId="2B496A32" w14:textId="3084F212" w:rsidR="00B96C79" w:rsidRPr="00950D32" w:rsidRDefault="00B96C79" w:rsidP="00C938F5">
      <w:pPr>
        <w:pStyle w:val="NormalWeb"/>
        <w:rPr>
          <w:color w:val="1F497D" w:themeColor="text2"/>
        </w:rPr>
      </w:pPr>
      <w:r w:rsidRPr="00950D32">
        <w:rPr>
          <w:color w:val="1F497D" w:themeColor="text2"/>
        </w:rPr>
        <w:t>The UK echoes the concerns of NL and explains the focus should be on bringing the driver back.</w:t>
      </w:r>
      <w:r w:rsidR="00E9687C" w:rsidRPr="00950D32">
        <w:rPr>
          <w:color w:val="1F497D" w:themeColor="text2"/>
        </w:rPr>
        <w:t xml:space="preserve"> </w:t>
      </w:r>
      <w:r w:rsidRPr="00950D32">
        <w:rPr>
          <w:color w:val="1F497D" w:themeColor="text2"/>
        </w:rPr>
        <w:t xml:space="preserve">The item is left open to discuss in the coffee break. </w:t>
      </w:r>
    </w:p>
    <w:p w14:paraId="7B7B37FF" w14:textId="081B4958" w:rsidR="00C938F5" w:rsidRPr="00950D32" w:rsidRDefault="00C938F5" w:rsidP="00C938F5">
      <w:pPr>
        <w:pStyle w:val="NormalWeb"/>
        <w:rPr>
          <w:color w:val="1F497D" w:themeColor="text2"/>
        </w:rPr>
      </w:pPr>
      <w:r w:rsidRPr="00950D32">
        <w:rPr>
          <w:color w:val="1F497D" w:themeColor="text2"/>
        </w:rPr>
        <w:t>5.3.7.2.1.13 – General Manoeuvre Behaviour</w:t>
      </w:r>
    </w:p>
    <w:p w14:paraId="41203AD5" w14:textId="77777777" w:rsidR="00C938F5" w:rsidRPr="00950D32" w:rsidRDefault="00C938F5" w:rsidP="00C938F5">
      <w:pPr>
        <w:pStyle w:val="NormalWeb"/>
        <w:rPr>
          <w:color w:val="1F497D" w:themeColor="text2"/>
        </w:rPr>
      </w:pPr>
      <w:r w:rsidRPr="00950D32">
        <w:rPr>
          <w:color w:val="1F497D" w:themeColor="text2"/>
        </w:rPr>
        <w:t>JRC proposed including penalising strategies for situations where the driver becomes disengaged during a manoeuvre.</w:t>
      </w:r>
    </w:p>
    <w:p w14:paraId="0C7DC756" w14:textId="11BAE0E0" w:rsidR="00C938F5" w:rsidRPr="00950D32" w:rsidRDefault="000D7F3E" w:rsidP="00C938F5">
      <w:pPr>
        <w:pStyle w:val="NormalWeb"/>
        <w:rPr>
          <w:color w:val="1F497D" w:themeColor="text2"/>
        </w:rPr>
      </w:pPr>
      <w:r w:rsidRPr="00950D32">
        <w:rPr>
          <w:color w:val="1F497D" w:themeColor="text2"/>
        </w:rPr>
        <w:t>The UK note that including an RMF in these examples could be excessive and propose to remove.</w:t>
      </w:r>
      <w:r w:rsidR="00950D32">
        <w:rPr>
          <w:color w:val="1F497D" w:themeColor="text2"/>
        </w:rPr>
        <w:t xml:space="preserve"> </w:t>
      </w:r>
      <w:r w:rsidR="00C938F5" w:rsidRPr="00950D32">
        <w:rPr>
          <w:color w:val="1F497D" w:themeColor="text2"/>
        </w:rPr>
        <w:t>Industry and several CPs argued that penalty mechanisms should be addressed in the DMS and warning sections, not within manoeuvre logic.</w:t>
      </w:r>
    </w:p>
    <w:p w14:paraId="2F134082" w14:textId="109E9478" w:rsidR="000D7F3E" w:rsidRPr="00950D32" w:rsidRDefault="00C938F5" w:rsidP="00C938F5">
      <w:pPr>
        <w:pStyle w:val="NormalWeb"/>
        <w:rPr>
          <w:color w:val="1F497D" w:themeColor="text2"/>
        </w:rPr>
      </w:pPr>
      <w:r w:rsidRPr="00950D32">
        <w:rPr>
          <w:color w:val="1F497D" w:themeColor="text2"/>
        </w:rPr>
        <w:t xml:space="preserve">The clause was accepted with </w:t>
      </w:r>
      <w:r w:rsidR="000D7F3E" w:rsidRPr="00950D32">
        <w:rPr>
          <w:color w:val="1F497D" w:themeColor="text2"/>
        </w:rPr>
        <w:t xml:space="preserve">the reference to RMF and </w:t>
      </w:r>
      <w:r w:rsidRPr="00950D32">
        <w:rPr>
          <w:color w:val="1F497D" w:themeColor="text2"/>
        </w:rPr>
        <w:t>penalties removed</w:t>
      </w:r>
      <w:r w:rsidR="000D7F3E" w:rsidRPr="00950D32">
        <w:rPr>
          <w:color w:val="1F497D" w:themeColor="text2"/>
        </w:rPr>
        <w:t>.</w:t>
      </w:r>
    </w:p>
    <w:p w14:paraId="10E0D519" w14:textId="089B0471" w:rsidR="000D7F3E" w:rsidRPr="00950D32" w:rsidRDefault="000D7F3E" w:rsidP="00C938F5">
      <w:pPr>
        <w:pStyle w:val="NormalWeb"/>
        <w:rPr>
          <w:color w:val="1F497D" w:themeColor="text2"/>
        </w:rPr>
      </w:pPr>
      <w:r w:rsidRPr="00950D32">
        <w:rPr>
          <w:color w:val="1F497D" w:themeColor="text2"/>
        </w:rPr>
        <w:t>5.3.7.2.3.1</w:t>
      </w:r>
    </w:p>
    <w:p w14:paraId="081167F2" w14:textId="28040F3F" w:rsidR="000D7F3E" w:rsidRPr="00950D32" w:rsidRDefault="000D7F3E" w:rsidP="00C938F5">
      <w:pPr>
        <w:pStyle w:val="NormalWeb"/>
        <w:rPr>
          <w:color w:val="1F497D" w:themeColor="text2"/>
        </w:rPr>
      </w:pPr>
      <w:r w:rsidRPr="00950D32">
        <w:rPr>
          <w:color w:val="1F497D" w:themeColor="text2"/>
        </w:rPr>
        <w:t xml:space="preserve">The UK propose to delete the reference as it is a self-reference and already covered. </w:t>
      </w:r>
    </w:p>
    <w:p w14:paraId="58B4C5F4" w14:textId="79EDF758" w:rsidR="000D7F3E" w:rsidRPr="00950D32" w:rsidRDefault="000D7F3E" w:rsidP="00C938F5">
      <w:pPr>
        <w:pStyle w:val="NormalWeb"/>
        <w:rPr>
          <w:color w:val="1F497D" w:themeColor="text2"/>
        </w:rPr>
      </w:pPr>
      <w:r w:rsidRPr="00950D32">
        <w:rPr>
          <w:color w:val="1F497D" w:themeColor="text2"/>
        </w:rPr>
        <w:t xml:space="preserve">CLEPA notes that this provision is already in the 00 and 01 series so this change should be reflected as a supplement to the other versions and not just included in the 02 series. </w:t>
      </w:r>
    </w:p>
    <w:p w14:paraId="64FF2F05" w14:textId="77777777" w:rsidR="00C938F5" w:rsidRPr="00950D32" w:rsidRDefault="00C938F5" w:rsidP="00C938F5">
      <w:pPr>
        <w:pStyle w:val="NormalWeb"/>
        <w:rPr>
          <w:color w:val="1F497D" w:themeColor="text2"/>
        </w:rPr>
      </w:pPr>
      <w:r w:rsidRPr="00950D32">
        <w:rPr>
          <w:color w:val="1F497D" w:themeColor="text2"/>
        </w:rPr>
        <w:t>5.3.7.2.4.2 – Prohibition on SIM After EOR</w:t>
      </w:r>
    </w:p>
    <w:p w14:paraId="2CBBC4B5" w14:textId="77777777" w:rsidR="00C938F5" w:rsidRPr="00950D32" w:rsidRDefault="00C938F5" w:rsidP="00C938F5">
      <w:pPr>
        <w:pStyle w:val="NormalWeb"/>
        <w:rPr>
          <w:color w:val="1F497D" w:themeColor="text2"/>
        </w:rPr>
      </w:pPr>
      <w:r w:rsidRPr="00950D32">
        <w:rPr>
          <w:color w:val="1F497D" w:themeColor="text2"/>
        </w:rPr>
        <w:t>This clause was linked to the disengagement debate. The relevance of the seven second prohibition remained uncertain and depended on the outcome of discussions on 5.3.7.2.1.1.</w:t>
      </w:r>
    </w:p>
    <w:p w14:paraId="3A763131" w14:textId="77777777" w:rsidR="00C938F5" w:rsidRPr="00950D32" w:rsidRDefault="00C938F5" w:rsidP="00C938F5">
      <w:pPr>
        <w:pStyle w:val="NormalWeb"/>
        <w:rPr>
          <w:color w:val="1F497D" w:themeColor="text2"/>
        </w:rPr>
      </w:pPr>
      <w:r w:rsidRPr="00950D32">
        <w:rPr>
          <w:color w:val="1F497D" w:themeColor="text2"/>
        </w:rPr>
        <w:t>The clause remained open.</w:t>
      </w:r>
    </w:p>
    <w:p w14:paraId="6349EBAE" w14:textId="41F938A6" w:rsidR="00C938F5" w:rsidRPr="00950D32" w:rsidRDefault="00C938F5" w:rsidP="00C938F5">
      <w:pPr>
        <w:pStyle w:val="NormalWeb"/>
        <w:rPr>
          <w:color w:val="1F497D" w:themeColor="text2"/>
        </w:rPr>
      </w:pPr>
      <w:r w:rsidRPr="00950D32">
        <w:rPr>
          <w:color w:val="1F497D" w:themeColor="text2"/>
        </w:rPr>
        <w:t xml:space="preserve">5.3.7.2.4.9 </w:t>
      </w:r>
      <w:r w:rsidR="00E9687C" w:rsidRPr="00950D32">
        <w:rPr>
          <w:color w:val="1F497D" w:themeColor="text2"/>
        </w:rPr>
        <w:t xml:space="preserve">- </w:t>
      </w:r>
      <w:r w:rsidRPr="00950D32">
        <w:rPr>
          <w:color w:val="1F497D" w:themeColor="text2"/>
        </w:rPr>
        <w:t xml:space="preserve">Conditions Relating to Highway and </w:t>
      </w:r>
      <w:r w:rsidR="000D7F3E" w:rsidRPr="00950D32">
        <w:rPr>
          <w:color w:val="1F497D" w:themeColor="text2"/>
        </w:rPr>
        <w:t>Non-Highway</w:t>
      </w:r>
    </w:p>
    <w:p w14:paraId="484136E7" w14:textId="3DD4FCAB" w:rsidR="000D7F3E" w:rsidRPr="00950D32" w:rsidRDefault="000D7F3E" w:rsidP="00C938F5">
      <w:pPr>
        <w:pStyle w:val="NormalWeb"/>
        <w:rPr>
          <w:color w:val="1F497D" w:themeColor="text2"/>
        </w:rPr>
      </w:pPr>
      <w:r w:rsidRPr="00950D32">
        <w:rPr>
          <w:color w:val="1F497D" w:themeColor="text2"/>
        </w:rPr>
        <w:lastRenderedPageBreak/>
        <w:t xml:space="preserve">The UK explained the proposal is to outline the phases where SIM can be initiated, SIM while hands-on in urban, and SIM wHOR on highway. </w:t>
      </w:r>
    </w:p>
    <w:p w14:paraId="794B43DC" w14:textId="2CD8D936" w:rsidR="000D7F3E" w:rsidRPr="00950D32" w:rsidRDefault="000D7F3E" w:rsidP="00C938F5">
      <w:pPr>
        <w:pStyle w:val="NormalWeb"/>
        <w:rPr>
          <w:color w:val="1F497D" w:themeColor="text2"/>
        </w:rPr>
      </w:pPr>
      <w:r w:rsidRPr="00950D32">
        <w:rPr>
          <w:color w:val="1F497D" w:themeColor="text2"/>
        </w:rPr>
        <w:t>EME note that highway-like roads also need consideration.</w:t>
      </w:r>
    </w:p>
    <w:p w14:paraId="25E36BF9" w14:textId="23CA4BEB" w:rsidR="00C938F5" w:rsidRPr="00950D32" w:rsidRDefault="00C938F5" w:rsidP="00C938F5">
      <w:pPr>
        <w:pStyle w:val="NormalWeb"/>
        <w:rPr>
          <w:color w:val="1F497D" w:themeColor="text2"/>
        </w:rPr>
      </w:pPr>
      <w:r w:rsidRPr="00950D32">
        <w:rPr>
          <w:color w:val="1F497D" w:themeColor="text2"/>
        </w:rPr>
        <w:t xml:space="preserve">The Task Force noted that previous restrictions were now redundant given other provisions specifying where </w:t>
      </w:r>
      <w:r w:rsidR="00E9687C" w:rsidRPr="00950D32">
        <w:rPr>
          <w:color w:val="1F497D" w:themeColor="text2"/>
        </w:rPr>
        <w:t>wHOR</w:t>
      </w:r>
      <w:r w:rsidRPr="00950D32">
        <w:rPr>
          <w:color w:val="1F497D" w:themeColor="text2"/>
        </w:rPr>
        <w:t xml:space="preserve"> may occur. After review, these </w:t>
      </w:r>
      <w:r w:rsidR="000D7F3E" w:rsidRPr="00950D32">
        <w:rPr>
          <w:color w:val="1F497D" w:themeColor="text2"/>
        </w:rPr>
        <w:t>provisions</w:t>
      </w:r>
      <w:r w:rsidRPr="00950D32">
        <w:rPr>
          <w:color w:val="1F497D" w:themeColor="text2"/>
        </w:rPr>
        <w:t xml:space="preserve"> were deleted.</w:t>
      </w:r>
    </w:p>
    <w:p w14:paraId="20B1E94E" w14:textId="26E3E82E" w:rsidR="00C938F5" w:rsidRPr="00950D32" w:rsidRDefault="00C938F5" w:rsidP="00C938F5">
      <w:pPr>
        <w:pStyle w:val="NormalWeb"/>
        <w:rPr>
          <w:color w:val="1F497D" w:themeColor="text2"/>
        </w:rPr>
      </w:pPr>
      <w:r w:rsidRPr="00950D32">
        <w:rPr>
          <w:color w:val="1F497D" w:themeColor="text2"/>
        </w:rPr>
        <w:t>5.3.7.2.6</w:t>
      </w:r>
      <w:r w:rsidR="000D7F3E" w:rsidRPr="00950D32">
        <w:rPr>
          <w:color w:val="1F497D" w:themeColor="text2"/>
        </w:rPr>
        <w:t>.1</w:t>
      </w:r>
      <w:r w:rsidRPr="00950D32">
        <w:rPr>
          <w:color w:val="1F497D" w:themeColor="text2"/>
        </w:rPr>
        <w:t xml:space="preserve"> – Multi Target Anticipatory Behaviour</w:t>
      </w:r>
    </w:p>
    <w:p w14:paraId="64501180" w14:textId="756D9B87" w:rsidR="00C938F5" w:rsidRPr="00950D32" w:rsidRDefault="00C938F5" w:rsidP="00C938F5">
      <w:pPr>
        <w:pStyle w:val="NormalWeb"/>
        <w:rPr>
          <w:color w:val="1F497D" w:themeColor="text2"/>
        </w:rPr>
      </w:pPr>
      <w:r w:rsidRPr="00950D32">
        <w:rPr>
          <w:color w:val="1F497D" w:themeColor="text2"/>
        </w:rPr>
        <w:t xml:space="preserve">The group concluded that anticipatory behaviour should be addressed through test requirements rather than </w:t>
      </w:r>
      <w:r w:rsidR="005007A8" w:rsidRPr="00950D32">
        <w:rPr>
          <w:color w:val="1F497D" w:themeColor="text2"/>
        </w:rPr>
        <w:t>the requirements section. It was agreed to not include a reference to passable or impassable objects.</w:t>
      </w:r>
    </w:p>
    <w:p w14:paraId="723E253A" w14:textId="55270413" w:rsidR="005007A8" w:rsidRPr="00950D32" w:rsidRDefault="005007A8" w:rsidP="00C938F5">
      <w:pPr>
        <w:pStyle w:val="NormalWeb"/>
        <w:rPr>
          <w:color w:val="1F497D" w:themeColor="text2"/>
        </w:rPr>
      </w:pPr>
      <w:r w:rsidRPr="00950D32">
        <w:rPr>
          <w:color w:val="1F497D" w:themeColor="text2"/>
        </w:rPr>
        <w:t>5.3.7.2.6.2</w:t>
      </w:r>
    </w:p>
    <w:p w14:paraId="7780BB23" w14:textId="1B843CFB" w:rsidR="0080197E" w:rsidRPr="00950D32" w:rsidRDefault="0080197E" w:rsidP="0080197E">
      <w:pPr>
        <w:pStyle w:val="p1"/>
        <w:rPr>
          <w:color w:val="1F497D" w:themeColor="text2"/>
        </w:rPr>
      </w:pPr>
      <w:r w:rsidRPr="00950D32">
        <w:rPr>
          <w:color w:val="1F497D" w:themeColor="text2"/>
        </w:rPr>
        <w:t xml:space="preserve">The Task Force discussed whether to retain the provision. EME proposed deleting it, arguing that requiring a system to “aim to understand” its surroundings </w:t>
      </w:r>
      <w:proofErr w:type="gramStart"/>
      <w:r w:rsidRPr="00950D32">
        <w:rPr>
          <w:color w:val="1F497D" w:themeColor="text2"/>
        </w:rPr>
        <w:t>goes</w:t>
      </w:r>
      <w:proofErr w:type="gramEnd"/>
      <w:r w:rsidRPr="00950D32">
        <w:rPr>
          <w:color w:val="1F497D" w:themeColor="text2"/>
        </w:rPr>
        <w:t xml:space="preserve"> beyond ADAS expectations and that engagement is already addressed elsewhere. The UK preferred replacing only the first part to clarify the basis on which manoeuvres are selected, including how the system evaluates the situation. Japan asked for clarity on what “understanding” is intended to mean.</w:t>
      </w:r>
    </w:p>
    <w:p w14:paraId="0540EEEC" w14:textId="7E3F2D6D" w:rsidR="0080197E" w:rsidRPr="00950D32" w:rsidRDefault="0080197E" w:rsidP="0080197E">
      <w:pPr>
        <w:pStyle w:val="p1"/>
        <w:rPr>
          <w:color w:val="1F497D" w:themeColor="text2"/>
        </w:rPr>
      </w:pPr>
      <w:r w:rsidRPr="00950D32">
        <w:rPr>
          <w:color w:val="1F497D" w:themeColor="text2"/>
        </w:rPr>
        <w:t xml:space="preserve">The European Commission noted that the clause touches on uncertainty </w:t>
      </w:r>
      <w:r w:rsidR="00AA3EE0" w:rsidRPr="00950D32">
        <w:rPr>
          <w:color w:val="1F497D" w:themeColor="text2"/>
        </w:rPr>
        <w:t>of the system</w:t>
      </w:r>
      <w:r w:rsidRPr="00950D32">
        <w:rPr>
          <w:color w:val="1F497D" w:themeColor="text2"/>
        </w:rPr>
        <w:t>, while OICA questioned whether it introduces any new obligations not already covered by existing requirements. EME cautioned against wording that implies confidence calculations or favours specific technical approaches. CLEPA suggested that, if the concept is retained, it may fit better in the Annex 3 audit rather than in functional text.</w:t>
      </w:r>
    </w:p>
    <w:p w14:paraId="271A9154" w14:textId="25FFC353" w:rsidR="0080197E" w:rsidRPr="00950D32" w:rsidRDefault="0080197E" w:rsidP="0080197E">
      <w:pPr>
        <w:pStyle w:val="p1"/>
        <w:rPr>
          <w:color w:val="1F497D" w:themeColor="text2"/>
        </w:rPr>
      </w:pPr>
      <w:r w:rsidRPr="00950D32">
        <w:rPr>
          <w:color w:val="1F497D" w:themeColor="text2"/>
        </w:rPr>
        <w:t>As no agreement emerged it remained open for further drafting.</w:t>
      </w:r>
    </w:p>
    <w:p w14:paraId="4A450381" w14:textId="77777777" w:rsidR="00C938F5" w:rsidRPr="00950D32" w:rsidRDefault="00C938F5" w:rsidP="00C938F5">
      <w:pPr>
        <w:pStyle w:val="NormalWeb"/>
        <w:rPr>
          <w:color w:val="1F497D" w:themeColor="text2"/>
        </w:rPr>
      </w:pPr>
      <w:r w:rsidRPr="00950D32">
        <w:rPr>
          <w:color w:val="1F497D" w:themeColor="text2"/>
        </w:rPr>
        <w:t>5.3.7.3.1 to 5.3.7.3.4 – Driver Unavailability Response</w:t>
      </w:r>
    </w:p>
    <w:p w14:paraId="410B7897" w14:textId="77510817" w:rsidR="00D573FB" w:rsidRPr="00950D32" w:rsidRDefault="00D573FB" w:rsidP="00D573FB">
      <w:pPr>
        <w:pStyle w:val="p1"/>
        <w:rPr>
          <w:color w:val="1F497D" w:themeColor="text2"/>
        </w:rPr>
      </w:pPr>
      <w:r w:rsidRPr="00950D32">
        <w:rPr>
          <w:color w:val="1F497D" w:themeColor="text2"/>
        </w:rPr>
        <w:t>The Task Force discussed the relationship between DCAS behaviour during driver unavailability and the RMF defined in UN R79. The UK explained that the intention was to clarify that DUR forms part of DCAS and should follow RMF requirements when active, recognising that DCAS systems may possess additional capabilities.</w:t>
      </w:r>
    </w:p>
    <w:p w14:paraId="4A7E4255" w14:textId="5045FADE" w:rsidR="00D573FB" w:rsidRPr="00950D32" w:rsidRDefault="00D573FB" w:rsidP="00D573FB">
      <w:pPr>
        <w:pStyle w:val="p1"/>
        <w:rPr>
          <w:color w:val="1F497D" w:themeColor="text2"/>
        </w:rPr>
      </w:pPr>
      <w:r w:rsidRPr="00950D32">
        <w:rPr>
          <w:color w:val="1F497D" w:themeColor="text2"/>
        </w:rPr>
        <w:t>Several Contracting Parties and industry expressed concern about introducing expectations that exceed RMF, noting that RMF is already clearly defined in R79 and primarily focused on deceleration and stabilisation. They questioned the necessity of retaining 5.3.7.3.4, as its wording could imply that DUR must perform more advanced manoeuvres or collision-avoidance behaviours that may not be appropriate or feasible.</w:t>
      </w:r>
    </w:p>
    <w:p w14:paraId="2F2C9031" w14:textId="27B5FA15" w:rsidR="00D573FB" w:rsidRPr="00950D32" w:rsidRDefault="00D573FB" w:rsidP="00D573FB">
      <w:pPr>
        <w:pStyle w:val="p1"/>
        <w:rPr>
          <w:color w:val="1F497D" w:themeColor="text2"/>
        </w:rPr>
      </w:pPr>
      <w:r w:rsidRPr="00950D32">
        <w:rPr>
          <w:color w:val="1F497D" w:themeColor="text2"/>
        </w:rPr>
        <w:t>Some delegations highlighted that any expansion of RMF behaviour must be treated cautiously to avoid inconsistencies with R79 and unrealistic system demands.</w:t>
      </w:r>
    </w:p>
    <w:p w14:paraId="5BA480BD" w14:textId="77777777" w:rsidR="00D573FB" w:rsidRPr="00950D32" w:rsidRDefault="00D573FB" w:rsidP="00D573FB">
      <w:pPr>
        <w:pStyle w:val="p1"/>
        <w:rPr>
          <w:color w:val="1F497D" w:themeColor="text2"/>
        </w:rPr>
      </w:pPr>
      <w:r w:rsidRPr="00950D32">
        <w:rPr>
          <w:color w:val="1F497D" w:themeColor="text2"/>
        </w:rPr>
        <w:t>With multiple delegations favouring removal of 5.3.7.3.4, the UK indicated it was acceptable to delete the clause and revisit the topic separately if broader DUR requirements are needed in the future.</w:t>
      </w:r>
    </w:p>
    <w:p w14:paraId="1B9046AE" w14:textId="34AE908E" w:rsidR="00C938F5" w:rsidRPr="00950D32" w:rsidRDefault="00C938F5" w:rsidP="00C938F5">
      <w:pPr>
        <w:pStyle w:val="NormalWeb"/>
        <w:rPr>
          <w:color w:val="1F497D" w:themeColor="text2"/>
        </w:rPr>
      </w:pPr>
      <w:r w:rsidRPr="00950D32">
        <w:rPr>
          <w:color w:val="1F497D" w:themeColor="text2"/>
        </w:rPr>
        <w:lastRenderedPageBreak/>
        <w:t>5.5.4.1.8.1 – Visual</w:t>
      </w:r>
      <w:r w:rsidR="00AA3EE0" w:rsidRPr="00950D32">
        <w:rPr>
          <w:color w:val="1F497D" w:themeColor="text2"/>
        </w:rPr>
        <w:t>ly</w:t>
      </w:r>
      <w:r w:rsidRPr="00950D32">
        <w:rPr>
          <w:color w:val="1F497D" w:themeColor="text2"/>
        </w:rPr>
        <w:t xml:space="preserve"> Informing</w:t>
      </w:r>
    </w:p>
    <w:p w14:paraId="412734BA" w14:textId="30B680C9" w:rsidR="00AA3EE0" w:rsidRPr="00950D32" w:rsidRDefault="00AA3EE0" w:rsidP="00AA3EE0">
      <w:pPr>
        <w:pStyle w:val="p1"/>
        <w:rPr>
          <w:color w:val="1F497D" w:themeColor="text2"/>
        </w:rPr>
      </w:pPr>
      <w:r w:rsidRPr="00950D32">
        <w:rPr>
          <w:color w:val="1F497D" w:themeColor="text2"/>
        </w:rPr>
        <w:t>The Task Force revisited wording for visual informing. EME proposed changing “ensure” to “enable,” noting that systems cannot guarantee driver perception. Several delegations, including CLEPA and the European Commission, agreed that “ensure” overstates system capability. CLEPA also suggested placing “modality(</w:t>
      </w:r>
      <w:proofErr w:type="spellStart"/>
      <w:r w:rsidRPr="00950D32">
        <w:rPr>
          <w:color w:val="1F497D" w:themeColor="text2"/>
        </w:rPr>
        <w:t>ies</w:t>
      </w:r>
      <w:proofErr w:type="spellEnd"/>
      <w:r w:rsidRPr="00950D32">
        <w:rPr>
          <w:color w:val="1F497D" w:themeColor="text2"/>
        </w:rPr>
        <w:t>)” in brackets to avoid implying that more than one modality is mandatory. JRC cautioned that relying only on visual information may not guarantee timely driver noticing, while OICA noted that in practice drivers may perceive HUD or peripheral cues without multiple modalities.</w:t>
      </w:r>
    </w:p>
    <w:p w14:paraId="6878831A" w14:textId="647773D6" w:rsidR="00AA3EE0" w:rsidRPr="00950D32" w:rsidRDefault="00AA3EE0" w:rsidP="00AA3EE0">
      <w:pPr>
        <w:pStyle w:val="p1"/>
        <w:rPr>
          <w:color w:val="1F497D" w:themeColor="text2"/>
        </w:rPr>
      </w:pPr>
      <w:r w:rsidRPr="00950D32">
        <w:rPr>
          <w:color w:val="1F497D" w:themeColor="text2"/>
        </w:rPr>
        <w:t>Germany warned that replacing “ensure” with “enable” could weaken requirements for driver-confirmed manoeuvres, where confirmation is mandatory. The UK and CLEPA clarified that this clause applies only to driver-confirmed manoeuvres and should not affect SIM logic. JRC added that SIM already contains separate provisions governing notice and timing, and the European Commission suggested focusing the revision on SIM-related text instead.</w:t>
      </w:r>
    </w:p>
    <w:p w14:paraId="724A5DB3" w14:textId="77777777" w:rsidR="00AA3EE0" w:rsidRPr="00950D32" w:rsidRDefault="00AA3EE0" w:rsidP="00AA3EE0">
      <w:pPr>
        <w:pStyle w:val="p1"/>
        <w:rPr>
          <w:color w:val="1F497D" w:themeColor="text2"/>
        </w:rPr>
      </w:pPr>
      <w:r w:rsidRPr="00950D32">
        <w:rPr>
          <w:color w:val="1F497D" w:themeColor="text2"/>
        </w:rPr>
        <w:t>Given differing views on terminology and scope, delegations agreed not to revise the 01-series wording for driver-confirmed manoeuvres at this stage. The text remained as in the current regulation, with Phase 3 changes to be addressed in SIM-specific provisions.</w:t>
      </w:r>
    </w:p>
    <w:p w14:paraId="360B898B" w14:textId="77777777" w:rsidR="00C938F5" w:rsidRPr="00950D32" w:rsidRDefault="00C938F5" w:rsidP="00C938F5">
      <w:pPr>
        <w:pStyle w:val="NormalWeb"/>
        <w:rPr>
          <w:color w:val="1F497D" w:themeColor="text2"/>
        </w:rPr>
      </w:pPr>
      <w:r w:rsidRPr="00950D32">
        <w:rPr>
          <w:color w:val="1F497D" w:themeColor="text2"/>
        </w:rPr>
        <w:t>5.5.4.1.9.2 – Timing of Manoeuvre Information</w:t>
      </w:r>
    </w:p>
    <w:p w14:paraId="4A730CB5" w14:textId="4C413175" w:rsidR="00D45D0B" w:rsidRPr="00950D32" w:rsidRDefault="00D45D0B" w:rsidP="00D45D0B">
      <w:pPr>
        <w:pStyle w:val="p1"/>
        <w:rPr>
          <w:color w:val="1F497D" w:themeColor="text2"/>
        </w:rPr>
      </w:pPr>
      <w:r w:rsidRPr="00950D32">
        <w:rPr>
          <w:color w:val="1F497D" w:themeColor="text2"/>
        </w:rPr>
        <w:t>The Task Force revisited proposals concerning the timing of information provided before a system-initiated manoeuvre. Germany questioned the use of “aim to provide,” noting that other clauses require the system to “visually inform,” and argued that SIM should follow the same standard. The European Commission clarified that “aim to” referred specifically to the timing target, not the obligation to inform. CLEPA suggested retaining the three-second aim as guidance, acknowledging that shorter timings may sometimes be necessary, while also noting that fixed timing requirements can be difficul</w:t>
      </w:r>
      <w:r w:rsidR="00950D32">
        <w:rPr>
          <w:color w:val="1F497D" w:themeColor="text2"/>
        </w:rPr>
        <w:t>t</w:t>
      </w:r>
      <w:r w:rsidRPr="00950D32">
        <w:rPr>
          <w:color w:val="1F497D" w:themeColor="text2"/>
        </w:rPr>
        <w:t>.</w:t>
      </w:r>
    </w:p>
    <w:p w14:paraId="42D796F9" w14:textId="202912A2" w:rsidR="00D45D0B" w:rsidRPr="00950D32" w:rsidRDefault="00D45D0B" w:rsidP="00D45D0B">
      <w:pPr>
        <w:pStyle w:val="p1"/>
        <w:rPr>
          <w:color w:val="1F497D" w:themeColor="text2"/>
        </w:rPr>
      </w:pPr>
      <w:r w:rsidRPr="00950D32">
        <w:rPr>
          <w:color w:val="1F497D" w:themeColor="text2"/>
        </w:rPr>
        <w:t>JRC explained that the intent of the three-second value is to ensure the driver enters a manoeuvre with adequate situational awareness, based on testing, and that manufacturers may justify alternative strategies if providing shorter notice. EME cautioned that rigid timing may not be feasible in urban contexts and supported treating three seconds as guidance rather than a mandatory value.</w:t>
      </w:r>
    </w:p>
    <w:p w14:paraId="7D793E50" w14:textId="0C47237C" w:rsidR="00D45D0B" w:rsidRPr="00950D32" w:rsidRDefault="00D45D0B" w:rsidP="00D45D0B">
      <w:pPr>
        <w:pStyle w:val="p1"/>
        <w:rPr>
          <w:color w:val="1F497D" w:themeColor="text2"/>
        </w:rPr>
      </w:pPr>
      <w:r w:rsidRPr="00950D32">
        <w:rPr>
          <w:color w:val="1F497D" w:themeColor="text2"/>
        </w:rPr>
        <w:t>The UK noted that the original evidence primarily concerned lane-change scenarios and asked whether more complex manoeuvres might require different notice periods. Japan and the Netherlands questioned how such timing interacts with existing requirements to allow the driver sufficient opportunity to reject a manoeuvre.</w:t>
      </w:r>
    </w:p>
    <w:p w14:paraId="70D06389" w14:textId="1321A1C1" w:rsidR="00D45D0B" w:rsidRPr="00950D32" w:rsidRDefault="00D45D0B" w:rsidP="00D45D0B">
      <w:pPr>
        <w:pStyle w:val="p1"/>
        <w:rPr>
          <w:color w:val="1F497D" w:themeColor="text2"/>
        </w:rPr>
      </w:pPr>
      <w:r w:rsidRPr="00950D32">
        <w:rPr>
          <w:color w:val="1F497D" w:themeColor="text2"/>
        </w:rPr>
        <w:t>OICA and the Secretariat discussed an approach whereby deviations from the three-second value could be justified to the approval authority under an equivalent safety argument. CLEPA and JRC proposed that such justification could be included within the audit requirements in Annex 3.</w:t>
      </w:r>
    </w:p>
    <w:p w14:paraId="3786E601" w14:textId="189B8A32" w:rsidR="00D45D0B" w:rsidRPr="00950D32" w:rsidRDefault="00D45D0B" w:rsidP="00D45D0B">
      <w:pPr>
        <w:pStyle w:val="p1"/>
        <w:rPr>
          <w:color w:val="1F497D" w:themeColor="text2"/>
        </w:rPr>
      </w:pPr>
      <w:r w:rsidRPr="00950D32">
        <w:rPr>
          <w:color w:val="1F497D" w:themeColor="text2"/>
        </w:rPr>
        <w:t>Delegations also discussed the meaning of “ensure” versus “enable” in relation to the driver noticing information</w:t>
      </w:r>
      <w:r w:rsidR="001F0194" w:rsidRPr="00950D32">
        <w:rPr>
          <w:color w:val="1F497D" w:themeColor="text2"/>
        </w:rPr>
        <w:t xml:space="preserve"> with CLEPA proposing to address this in the introduction. Agreement was </w:t>
      </w:r>
      <w:r w:rsidR="001F0194" w:rsidRPr="001664D3">
        <w:rPr>
          <w:color w:val="1F497D" w:themeColor="text2"/>
        </w:rPr>
        <w:t>reach</w:t>
      </w:r>
      <w:r w:rsidR="000939CB" w:rsidRPr="001664D3">
        <w:rPr>
          <w:color w:val="1F497D" w:themeColor="text2"/>
        </w:rPr>
        <w:t>ed</w:t>
      </w:r>
      <w:r w:rsidR="001F0194" w:rsidRPr="001664D3">
        <w:rPr>
          <w:color w:val="1F497D" w:themeColor="text2"/>
        </w:rPr>
        <w:t xml:space="preserve"> </w:t>
      </w:r>
      <w:r w:rsidR="001F0194" w:rsidRPr="00950D32">
        <w:rPr>
          <w:color w:val="1F497D" w:themeColor="text2"/>
        </w:rPr>
        <w:t>that</w:t>
      </w:r>
      <w:r w:rsidRPr="00950D32">
        <w:rPr>
          <w:color w:val="1F497D" w:themeColor="text2"/>
        </w:rPr>
        <w:t xml:space="preserve"> the clause should refer</w:t>
      </w:r>
      <w:r w:rsidR="001F0194" w:rsidRPr="00950D32">
        <w:rPr>
          <w:color w:val="1F497D" w:themeColor="text2"/>
        </w:rPr>
        <w:t xml:space="preserve"> to </w:t>
      </w:r>
      <w:r w:rsidRPr="00950D32">
        <w:rPr>
          <w:color w:val="1F497D" w:themeColor="text2"/>
        </w:rPr>
        <w:t>strategies</w:t>
      </w:r>
      <w:r w:rsidR="001F0194" w:rsidRPr="00950D32">
        <w:rPr>
          <w:color w:val="1F497D" w:themeColor="text2"/>
        </w:rPr>
        <w:t xml:space="preserve"> rather than modalities</w:t>
      </w:r>
      <w:r w:rsidRPr="00950D32">
        <w:rPr>
          <w:color w:val="1F497D" w:themeColor="text2"/>
        </w:rPr>
        <w:t xml:space="preserve">. Several </w:t>
      </w:r>
      <w:r w:rsidRPr="00950D32">
        <w:rPr>
          <w:color w:val="1F497D" w:themeColor="text2"/>
        </w:rPr>
        <w:lastRenderedPageBreak/>
        <w:t>associations emphasised that drivers should not be overwhelmed by alerts, and that manufacturers should retain flexibility in HMI design while ensuring timely driver awareness.</w:t>
      </w:r>
    </w:p>
    <w:p w14:paraId="2E6FA987" w14:textId="25C7E999" w:rsidR="00D729A5" w:rsidRPr="00950D32" w:rsidRDefault="00D729A5" w:rsidP="00D45D0B">
      <w:pPr>
        <w:pStyle w:val="p1"/>
        <w:rPr>
          <w:color w:val="1F497D" w:themeColor="text2"/>
        </w:rPr>
      </w:pPr>
      <w:r w:rsidRPr="00950D32">
        <w:rPr>
          <w:color w:val="1F497D" w:themeColor="text2"/>
        </w:rPr>
        <w:t>The proposal was reworded.</w:t>
      </w:r>
    </w:p>
    <w:p w14:paraId="367344B6" w14:textId="2ECF5ABA" w:rsidR="000F49D6" w:rsidRPr="00950D32" w:rsidRDefault="00C938F5" w:rsidP="00C938F5">
      <w:pPr>
        <w:pStyle w:val="NormalWeb"/>
        <w:rPr>
          <w:color w:val="1F497D" w:themeColor="text2"/>
        </w:rPr>
      </w:pPr>
      <w:r w:rsidRPr="00950D32">
        <w:rPr>
          <w:color w:val="1F497D" w:themeColor="text2"/>
        </w:rPr>
        <w:t>5.5.4.1.9.4 – Visualisation of Intended Manoeuvre</w:t>
      </w:r>
    </w:p>
    <w:p w14:paraId="11C51A09" w14:textId="0F8448FF" w:rsidR="00E11058" w:rsidRPr="00950D32" w:rsidRDefault="00E11058" w:rsidP="00E11058">
      <w:pPr>
        <w:pStyle w:val="p1"/>
        <w:rPr>
          <w:color w:val="1F497D" w:themeColor="text2"/>
        </w:rPr>
      </w:pPr>
      <w:r w:rsidRPr="00950D32">
        <w:rPr>
          <w:color w:val="1F497D" w:themeColor="text2"/>
        </w:rPr>
        <w:t>The Task Force discussed several options for the visualisation requirement. EME preferred Option 2 with changes to replace “intended manoeuvre” with “planned trajectory” and remove the final sentence, noting it would be difficult to verify as a mandatory requirement. OICA opposed mandating trajectory display and stressed that manufacturers should retain flexibility to use simple elements, such as directional arrows.</w:t>
      </w:r>
    </w:p>
    <w:p w14:paraId="64A8A3EB" w14:textId="3D2A7476" w:rsidR="00E11058" w:rsidRPr="00950D32" w:rsidRDefault="00E11058" w:rsidP="00E11058">
      <w:pPr>
        <w:pStyle w:val="p1"/>
        <w:rPr>
          <w:color w:val="1F497D" w:themeColor="text2"/>
        </w:rPr>
      </w:pPr>
      <w:r w:rsidRPr="00950D32">
        <w:rPr>
          <w:color w:val="1F497D" w:themeColor="text2"/>
        </w:rPr>
        <w:t>Japan and Germany questioned whether “visualise” implied richer graphics than “display,” and the UK clarified that their own proposal aimed to allow optional environmental perception without requiring it. OICA raised concerns about continuous visualisation</w:t>
      </w:r>
      <w:r w:rsidR="00C06855" w:rsidRPr="00950D32">
        <w:rPr>
          <w:color w:val="1F497D" w:themeColor="text2"/>
        </w:rPr>
        <w:t xml:space="preserve"> and interaction with other messages.</w:t>
      </w:r>
    </w:p>
    <w:p w14:paraId="44544B57" w14:textId="714C6C6F" w:rsidR="00E11058" w:rsidRPr="00950D32" w:rsidRDefault="00E11058" w:rsidP="00E11058">
      <w:pPr>
        <w:pStyle w:val="p1"/>
        <w:rPr>
          <w:color w:val="1F497D" w:themeColor="text2"/>
        </w:rPr>
      </w:pPr>
      <w:r w:rsidRPr="00950D32">
        <w:rPr>
          <w:color w:val="1F497D" w:themeColor="text2"/>
        </w:rPr>
        <w:t xml:space="preserve">The European Commission explained that the origin of the proposal was to support driver understanding of system intent, especially where the driver may need to confirm that the system has perceived the environment correctly. They noted that visualisation </w:t>
      </w:r>
      <w:r w:rsidR="00C06855" w:rsidRPr="00950D32">
        <w:rPr>
          <w:color w:val="1F497D" w:themeColor="text2"/>
        </w:rPr>
        <w:t>c</w:t>
      </w:r>
      <w:r w:rsidRPr="00950D32">
        <w:rPr>
          <w:color w:val="1F497D" w:themeColor="text2"/>
        </w:rPr>
        <w:t xml:space="preserve">ould be helpful but not </w:t>
      </w:r>
      <w:r w:rsidR="00950D32">
        <w:rPr>
          <w:color w:val="1F497D" w:themeColor="text2"/>
        </w:rPr>
        <w:t>mandatory</w:t>
      </w:r>
      <w:r w:rsidRPr="00950D32">
        <w:rPr>
          <w:color w:val="1F497D" w:themeColor="text2"/>
        </w:rPr>
        <w:t>, and suggested that manufacturers justify their design strategy to the approval authority.</w:t>
      </w:r>
    </w:p>
    <w:p w14:paraId="487B7CB1" w14:textId="79F28BE1" w:rsidR="00E11058" w:rsidRPr="00950D32" w:rsidRDefault="00E11058" w:rsidP="00E11058">
      <w:pPr>
        <w:pStyle w:val="p1"/>
        <w:rPr>
          <w:color w:val="1F497D" w:themeColor="text2"/>
        </w:rPr>
      </w:pPr>
      <w:r w:rsidRPr="00950D32">
        <w:rPr>
          <w:color w:val="1F497D" w:themeColor="text2"/>
        </w:rPr>
        <w:t>EME and Sweden cautioned that excessive visualisation could distract drivers or encourage them to compare HMI output with the roadway, undermining driver focus. Japan supported limiting the requirement to showing the manoeuvre or trajectory, not full environmental perception.</w:t>
      </w:r>
      <w:r w:rsidR="00C06855" w:rsidRPr="00950D32">
        <w:rPr>
          <w:color w:val="1F497D" w:themeColor="text2"/>
        </w:rPr>
        <w:t xml:space="preserve"> </w:t>
      </w:r>
      <w:r w:rsidRPr="00950D32">
        <w:rPr>
          <w:color w:val="1F497D" w:themeColor="text2"/>
        </w:rPr>
        <w:t xml:space="preserve">Germany questioned the necessity of adding a new requirement </w:t>
      </w:r>
      <w:r w:rsidR="001664D3" w:rsidRPr="00950D32">
        <w:rPr>
          <w:color w:val="1F497D" w:themeColor="text2"/>
        </w:rPr>
        <w:t>given existing manoeuvre-information obligation</w:t>
      </w:r>
      <w:r w:rsidRPr="00950D32">
        <w:rPr>
          <w:color w:val="1F497D" w:themeColor="text2"/>
        </w:rPr>
        <w:t>.</w:t>
      </w:r>
    </w:p>
    <w:p w14:paraId="446B7CA0" w14:textId="07AF18BB" w:rsidR="00E11058" w:rsidRPr="00950D32" w:rsidRDefault="00C06855" w:rsidP="00E11058">
      <w:pPr>
        <w:pStyle w:val="p1"/>
        <w:rPr>
          <w:color w:val="1F497D" w:themeColor="text2"/>
        </w:rPr>
      </w:pPr>
      <w:r w:rsidRPr="00950D32">
        <w:rPr>
          <w:color w:val="1F497D" w:themeColor="text2"/>
        </w:rPr>
        <w:t>The item was left open to be revisited.</w:t>
      </w:r>
    </w:p>
    <w:p w14:paraId="5CA70E57" w14:textId="31DDDC39" w:rsidR="00C938F5" w:rsidRPr="00950D32" w:rsidRDefault="00C938F5" w:rsidP="00C938F5">
      <w:pPr>
        <w:pStyle w:val="NormalWeb"/>
        <w:rPr>
          <w:color w:val="1F497D" w:themeColor="text2"/>
        </w:rPr>
      </w:pPr>
      <w:r w:rsidRPr="00950D32">
        <w:rPr>
          <w:color w:val="1F497D" w:themeColor="text2"/>
        </w:rPr>
        <w:t>5.5.4.1.10.1</w:t>
      </w:r>
    </w:p>
    <w:p w14:paraId="703919C3" w14:textId="77777777" w:rsidR="000F49D6" w:rsidRPr="00950D32" w:rsidRDefault="000F49D6" w:rsidP="00C938F5">
      <w:pPr>
        <w:pStyle w:val="NormalWeb"/>
        <w:rPr>
          <w:color w:val="1F497D" w:themeColor="text2"/>
        </w:rPr>
      </w:pPr>
      <w:r w:rsidRPr="00950D32">
        <w:rPr>
          <w:color w:val="1F497D" w:themeColor="text2"/>
        </w:rPr>
        <w:t>The JRC noted this can be deleted as it has been addressed in 5.5.4.1.9.2</w:t>
      </w:r>
    </w:p>
    <w:p w14:paraId="22701D0D" w14:textId="77777777" w:rsidR="000F49D6" w:rsidRPr="00950D32" w:rsidRDefault="000F49D6" w:rsidP="00C938F5">
      <w:pPr>
        <w:pStyle w:val="NormalWeb"/>
        <w:rPr>
          <w:color w:val="1F497D" w:themeColor="text2"/>
        </w:rPr>
      </w:pPr>
      <w:r w:rsidRPr="00950D32">
        <w:rPr>
          <w:color w:val="1F497D" w:themeColor="text2"/>
        </w:rPr>
        <w:t>Role Reminders</w:t>
      </w:r>
    </w:p>
    <w:p w14:paraId="0FDE19AB" w14:textId="75D538FB" w:rsidR="00C938F5" w:rsidRPr="00950D32" w:rsidRDefault="000F49D6" w:rsidP="00C938F5">
      <w:pPr>
        <w:pStyle w:val="NormalWeb"/>
        <w:rPr>
          <w:color w:val="1F497D" w:themeColor="text2"/>
        </w:rPr>
      </w:pPr>
      <w:r w:rsidRPr="00950D32">
        <w:rPr>
          <w:color w:val="1F497D" w:themeColor="text2"/>
        </w:rPr>
        <w:t xml:space="preserve">The JRC introduced the proposal and </w:t>
      </w:r>
      <w:r w:rsidR="00B868CC" w:rsidRPr="00950D32">
        <w:rPr>
          <w:color w:val="1F497D" w:themeColor="text2"/>
        </w:rPr>
        <w:t>explained</w:t>
      </w:r>
      <w:r w:rsidRPr="00950D32">
        <w:rPr>
          <w:color w:val="1F497D" w:themeColor="text2"/>
        </w:rPr>
        <w:t xml:space="preserve"> it does not have a number yet but could be included in the signals and messaging section. </w:t>
      </w:r>
    </w:p>
    <w:p w14:paraId="2896E669" w14:textId="37A753EA" w:rsidR="00B868CC" w:rsidRPr="00950D32" w:rsidRDefault="00B868CC" w:rsidP="00C938F5">
      <w:pPr>
        <w:pStyle w:val="NormalWeb"/>
        <w:rPr>
          <w:color w:val="1F497D" w:themeColor="text2"/>
        </w:rPr>
      </w:pPr>
      <w:r w:rsidRPr="00950D32">
        <w:rPr>
          <w:color w:val="1F497D" w:themeColor="text2"/>
        </w:rPr>
        <w:t>The Chair and Germany questioned if this was necessary to include given that it is optional, and that the existing disclaimer is similar.</w:t>
      </w:r>
      <w:r w:rsidR="00E11058" w:rsidRPr="00950D32">
        <w:rPr>
          <w:color w:val="1F497D" w:themeColor="text2"/>
        </w:rPr>
        <w:t xml:space="preserve"> </w:t>
      </w:r>
      <w:r w:rsidRPr="00950D32">
        <w:rPr>
          <w:color w:val="1F497D" w:themeColor="text2"/>
        </w:rPr>
        <w:t>The group agreed to not include the proposal.</w:t>
      </w:r>
    </w:p>
    <w:p w14:paraId="568B647A" w14:textId="77777777" w:rsidR="00C938F5" w:rsidRPr="00950D32" w:rsidRDefault="00C938F5" w:rsidP="00C938F5">
      <w:pPr>
        <w:pStyle w:val="NormalWeb"/>
        <w:rPr>
          <w:color w:val="1F497D" w:themeColor="text2"/>
        </w:rPr>
      </w:pPr>
      <w:r w:rsidRPr="00950D32">
        <w:rPr>
          <w:color w:val="1F497D" w:themeColor="text2"/>
        </w:rPr>
        <w:t>5.5.4.2.5.2 – Dashboard Considered a Relevant Area</w:t>
      </w:r>
    </w:p>
    <w:p w14:paraId="7462E99D" w14:textId="4062DEB8" w:rsidR="00C938F5" w:rsidRPr="00950D32" w:rsidRDefault="00C938F5" w:rsidP="00C938F5">
      <w:pPr>
        <w:pStyle w:val="NormalWeb"/>
        <w:rPr>
          <w:color w:val="1F497D" w:themeColor="text2"/>
        </w:rPr>
      </w:pPr>
      <w:r w:rsidRPr="00950D32">
        <w:rPr>
          <w:color w:val="1F497D" w:themeColor="text2"/>
        </w:rPr>
        <w:t xml:space="preserve">The group discussed how long the dashboard should be considered a relevant area for assessing disengagement. JRC favoured two seconds based on distraction studies. EME and </w:t>
      </w:r>
      <w:r w:rsidR="00B868CC" w:rsidRPr="00950D32">
        <w:rPr>
          <w:color w:val="1F497D" w:themeColor="text2"/>
        </w:rPr>
        <w:t>CLEPA</w:t>
      </w:r>
      <w:r w:rsidRPr="00950D32">
        <w:rPr>
          <w:color w:val="1F497D" w:themeColor="text2"/>
        </w:rPr>
        <w:t xml:space="preserve"> preferred three second allowances for practicality. </w:t>
      </w:r>
      <w:r w:rsidR="00B868CC" w:rsidRPr="00950D32">
        <w:rPr>
          <w:color w:val="1F497D" w:themeColor="text2"/>
        </w:rPr>
        <w:t>The discussion was postponed until Day Three</w:t>
      </w:r>
      <w:r w:rsidR="00E11058" w:rsidRPr="00950D32">
        <w:rPr>
          <w:color w:val="1F497D" w:themeColor="text2"/>
        </w:rPr>
        <w:t>.</w:t>
      </w:r>
    </w:p>
    <w:p w14:paraId="1B5538BF" w14:textId="0E5BF7A2" w:rsidR="00C938F5" w:rsidRPr="00950D32" w:rsidRDefault="00B868CC" w:rsidP="00C938F5">
      <w:pPr>
        <w:widowControl w:val="0"/>
        <w:tabs>
          <w:tab w:val="left" w:pos="993"/>
          <w:tab w:val="left" w:pos="2410"/>
        </w:tabs>
        <w:rPr>
          <w:b/>
          <w:bCs/>
          <w:color w:val="1F497D" w:themeColor="text2"/>
          <w:lang w:val="en-US"/>
        </w:rPr>
      </w:pPr>
      <w:r w:rsidRPr="00950D32">
        <w:rPr>
          <w:b/>
          <w:bCs/>
          <w:color w:val="1F497D" w:themeColor="text2"/>
          <w:lang w:val="en-US"/>
        </w:rPr>
        <w:lastRenderedPageBreak/>
        <w:t>Day Three</w:t>
      </w:r>
    </w:p>
    <w:p w14:paraId="5AE6F01F" w14:textId="77777777" w:rsidR="00C938F5" w:rsidRPr="00950D32" w:rsidRDefault="00C938F5" w:rsidP="00C938F5">
      <w:pPr>
        <w:widowControl w:val="0"/>
        <w:tabs>
          <w:tab w:val="left" w:pos="993"/>
          <w:tab w:val="left" w:pos="2410"/>
        </w:tabs>
        <w:rPr>
          <w:color w:val="1F497D" w:themeColor="text2"/>
          <w:lang w:val="en-US"/>
        </w:rPr>
      </w:pPr>
    </w:p>
    <w:p w14:paraId="1FE4B308" w14:textId="311CB47E" w:rsidR="00D05811" w:rsidRPr="00950D32" w:rsidRDefault="00D05811" w:rsidP="00D05811">
      <w:pPr>
        <w:pStyle w:val="p1"/>
        <w:rPr>
          <w:color w:val="1F497D" w:themeColor="text2"/>
        </w:rPr>
      </w:pPr>
      <w:r w:rsidRPr="00950D32">
        <w:rPr>
          <w:color w:val="1F497D" w:themeColor="text2"/>
        </w:rPr>
        <w:t>The Chair opened Day Three by returning to the remaining unresolved items from earlier in the week</w:t>
      </w:r>
      <w:r w:rsidR="00E11058" w:rsidRPr="00950D32">
        <w:rPr>
          <w:color w:val="1F497D" w:themeColor="text2"/>
        </w:rPr>
        <w:t xml:space="preserve"> for any updates</w:t>
      </w:r>
      <w:r w:rsidRPr="00950D32">
        <w:rPr>
          <w:color w:val="1F497D" w:themeColor="text2"/>
        </w:rPr>
        <w:t>.</w:t>
      </w:r>
    </w:p>
    <w:p w14:paraId="4058B308" w14:textId="77777777" w:rsidR="00D05811" w:rsidRPr="00950D32" w:rsidRDefault="00D05811" w:rsidP="00D05811">
      <w:pPr>
        <w:pStyle w:val="p1"/>
        <w:rPr>
          <w:color w:val="1F497D" w:themeColor="text2"/>
        </w:rPr>
      </w:pPr>
      <w:r w:rsidRPr="00950D32">
        <w:rPr>
          <w:color w:val="1F497D" w:themeColor="text2"/>
        </w:rPr>
        <w:t>5.3.7.2.6.1 – Multi-Target Related Requirements</w:t>
      </w:r>
    </w:p>
    <w:p w14:paraId="151F0951" w14:textId="7FAA1738" w:rsidR="00D05811" w:rsidRPr="00950D32" w:rsidRDefault="00D05811" w:rsidP="00D05811">
      <w:pPr>
        <w:pStyle w:val="p1"/>
        <w:rPr>
          <w:color w:val="1F497D" w:themeColor="text2"/>
        </w:rPr>
      </w:pPr>
      <w:r w:rsidRPr="00950D32">
        <w:rPr>
          <w:color w:val="1F497D" w:themeColor="text2"/>
        </w:rPr>
        <w:t>CLEPA confirmed that the conclusion was to address this content through the Annex 4 test section rather than in the main body of the regulation.</w:t>
      </w:r>
    </w:p>
    <w:p w14:paraId="3C018C5E" w14:textId="77777777" w:rsidR="00D05811" w:rsidRPr="00950D32" w:rsidRDefault="00D05811" w:rsidP="00D05811">
      <w:pPr>
        <w:pStyle w:val="p1"/>
        <w:rPr>
          <w:color w:val="1F497D" w:themeColor="text2"/>
        </w:rPr>
      </w:pPr>
      <w:r w:rsidRPr="00950D32">
        <w:rPr>
          <w:color w:val="1F497D" w:themeColor="text2"/>
        </w:rPr>
        <w:t>5.5.4.2.5.2 – Dashboard Viewing</w:t>
      </w:r>
    </w:p>
    <w:p w14:paraId="2AFCA415" w14:textId="6E9563E0" w:rsidR="00D05811" w:rsidRPr="00950D32" w:rsidRDefault="00D05811" w:rsidP="00D05811">
      <w:pPr>
        <w:pStyle w:val="p1"/>
        <w:rPr>
          <w:color w:val="1F497D" w:themeColor="text2"/>
        </w:rPr>
      </w:pPr>
      <w:r w:rsidRPr="00950D32">
        <w:rPr>
          <w:color w:val="1F497D" w:themeColor="text2"/>
        </w:rPr>
        <w:t>CLEPA recalled that the previous discussion suggested moving toward the JRC proposal in the middle column, replacing two seconds with three and removing the last sentence. JRC suggested limiting this only to situations where manoeuvre-related information is shown. EME, CLEPA, the UK and Germany noted differing views on wording and application. The provision remained open for further refinement.</w:t>
      </w:r>
    </w:p>
    <w:p w14:paraId="392F787F" w14:textId="77777777" w:rsidR="00D05811" w:rsidRPr="00950D32" w:rsidRDefault="00D05811" w:rsidP="00D05811">
      <w:pPr>
        <w:pStyle w:val="p1"/>
        <w:rPr>
          <w:color w:val="1F497D" w:themeColor="text2"/>
        </w:rPr>
      </w:pPr>
      <w:r w:rsidRPr="00950D32">
        <w:rPr>
          <w:color w:val="1F497D" w:themeColor="text2"/>
        </w:rPr>
        <w:t>5.5.4.2.6.1.5 – Hands-On Timing at Speeds Above 10 km/h</w:t>
      </w:r>
    </w:p>
    <w:p w14:paraId="698D63BB" w14:textId="6AAC3924" w:rsidR="002D417B" w:rsidRPr="00950D32" w:rsidRDefault="002D417B" w:rsidP="002D417B">
      <w:pPr>
        <w:pStyle w:val="p1"/>
        <w:rPr>
          <w:color w:val="1F497D" w:themeColor="text2"/>
        </w:rPr>
      </w:pPr>
      <w:r w:rsidRPr="00950D32">
        <w:rPr>
          <w:color w:val="1F497D" w:themeColor="text2"/>
        </w:rPr>
        <w:t>The UK introduced a minor amendment to align the clause’s wording with surrounding hands-on provisions. Delegations noted that further reworking was required to clarify when the requirement applies. CLEPA explained that their earlier suggestion to reduce the HOR delay to 2–3 seconds was intended to address specific use cases, such as narrow turns or high steering inputs. Germany questioned that it could be interpreted as enabling a form of hands-off SIM in urban environments. CLEPA confirmed that the text originated from SDG discussions and questionnaires but agreed the wording could be improved. Japan shared similar Germany’s concerns and asked for closer alignment with the intended use case. CLEPA observed that the five-second HOR rule elsewhere still applies and that this clause interacts with 5.3.7.2.1.1. As 5.3.7.2.1.1 is still being finalised, CLEPA requested additional time to adjust the text or decide if this is necessary. The provision was marked in yellow for later discussion.</w:t>
      </w:r>
    </w:p>
    <w:p w14:paraId="27E81406" w14:textId="786BD60F" w:rsidR="00D05811" w:rsidRPr="00950D32" w:rsidRDefault="00D05811" w:rsidP="00D05811">
      <w:pPr>
        <w:pStyle w:val="p1"/>
        <w:rPr>
          <w:color w:val="1F497D" w:themeColor="text2"/>
        </w:rPr>
      </w:pPr>
      <w:r w:rsidRPr="00950D32">
        <w:rPr>
          <w:color w:val="1F497D" w:themeColor="text2"/>
        </w:rPr>
        <w:t>5.5.4.2.6.5 – Highway-Like Roads</w:t>
      </w:r>
    </w:p>
    <w:p w14:paraId="10BBEEAC" w14:textId="6F9F2153" w:rsidR="00D05811" w:rsidRPr="00950D32" w:rsidRDefault="00D05811" w:rsidP="00D05811">
      <w:pPr>
        <w:pStyle w:val="p1"/>
        <w:rPr>
          <w:color w:val="1F497D" w:themeColor="text2"/>
        </w:rPr>
      </w:pPr>
      <w:r w:rsidRPr="00950D32">
        <w:rPr>
          <w:color w:val="1F497D" w:themeColor="text2"/>
        </w:rPr>
        <w:t xml:space="preserve">The UK presented an initial proposal for defining highway-like roads. Germany questioned </w:t>
      </w:r>
      <w:r w:rsidR="00B5522B" w:rsidRPr="00950D32">
        <w:rPr>
          <w:color w:val="1F497D" w:themeColor="text2"/>
        </w:rPr>
        <w:t>if UN R79 may help</w:t>
      </w:r>
      <w:r w:rsidRPr="00950D32">
        <w:rPr>
          <w:color w:val="1F497D" w:themeColor="text2"/>
        </w:rPr>
        <w:t>. The Chair proposed postponing detailed discussion until after the next break to allow delegations to consider the proposal.</w:t>
      </w:r>
    </w:p>
    <w:p w14:paraId="100DCB48" w14:textId="77777777" w:rsidR="00D05811" w:rsidRPr="00950D32" w:rsidRDefault="00D05811" w:rsidP="00D05811">
      <w:pPr>
        <w:pStyle w:val="p1"/>
        <w:rPr>
          <w:color w:val="1F497D" w:themeColor="text2"/>
        </w:rPr>
      </w:pPr>
      <w:r w:rsidRPr="00950D32">
        <w:rPr>
          <w:color w:val="1F497D" w:themeColor="text2"/>
        </w:rPr>
        <w:t>5.3.7.2.1.1 – SIM with Imminent Collision Risk</w:t>
      </w:r>
    </w:p>
    <w:p w14:paraId="0E987BD1" w14:textId="1F949637" w:rsidR="00406428" w:rsidRPr="00950D32" w:rsidRDefault="00406428" w:rsidP="00406428">
      <w:pPr>
        <w:spacing w:before="100" w:beforeAutospacing="1" w:after="100" w:afterAutospacing="1"/>
        <w:rPr>
          <w:color w:val="1F497D" w:themeColor="text2"/>
          <w:lang w:eastAsia="en-GB"/>
        </w:rPr>
      </w:pPr>
      <w:r w:rsidRPr="00950D32">
        <w:rPr>
          <w:color w:val="1F497D" w:themeColor="text2"/>
          <w:lang w:eastAsia="en-GB"/>
        </w:rPr>
        <w:t>The UK presented revised wording intended to address momentary glances before a SIM, proposing a short tolerance period before manoeuvre initiation. The UK explained this was designed to prevent systems being penalised for brief, harmless disengagement while maintaining a high threshold for emergency manoeuvres.</w:t>
      </w:r>
    </w:p>
    <w:p w14:paraId="5DC5A9BE" w14:textId="72E993EC" w:rsidR="00B5522B" w:rsidRPr="00950D32" w:rsidRDefault="00B5522B" w:rsidP="00B5522B">
      <w:pPr>
        <w:pStyle w:val="p1"/>
        <w:rPr>
          <w:color w:val="1F497D" w:themeColor="text2"/>
        </w:rPr>
      </w:pPr>
      <w:r w:rsidRPr="00950D32">
        <w:rPr>
          <w:color w:val="1F497D" w:themeColor="text2"/>
        </w:rPr>
        <w:t>The UK clarified that the proposed SIM allowance should apply only before the first disengagement warning, with Germany and OICA raising concerns about a gap where this manoeuvre cannot be initiated.</w:t>
      </w:r>
    </w:p>
    <w:p w14:paraId="5E9C34E7" w14:textId="47B8A37B" w:rsidR="00406428" w:rsidRPr="00950D32" w:rsidRDefault="00406428" w:rsidP="00406428">
      <w:pPr>
        <w:spacing w:before="100" w:beforeAutospacing="1" w:after="100" w:afterAutospacing="1"/>
        <w:rPr>
          <w:color w:val="1F497D" w:themeColor="text2"/>
          <w:lang w:eastAsia="en-GB"/>
        </w:rPr>
      </w:pPr>
      <w:r w:rsidRPr="00950D32">
        <w:rPr>
          <w:color w:val="1F497D" w:themeColor="text2"/>
          <w:lang w:eastAsia="en-GB"/>
        </w:rPr>
        <w:lastRenderedPageBreak/>
        <w:t xml:space="preserve">JRC </w:t>
      </w:r>
      <w:r w:rsidR="00B5522B" w:rsidRPr="00950D32">
        <w:rPr>
          <w:color w:val="1F497D" w:themeColor="text2"/>
          <w:lang w:eastAsia="en-GB"/>
        </w:rPr>
        <w:t>suggested</w:t>
      </w:r>
      <w:r w:rsidRPr="00950D32">
        <w:rPr>
          <w:color w:val="1F497D" w:themeColor="text2"/>
          <w:lang w:eastAsia="en-GB"/>
        </w:rPr>
        <w:t xml:space="preserve"> that braking should normally be prioritised unless it cannot avoid the collision, in which case lateral action may be justified. CLEPA noted that some scenarios, such as a broken-down vehicle blocking the lane, may require steering rather than braking. </w:t>
      </w:r>
    </w:p>
    <w:p w14:paraId="4ADFC7FF" w14:textId="12B03518" w:rsidR="00D05811" w:rsidRPr="00950D32" w:rsidRDefault="000D59E2" w:rsidP="00406428">
      <w:pPr>
        <w:spacing w:before="100" w:beforeAutospacing="1" w:after="100" w:afterAutospacing="1"/>
        <w:rPr>
          <w:color w:val="1F497D" w:themeColor="text2"/>
          <w:lang w:eastAsia="en-GB"/>
        </w:rPr>
      </w:pPr>
      <w:r w:rsidRPr="00950D32">
        <w:rPr>
          <w:color w:val="1F497D" w:themeColor="text2"/>
          <w:lang w:eastAsia="en-GB"/>
        </w:rPr>
        <w:t>The UK</w:t>
      </w:r>
      <w:r w:rsidR="00406428" w:rsidRPr="00950D32">
        <w:rPr>
          <w:color w:val="1F497D" w:themeColor="text2"/>
          <w:lang w:eastAsia="en-GB"/>
        </w:rPr>
        <w:t xml:space="preserve"> questioned the legal and practical implications of manoeuvres performed without driver engagement. Delegations acknowledged difficulty reaching consensu</w:t>
      </w:r>
      <w:r w:rsidR="00B5522B" w:rsidRPr="00950D32">
        <w:rPr>
          <w:color w:val="1F497D" w:themeColor="text2"/>
          <w:lang w:eastAsia="en-GB"/>
        </w:rPr>
        <w:t>s</w:t>
      </w:r>
      <w:r w:rsidR="00406428" w:rsidRPr="00950D32">
        <w:rPr>
          <w:color w:val="1F497D" w:themeColor="text2"/>
          <w:lang w:eastAsia="en-GB"/>
        </w:rPr>
        <w:t xml:space="preserve">. </w:t>
      </w:r>
      <w:r w:rsidR="00B5522B" w:rsidRPr="00950D32">
        <w:rPr>
          <w:color w:val="1F497D" w:themeColor="text2"/>
          <w:lang w:eastAsia="en-GB"/>
        </w:rPr>
        <w:t>Square brackets were inserted for further discussion</w:t>
      </w:r>
      <w:r w:rsidRPr="00950D32">
        <w:rPr>
          <w:color w:val="1F497D" w:themeColor="text2"/>
          <w:lang w:eastAsia="en-GB"/>
        </w:rPr>
        <w:t>.</w:t>
      </w:r>
    </w:p>
    <w:p w14:paraId="0C536A58" w14:textId="2BB4D32C" w:rsidR="00D05811" w:rsidRPr="00950D32" w:rsidRDefault="00D05811" w:rsidP="00D05811">
      <w:pPr>
        <w:pStyle w:val="p1"/>
        <w:rPr>
          <w:color w:val="1F497D" w:themeColor="text2"/>
        </w:rPr>
      </w:pPr>
      <w:r w:rsidRPr="00950D32">
        <w:rPr>
          <w:color w:val="1F497D" w:themeColor="text2"/>
        </w:rPr>
        <w:t xml:space="preserve">The Task Force confirmed that </w:t>
      </w:r>
      <w:r w:rsidR="00406428" w:rsidRPr="00950D32">
        <w:rPr>
          <w:color w:val="1F497D" w:themeColor="text2"/>
        </w:rPr>
        <w:t xml:space="preserve">5.3.7.2.4.2 </w:t>
      </w:r>
      <w:r w:rsidRPr="00950D32">
        <w:rPr>
          <w:color w:val="1F497D" w:themeColor="text2"/>
        </w:rPr>
        <w:t>would be deleted and marked green.</w:t>
      </w:r>
    </w:p>
    <w:p w14:paraId="772379BF" w14:textId="77777777" w:rsidR="00D05811" w:rsidRPr="00950D32" w:rsidRDefault="00D05811" w:rsidP="00D05811">
      <w:pPr>
        <w:pStyle w:val="p1"/>
        <w:rPr>
          <w:color w:val="1F497D" w:themeColor="text2"/>
        </w:rPr>
      </w:pPr>
      <w:r w:rsidRPr="00950D32">
        <w:rPr>
          <w:color w:val="1F497D" w:themeColor="text2"/>
        </w:rPr>
        <w:t>5.3.7.2.5.3 – System Response Requirements</w:t>
      </w:r>
    </w:p>
    <w:p w14:paraId="291C75D4" w14:textId="66315B01" w:rsidR="00D05811" w:rsidRPr="00950D32" w:rsidRDefault="00D05811" w:rsidP="00D05811">
      <w:pPr>
        <w:pStyle w:val="p1"/>
        <w:rPr>
          <w:color w:val="1F497D" w:themeColor="text2"/>
        </w:rPr>
      </w:pPr>
      <w:r w:rsidRPr="00950D32">
        <w:rPr>
          <w:color w:val="1F497D" w:themeColor="text2"/>
        </w:rPr>
        <w:t>Japan sought clarification on interpretation. CLEPA and the UK confirmed no change was needed, and the item was closed.</w:t>
      </w:r>
    </w:p>
    <w:p w14:paraId="43E10DA6" w14:textId="77777777" w:rsidR="00D05811" w:rsidRPr="00950D32" w:rsidRDefault="00D05811" w:rsidP="00D05811">
      <w:pPr>
        <w:pStyle w:val="p1"/>
        <w:rPr>
          <w:color w:val="1F497D" w:themeColor="text2"/>
        </w:rPr>
      </w:pPr>
      <w:r w:rsidRPr="00950D32">
        <w:rPr>
          <w:color w:val="1F497D" w:themeColor="text2"/>
        </w:rPr>
        <w:t>5.3.7.2.6.1 – Mapping of Test Requirements</w:t>
      </w:r>
    </w:p>
    <w:p w14:paraId="34A9BB65" w14:textId="1A22DFE4" w:rsidR="00D05811" w:rsidRPr="00950D32" w:rsidRDefault="00D05811" w:rsidP="00D05811">
      <w:pPr>
        <w:pStyle w:val="p1"/>
        <w:rPr>
          <w:color w:val="1F497D" w:themeColor="text2"/>
        </w:rPr>
      </w:pPr>
      <w:r w:rsidRPr="00950D32">
        <w:rPr>
          <w:color w:val="1F497D" w:themeColor="text2"/>
        </w:rPr>
        <w:t>The Secretariat confirmed that the provision would be addressed in Annex 4. Delegations agreed that a table in Annex 4 would clarify which test cases apply for off-highway SIM.</w:t>
      </w:r>
    </w:p>
    <w:p w14:paraId="72C5AF19" w14:textId="5493BCC0" w:rsidR="00D05811" w:rsidRPr="00950D32" w:rsidRDefault="00D05811" w:rsidP="00D05811">
      <w:pPr>
        <w:pStyle w:val="p1"/>
        <w:rPr>
          <w:color w:val="1F497D" w:themeColor="text2"/>
        </w:rPr>
      </w:pPr>
      <w:r w:rsidRPr="00950D32">
        <w:rPr>
          <w:color w:val="1F497D" w:themeColor="text2"/>
        </w:rPr>
        <w:t>5.5.4.1.9.4 – Visualisation</w:t>
      </w:r>
    </w:p>
    <w:p w14:paraId="578ADE82" w14:textId="458245BD" w:rsidR="005F1B80" w:rsidRPr="00950D32" w:rsidRDefault="005F1B80" w:rsidP="005F1B80">
      <w:pPr>
        <w:pStyle w:val="p1"/>
        <w:rPr>
          <w:color w:val="1F497D" w:themeColor="text2"/>
        </w:rPr>
      </w:pPr>
      <w:r w:rsidRPr="00950D32">
        <w:rPr>
          <w:color w:val="1F497D" w:themeColor="text2"/>
        </w:rPr>
        <w:t xml:space="preserve">The Task Force considered </w:t>
      </w:r>
      <w:r w:rsidR="0025311B" w:rsidRPr="00950D32">
        <w:rPr>
          <w:color w:val="1F497D" w:themeColor="text2"/>
        </w:rPr>
        <w:t>a new proposal from the JRC which</w:t>
      </w:r>
      <w:r w:rsidRPr="00950D32">
        <w:rPr>
          <w:color w:val="1F497D" w:themeColor="text2"/>
        </w:rPr>
        <w:t xml:space="preserve"> introduced new wording intended to provide clearer indication of the intended manoeuvre. OICA expressed concern with the term “additional,” and CLEPA suggested removing it. CLEPA also proposed using “disproportionate distraction,” while the UK preferred “unnecessary”. Germany questioned how the proposal differs from existing obligations in 5.5.4.1.1 and how it integrates with the wider HMI framework. </w:t>
      </w:r>
      <w:r w:rsidR="0025311B" w:rsidRPr="00950D32">
        <w:rPr>
          <w:color w:val="1F497D" w:themeColor="text2"/>
        </w:rPr>
        <w:t>OICA</w:t>
      </w:r>
      <w:r w:rsidRPr="00950D32">
        <w:rPr>
          <w:color w:val="1F497D" w:themeColor="text2"/>
        </w:rPr>
        <w:t xml:space="preserve"> noted that current requirements already oblige informing the driver of intended manoeuvres, whereas the </w:t>
      </w:r>
      <w:r w:rsidR="0025311B" w:rsidRPr="00950D32">
        <w:rPr>
          <w:color w:val="1F497D" w:themeColor="text2"/>
        </w:rPr>
        <w:t xml:space="preserve">new </w:t>
      </w:r>
      <w:r w:rsidRPr="00950D32">
        <w:rPr>
          <w:color w:val="1F497D" w:themeColor="text2"/>
        </w:rPr>
        <w:t>proposal could allow information such as a trajectory. The UK suggested referring to “a representation of the intended manoeuvre” to distinguish this from a basic notification. EME supported maintaining flexibility in how such information is displayed. The Secretariat noted that any visualisation may or may not be continuous depending on manufacturer design. The clause remained open.</w:t>
      </w:r>
    </w:p>
    <w:p w14:paraId="79FDB2F4" w14:textId="7A843238" w:rsidR="00D05811" w:rsidRPr="00950D32" w:rsidRDefault="00D05811" w:rsidP="00D05811">
      <w:pPr>
        <w:pStyle w:val="p1"/>
        <w:rPr>
          <w:color w:val="1F497D" w:themeColor="text2"/>
        </w:rPr>
      </w:pPr>
      <w:r w:rsidRPr="00950D32">
        <w:rPr>
          <w:color w:val="1F497D" w:themeColor="text2"/>
        </w:rPr>
        <w:t xml:space="preserve">5.5.4.2.6.5.7 – </w:t>
      </w:r>
      <w:r w:rsidR="005F1B80" w:rsidRPr="00950D32">
        <w:rPr>
          <w:color w:val="1F497D" w:themeColor="text2"/>
        </w:rPr>
        <w:t>Appropriate Position</w:t>
      </w:r>
    </w:p>
    <w:p w14:paraId="6F000B93" w14:textId="4F383BCB" w:rsidR="005F1B80" w:rsidRPr="00950D32" w:rsidRDefault="005F1B80" w:rsidP="005F1B80">
      <w:pPr>
        <w:pStyle w:val="p1"/>
        <w:rPr>
          <w:color w:val="1F497D" w:themeColor="text2"/>
        </w:rPr>
      </w:pPr>
      <w:r w:rsidRPr="00950D32">
        <w:rPr>
          <w:color w:val="1F497D" w:themeColor="text2"/>
        </w:rPr>
        <w:t xml:space="preserve">The Task Force reviewed the proposed posture requirement for wHOR. The UK explained that the intention is to discourage misuse by ensuring the driver is seated upright and able to operate the </w:t>
      </w:r>
      <w:r w:rsidR="00950D32" w:rsidRPr="00950D32">
        <w:rPr>
          <w:color w:val="1F497D" w:themeColor="text2"/>
        </w:rPr>
        <w:t>controls and</w:t>
      </w:r>
      <w:r w:rsidRPr="00950D32">
        <w:rPr>
          <w:color w:val="1F497D" w:themeColor="text2"/>
        </w:rPr>
        <w:t xml:space="preserve"> noted that the proposed timing functions as a behavioural deterrent. EME agreed with the overall objective but considered 30 seconds excessive and requested a shorter duration, proposing 5 seconds. Japan also viewed 30 seconds as too long and suggested that other engagement cues could also be valid. OICA and JRC noted that posture monitoring should not imply that both hands must be assessed. Germany raised concerns about consistency and potential over-regulation. Delegations agreed on the structure of the clause, but no consensus was reached on the timing. The duration remained in brackets for later resolution.</w:t>
      </w:r>
    </w:p>
    <w:p w14:paraId="5E4170D4" w14:textId="77777777" w:rsidR="00D05811" w:rsidRPr="00950D32" w:rsidRDefault="00D05811" w:rsidP="00D05811">
      <w:pPr>
        <w:pStyle w:val="p1"/>
        <w:rPr>
          <w:color w:val="1F497D" w:themeColor="text2"/>
        </w:rPr>
      </w:pPr>
      <w:r w:rsidRPr="00950D32">
        <w:rPr>
          <w:color w:val="1F497D" w:themeColor="text2"/>
        </w:rPr>
        <w:t>5.5.4.2.7 – Engagement Monitoring</w:t>
      </w:r>
    </w:p>
    <w:p w14:paraId="39443EE4" w14:textId="462C7F5E" w:rsidR="009560ED" w:rsidRPr="00950D32" w:rsidRDefault="009560ED" w:rsidP="009560ED">
      <w:pPr>
        <w:pStyle w:val="p1"/>
        <w:rPr>
          <w:color w:val="1F497D" w:themeColor="text2"/>
        </w:rPr>
      </w:pPr>
      <w:r w:rsidRPr="00950D32">
        <w:rPr>
          <w:color w:val="1F497D" w:themeColor="text2"/>
        </w:rPr>
        <w:lastRenderedPageBreak/>
        <w:t xml:space="preserve">The Task Force reviewed two alternative versions of the state-monitoring provision. CLEPA and JRC clarified inconsistencies between the table and the Word document, confirming that Option 2 reflected the intended drafting. Germany raised concerns about the scope and wording, including potential misunderstanding of when the provision applies. EME and OICA considered the proposal duplicative of existing engagement requirements and warned against implications that could suggest measuring cognitive engagement. The UK explained that the intent was to address long-duration inattentiveness but agreed the text needed further refinement. The </w:t>
      </w:r>
      <w:r w:rsidR="0057044C" w:rsidRPr="00950D32">
        <w:rPr>
          <w:color w:val="1F497D" w:themeColor="text2"/>
        </w:rPr>
        <w:t>UK asked to defer to the discussion and revisit with an alternative.</w:t>
      </w:r>
      <w:r w:rsidRPr="00950D32">
        <w:rPr>
          <w:color w:val="1F497D" w:themeColor="text2"/>
        </w:rPr>
        <w:t xml:space="preserve"> </w:t>
      </w:r>
    </w:p>
    <w:p w14:paraId="6CFA5B4C" w14:textId="587A8BE9" w:rsidR="00D05811" w:rsidRPr="00950D32" w:rsidRDefault="00D05811" w:rsidP="00D05811">
      <w:pPr>
        <w:pStyle w:val="p1"/>
        <w:rPr>
          <w:color w:val="1F497D" w:themeColor="text2"/>
        </w:rPr>
      </w:pPr>
      <w:r w:rsidRPr="00950D32">
        <w:rPr>
          <w:color w:val="1F497D" w:themeColor="text2"/>
        </w:rPr>
        <w:t xml:space="preserve">5.5.4.2.8.2 </w:t>
      </w:r>
    </w:p>
    <w:p w14:paraId="5AD0FA73" w14:textId="3BD433C4" w:rsidR="00D05811" w:rsidRPr="00950D32" w:rsidRDefault="00D05811" w:rsidP="00D05811">
      <w:pPr>
        <w:pStyle w:val="p1"/>
        <w:rPr>
          <w:color w:val="1F497D" w:themeColor="text2"/>
        </w:rPr>
      </w:pPr>
      <w:r w:rsidRPr="00950D32">
        <w:rPr>
          <w:color w:val="1F497D" w:themeColor="text2"/>
        </w:rPr>
        <w:t xml:space="preserve">EME expressed concern about adding new penalty triggers, noting the expanding number of requirements. JRC explained that disengagement during SIM represents a higher-risk scenario. Delegations discussed whether counting DCA events differently is feasible and whether the proposed </w:t>
      </w:r>
      <w:r w:rsidR="00CA31F9" w:rsidRPr="00950D32">
        <w:rPr>
          <w:color w:val="1F497D" w:themeColor="text2"/>
        </w:rPr>
        <w:t>requirements</w:t>
      </w:r>
      <w:r w:rsidRPr="00950D32">
        <w:rPr>
          <w:color w:val="1F497D" w:themeColor="text2"/>
        </w:rPr>
        <w:t xml:space="preserve"> were proportionate. Germany suggested exploring whether such occurrences could be reported via ISMR rather than driving new lockout conditions. No agreement was re</w:t>
      </w:r>
      <w:r w:rsidR="00CA31F9" w:rsidRPr="00950D32">
        <w:rPr>
          <w:color w:val="1F497D" w:themeColor="text2"/>
        </w:rPr>
        <w:t>ached and the point remained open.</w:t>
      </w:r>
    </w:p>
    <w:p w14:paraId="339F3D01" w14:textId="77777777" w:rsidR="00C7543F" w:rsidRPr="00950D32" w:rsidRDefault="00C7543F" w:rsidP="00C938F5">
      <w:pPr>
        <w:widowControl w:val="0"/>
        <w:tabs>
          <w:tab w:val="left" w:pos="993"/>
          <w:tab w:val="left" w:pos="2410"/>
        </w:tabs>
        <w:rPr>
          <w:color w:val="1F497D" w:themeColor="text2"/>
          <w:lang w:val="en-US"/>
        </w:rPr>
      </w:pPr>
    </w:p>
    <w:p w14:paraId="7727515B" w14:textId="7E4749E6" w:rsidR="00C938F5" w:rsidRPr="00950D32" w:rsidRDefault="00C938F5" w:rsidP="00C938F5">
      <w:pPr>
        <w:widowControl w:val="0"/>
        <w:tabs>
          <w:tab w:val="left" w:pos="993"/>
          <w:tab w:val="left" w:pos="2410"/>
        </w:tabs>
        <w:rPr>
          <w:b/>
          <w:bCs/>
          <w:color w:val="1F497D" w:themeColor="text2"/>
          <w:lang w:val="en-US"/>
        </w:rPr>
      </w:pPr>
      <w:r w:rsidRPr="00950D32">
        <w:rPr>
          <w:b/>
          <w:bCs/>
          <w:color w:val="1F497D" w:themeColor="text2"/>
          <w:lang w:val="en-US"/>
        </w:rPr>
        <w:t>Day Four</w:t>
      </w:r>
    </w:p>
    <w:p w14:paraId="184ADFCA" w14:textId="77777777" w:rsidR="0024266B" w:rsidRPr="00950D32" w:rsidRDefault="0024266B" w:rsidP="00C938F5">
      <w:pPr>
        <w:widowControl w:val="0"/>
        <w:tabs>
          <w:tab w:val="left" w:pos="993"/>
          <w:tab w:val="left" w:pos="2410"/>
        </w:tabs>
        <w:rPr>
          <w:b/>
          <w:bCs/>
          <w:color w:val="1F497D" w:themeColor="text2"/>
          <w:lang w:val="en-US"/>
        </w:rPr>
      </w:pPr>
    </w:p>
    <w:p w14:paraId="737ED97E" w14:textId="7015F675" w:rsidR="0024266B" w:rsidRPr="00950D32" w:rsidRDefault="0024266B" w:rsidP="0024266B">
      <w:pPr>
        <w:pStyle w:val="p1"/>
        <w:rPr>
          <w:color w:val="1F497D" w:themeColor="text2"/>
        </w:rPr>
      </w:pPr>
      <w:r w:rsidRPr="00950D32">
        <w:rPr>
          <w:color w:val="1F497D" w:themeColor="text2"/>
        </w:rPr>
        <w:t>The Task Force began reviewing unresolved items from earlier in the week, starting from the beginning of the consolidated text.</w:t>
      </w:r>
    </w:p>
    <w:p w14:paraId="646AAFB5" w14:textId="77777777" w:rsidR="0024266B" w:rsidRPr="00950D32" w:rsidRDefault="0024266B" w:rsidP="0024266B">
      <w:pPr>
        <w:pStyle w:val="p1"/>
        <w:rPr>
          <w:color w:val="1F497D" w:themeColor="text2"/>
        </w:rPr>
      </w:pPr>
      <w:r w:rsidRPr="00950D32">
        <w:rPr>
          <w:color w:val="1F497D" w:themeColor="text2"/>
        </w:rPr>
        <w:t>5.3.6.1.2 – Driver Reaction and Comprehension Time</w:t>
      </w:r>
    </w:p>
    <w:p w14:paraId="148CA9C6" w14:textId="1E32AA70" w:rsidR="0024266B" w:rsidRPr="00950D32" w:rsidRDefault="0024266B" w:rsidP="0024266B">
      <w:pPr>
        <w:pStyle w:val="p1"/>
        <w:rPr>
          <w:color w:val="1F497D" w:themeColor="text2"/>
        </w:rPr>
      </w:pPr>
      <w:r w:rsidRPr="00950D32">
        <w:rPr>
          <w:color w:val="1F497D" w:themeColor="text2"/>
        </w:rPr>
        <w:t>EME and JRC confirmed that this item remained open. EME noted it should be possible to close the clause before the end of the week.</w:t>
      </w:r>
    </w:p>
    <w:p w14:paraId="7359BAD0" w14:textId="77777777" w:rsidR="0024266B" w:rsidRPr="00950D32" w:rsidRDefault="0024266B" w:rsidP="0024266B">
      <w:pPr>
        <w:pStyle w:val="p1"/>
        <w:rPr>
          <w:color w:val="1F497D" w:themeColor="text2"/>
        </w:rPr>
      </w:pPr>
      <w:r w:rsidRPr="00950D32">
        <w:rPr>
          <w:color w:val="1F497D" w:themeColor="text2"/>
        </w:rPr>
        <w:t>5.3.7.2.1.1 – SIM When the Driver Is Disengaged</w:t>
      </w:r>
    </w:p>
    <w:p w14:paraId="1BB39887" w14:textId="329925DC" w:rsidR="0024266B" w:rsidRPr="00950D32" w:rsidRDefault="0024266B" w:rsidP="0024266B">
      <w:pPr>
        <w:pStyle w:val="p1"/>
        <w:rPr>
          <w:color w:val="1F497D" w:themeColor="text2"/>
        </w:rPr>
      </w:pPr>
      <w:r w:rsidRPr="00950D32">
        <w:rPr>
          <w:color w:val="1F497D" w:themeColor="text2"/>
        </w:rPr>
        <w:t>EME reiterated that requiring a DCA following an emergency SIM is excessive and explained that existing misuse strategies should already address such cases and that linking a mandatory DCA to revised penalty structures would be disproportionate. JRC emphasised that SIM should generally not occur without driver engagement, but if executed for imminent collision avoidance, the driver should receive an appropriate safety-critical alert. The item remained open.</w:t>
      </w:r>
    </w:p>
    <w:p w14:paraId="64D8047C" w14:textId="77777777" w:rsidR="0024266B" w:rsidRPr="00950D32" w:rsidRDefault="0024266B" w:rsidP="0024266B">
      <w:pPr>
        <w:pStyle w:val="p1"/>
        <w:rPr>
          <w:color w:val="1F497D" w:themeColor="text2"/>
        </w:rPr>
      </w:pPr>
      <w:r w:rsidRPr="00950D32">
        <w:rPr>
          <w:color w:val="1F497D" w:themeColor="text2"/>
        </w:rPr>
        <w:t>5.5.4.2.5.2 – Dashboard and Visual Disengagement</w:t>
      </w:r>
    </w:p>
    <w:p w14:paraId="472BF13A" w14:textId="1AFF46D4" w:rsidR="0024266B" w:rsidRPr="00950D32" w:rsidRDefault="0024266B" w:rsidP="0024266B">
      <w:pPr>
        <w:pStyle w:val="p1"/>
        <w:rPr>
          <w:color w:val="1F497D" w:themeColor="text2"/>
        </w:rPr>
      </w:pPr>
      <w:r w:rsidRPr="00950D32">
        <w:rPr>
          <w:color w:val="1F497D" w:themeColor="text2"/>
        </w:rPr>
        <w:t>OICA noted missing formatting highlighting new text and sought clarification on whether the clause refers only to manoeuvre-related information or more general driving-related information. EME stated that relevant information may extend beyond DCAS</w:t>
      </w:r>
      <w:r w:rsidR="008F0F6A" w:rsidRPr="00950D32">
        <w:rPr>
          <w:color w:val="1F497D" w:themeColor="text2"/>
        </w:rPr>
        <w:t xml:space="preserve">. </w:t>
      </w:r>
      <w:r w:rsidRPr="00950D32">
        <w:rPr>
          <w:color w:val="1F497D" w:themeColor="text2"/>
        </w:rPr>
        <w:t>The group also discussed implications for EOR timing, with Japan questioning whether dashboard viewing should affect EOR</w:t>
      </w:r>
      <w:r w:rsidR="008F0F6A" w:rsidRPr="00950D32">
        <w:rPr>
          <w:color w:val="1F497D" w:themeColor="text2"/>
        </w:rPr>
        <w:t>s</w:t>
      </w:r>
      <w:r w:rsidRPr="00950D32">
        <w:rPr>
          <w:color w:val="1F497D" w:themeColor="text2"/>
        </w:rPr>
        <w:t>. JRC clarified that a 3-second view of driving-relevant information does not suspend the 5-second EOR rule. The group agreed that the clause required further redrafting.</w:t>
      </w:r>
    </w:p>
    <w:p w14:paraId="7BD223F8" w14:textId="77777777" w:rsidR="0024266B" w:rsidRPr="00950D32" w:rsidRDefault="0024266B" w:rsidP="0024266B">
      <w:pPr>
        <w:pStyle w:val="p1"/>
        <w:rPr>
          <w:color w:val="1F497D" w:themeColor="text2"/>
        </w:rPr>
      </w:pPr>
      <w:r w:rsidRPr="00950D32">
        <w:rPr>
          <w:color w:val="1F497D" w:themeColor="text2"/>
        </w:rPr>
        <w:t>5.5.4.2.5.2.1 – Re-engagement</w:t>
      </w:r>
    </w:p>
    <w:p w14:paraId="678FF049" w14:textId="33C488AD" w:rsidR="0024266B" w:rsidRPr="00950D32" w:rsidRDefault="0024266B" w:rsidP="0024266B">
      <w:pPr>
        <w:pStyle w:val="p1"/>
        <w:rPr>
          <w:color w:val="1F497D" w:themeColor="text2"/>
        </w:rPr>
      </w:pPr>
      <w:r w:rsidRPr="00950D32">
        <w:rPr>
          <w:color w:val="1F497D" w:themeColor="text2"/>
        </w:rPr>
        <w:lastRenderedPageBreak/>
        <w:t>EME sought clarification to avoid misinterpretations in this clause. OICA emphasised that EOR should not be cleared simply by looking at the dashboard; re-engagement requires returning attention to the road. The Task Force agreed to revise the wording and focus on re-engagement.</w:t>
      </w:r>
    </w:p>
    <w:p w14:paraId="18020BAB" w14:textId="1E778AFE" w:rsidR="0024266B" w:rsidRPr="00950D32" w:rsidRDefault="0024266B" w:rsidP="0024266B">
      <w:pPr>
        <w:pStyle w:val="p1"/>
        <w:rPr>
          <w:color w:val="1F497D" w:themeColor="text2"/>
        </w:rPr>
      </w:pPr>
      <w:r w:rsidRPr="00950D32">
        <w:rPr>
          <w:color w:val="1F497D" w:themeColor="text2"/>
        </w:rPr>
        <w:t>5.5.4.2.6.1.5</w:t>
      </w:r>
    </w:p>
    <w:p w14:paraId="3D6597DA" w14:textId="5A6B5BBD" w:rsidR="0024266B" w:rsidRPr="00950D32" w:rsidRDefault="0024266B" w:rsidP="0024266B">
      <w:pPr>
        <w:pStyle w:val="p1"/>
        <w:rPr>
          <w:color w:val="1F497D" w:themeColor="text2"/>
        </w:rPr>
      </w:pPr>
      <w:r w:rsidRPr="00950D32">
        <w:rPr>
          <w:color w:val="1F497D" w:themeColor="text2"/>
        </w:rPr>
        <w:t>The earlier proposal was confirmed as unnecessary and confusing in scope. The clause was deleted.</w:t>
      </w:r>
    </w:p>
    <w:p w14:paraId="7D7F5E3C" w14:textId="77777777" w:rsidR="0024266B" w:rsidRPr="00950D32" w:rsidRDefault="0024266B" w:rsidP="0024266B">
      <w:pPr>
        <w:pStyle w:val="p1"/>
        <w:rPr>
          <w:color w:val="1F497D" w:themeColor="text2"/>
        </w:rPr>
      </w:pPr>
      <w:r w:rsidRPr="00950D32">
        <w:rPr>
          <w:color w:val="1F497D" w:themeColor="text2"/>
        </w:rPr>
        <w:t>5.5.4.2.6.5 – Highway-Like Roads</w:t>
      </w:r>
    </w:p>
    <w:p w14:paraId="65DAAB90" w14:textId="4F1483C2" w:rsidR="0024266B" w:rsidRPr="00950D32" w:rsidRDefault="0024266B" w:rsidP="0024266B">
      <w:pPr>
        <w:pStyle w:val="p1"/>
        <w:rPr>
          <w:color w:val="1F497D" w:themeColor="text2"/>
        </w:rPr>
      </w:pPr>
      <w:r w:rsidRPr="00950D32">
        <w:rPr>
          <w:color w:val="1F497D" w:themeColor="text2"/>
        </w:rPr>
        <w:t>The UK presented updated wording including a 500-metre minimum section length. OICA asked whether the distance should refer to upcoming boundaries. EME and OICA CLEPA opposed a fixed distance, explaining that it would require HD maps and would not be technology-neutral.</w:t>
      </w:r>
      <w:r w:rsidR="00C516F1" w:rsidRPr="00950D32">
        <w:rPr>
          <w:color w:val="1F497D" w:themeColor="text2"/>
        </w:rPr>
        <w:t xml:space="preserve"> The</w:t>
      </w:r>
      <w:r w:rsidRPr="00950D32">
        <w:rPr>
          <w:color w:val="1F497D" w:themeColor="text2"/>
        </w:rPr>
        <w:t xml:space="preserve"> UK emphasised that the buffer is needed to avoid frequent transitions between wHOR-permitted and non-permitted sections. Sweden noted that many 1+1 rural roads at 90 km/h would not meet the proposed criteria. OICA pointed out that existing 5-second boundary-transition requirements already address the UK’s concerns. EME reiterated that a fixed length requirement would exclude valid roads and would create compliance issues for systems without HD map capability. The group agreed on several basic elements: a general speed limit of at least 80 km/h, physical separation of traffic, and no marked crossings</w:t>
      </w:r>
      <w:r w:rsidR="00C516F1" w:rsidRPr="00950D32">
        <w:rPr>
          <w:color w:val="1F497D" w:themeColor="text2"/>
        </w:rPr>
        <w:t>.</w:t>
      </w:r>
      <w:r w:rsidRPr="00950D32">
        <w:rPr>
          <w:color w:val="1F497D" w:themeColor="text2"/>
        </w:rPr>
        <w:t xml:space="preserve"> </w:t>
      </w:r>
    </w:p>
    <w:p w14:paraId="10F49EEA" w14:textId="77777777" w:rsidR="0024266B" w:rsidRPr="00950D32" w:rsidRDefault="0024266B" w:rsidP="0024266B">
      <w:pPr>
        <w:pStyle w:val="p1"/>
        <w:rPr>
          <w:color w:val="1F497D" w:themeColor="text2"/>
        </w:rPr>
      </w:pPr>
      <w:r w:rsidRPr="00950D32">
        <w:rPr>
          <w:color w:val="1F497D" w:themeColor="text2"/>
        </w:rPr>
        <w:t>5.5.4.2.6.7 – Posture and Duration</w:t>
      </w:r>
    </w:p>
    <w:p w14:paraId="5C563395" w14:textId="694AEFF2" w:rsidR="0024266B" w:rsidRPr="00950D32" w:rsidRDefault="0024266B" w:rsidP="0024266B">
      <w:pPr>
        <w:pStyle w:val="p1"/>
        <w:rPr>
          <w:color w:val="1F497D" w:themeColor="text2"/>
        </w:rPr>
      </w:pPr>
      <w:r w:rsidRPr="00950D32">
        <w:rPr>
          <w:color w:val="1F497D" w:themeColor="text2"/>
        </w:rPr>
        <w:t>The group reconfirmed the structure of the clause. EME argued that 30 seconds before resuming wHOR is excessive, proposing a shorter interval. Several CPs stated that a longer duration acts as a necessary deterrent to misuse. No agreement was reached; the value remains bracketed.</w:t>
      </w:r>
    </w:p>
    <w:p w14:paraId="61DD65A9" w14:textId="1204900D" w:rsidR="0024266B" w:rsidRPr="00950D32" w:rsidRDefault="0024266B" w:rsidP="0024266B">
      <w:pPr>
        <w:pStyle w:val="p1"/>
        <w:rPr>
          <w:color w:val="1F497D" w:themeColor="text2"/>
        </w:rPr>
      </w:pPr>
      <w:r w:rsidRPr="00950D32">
        <w:rPr>
          <w:color w:val="1F497D" w:themeColor="text2"/>
        </w:rPr>
        <w:t>5.5.4.2.8.</w:t>
      </w:r>
      <w:r w:rsidR="00C516F1" w:rsidRPr="00950D32">
        <w:rPr>
          <w:color w:val="1F497D" w:themeColor="text2"/>
        </w:rPr>
        <w:t>2</w:t>
      </w:r>
      <w:r w:rsidRPr="00950D32">
        <w:rPr>
          <w:color w:val="1F497D" w:themeColor="text2"/>
        </w:rPr>
        <w:t xml:space="preserve"> – DCA and Penalties</w:t>
      </w:r>
    </w:p>
    <w:p w14:paraId="48803009" w14:textId="56D8593D" w:rsidR="0024266B" w:rsidRPr="00950D32" w:rsidRDefault="0024266B" w:rsidP="0024266B">
      <w:pPr>
        <w:pStyle w:val="p1"/>
        <w:rPr>
          <w:color w:val="1F497D" w:themeColor="text2"/>
        </w:rPr>
      </w:pPr>
      <w:r w:rsidRPr="00950D32">
        <w:rPr>
          <w:color w:val="1F497D" w:themeColor="text2"/>
        </w:rPr>
        <w:t xml:space="preserve">The Task Force discussed alignment between DCA issuance and penalty logic. JRC explained the need to cover circumstances in which a direct DCA may be issued without full escalation. EME maintained that overly prescriptive penalty triggers would limit alternative warning strategies. </w:t>
      </w:r>
      <w:r w:rsidR="00C516F1" w:rsidRPr="00950D32">
        <w:rPr>
          <w:color w:val="1F497D" w:themeColor="text2"/>
        </w:rPr>
        <w:t>The EC</w:t>
      </w:r>
      <w:r w:rsidRPr="00950D32">
        <w:rPr>
          <w:color w:val="1F497D" w:themeColor="text2"/>
        </w:rPr>
        <w:t xml:space="preserve"> proposed adjusting the number of allowable DCA-related events before system restriction applies. The provision remained open.</w:t>
      </w:r>
    </w:p>
    <w:p w14:paraId="78BFB563" w14:textId="77777777" w:rsidR="0024266B" w:rsidRPr="00950D32" w:rsidRDefault="0024266B" w:rsidP="0024266B">
      <w:pPr>
        <w:pStyle w:val="p1"/>
        <w:rPr>
          <w:color w:val="1F497D" w:themeColor="text2"/>
        </w:rPr>
      </w:pPr>
      <w:r w:rsidRPr="00950D32">
        <w:rPr>
          <w:color w:val="1F497D" w:themeColor="text2"/>
        </w:rPr>
        <w:t>6.2.4.1 – SIM at Lower Speeds</w:t>
      </w:r>
    </w:p>
    <w:p w14:paraId="78B8372D" w14:textId="236F57CB" w:rsidR="0024266B" w:rsidRPr="00950D32" w:rsidRDefault="0024266B" w:rsidP="0024266B">
      <w:pPr>
        <w:pStyle w:val="p1"/>
        <w:rPr>
          <w:color w:val="1F497D" w:themeColor="text2"/>
        </w:rPr>
      </w:pPr>
      <w:r w:rsidRPr="00950D32">
        <w:rPr>
          <w:color w:val="1F497D" w:themeColor="text2"/>
        </w:rPr>
        <w:t xml:space="preserve">CLEPA introduced a proposal allowing flexibility in lane-change </w:t>
      </w:r>
      <w:r w:rsidR="00C516F1" w:rsidRPr="00950D32">
        <w:rPr>
          <w:color w:val="1F497D" w:themeColor="text2"/>
        </w:rPr>
        <w:t>requirements</w:t>
      </w:r>
      <w:r w:rsidRPr="00950D32">
        <w:rPr>
          <w:color w:val="1F497D" w:themeColor="text2"/>
        </w:rPr>
        <w:t xml:space="preserve"> below a speed threshold. They explained that original parameters were based on high-speed motorway use and may not be appropriate for urban environments. Flexibility would be permitted subject to demonstrating controllability and safety to the TAA. Several CPs supported the approach, and the clause was accepted in principle pending wording refinement.</w:t>
      </w:r>
    </w:p>
    <w:p w14:paraId="4E29BCB2" w14:textId="77777777" w:rsidR="0024266B" w:rsidRPr="00950D32" w:rsidRDefault="0024266B" w:rsidP="0024266B">
      <w:pPr>
        <w:pStyle w:val="p1"/>
        <w:rPr>
          <w:color w:val="1F497D" w:themeColor="text2"/>
        </w:rPr>
      </w:pPr>
      <w:r w:rsidRPr="00950D32">
        <w:rPr>
          <w:color w:val="1F497D" w:themeColor="text2"/>
        </w:rPr>
        <w:t>6.4 – Drive-off from Standstill</w:t>
      </w:r>
    </w:p>
    <w:p w14:paraId="356EDCAF" w14:textId="6A9C8EE8" w:rsidR="00FE3F58" w:rsidRPr="00950D32" w:rsidRDefault="00FE3F58" w:rsidP="00FE3F58">
      <w:pPr>
        <w:pStyle w:val="p1"/>
        <w:rPr>
          <w:color w:val="1F497D" w:themeColor="text2"/>
        </w:rPr>
      </w:pPr>
      <w:r w:rsidRPr="00950D32">
        <w:rPr>
          <w:color w:val="1F497D" w:themeColor="text2"/>
        </w:rPr>
        <w:lastRenderedPageBreak/>
        <w:t>The Task Force reviewed the proposal from EME and the UK</w:t>
      </w:r>
      <w:r w:rsidR="008200F1" w:rsidRPr="00950D32">
        <w:rPr>
          <w:color w:val="1F497D" w:themeColor="text2"/>
        </w:rPr>
        <w:t>, based on SDG / OICA CLEPA proposal,</w:t>
      </w:r>
      <w:r w:rsidRPr="00950D32">
        <w:rPr>
          <w:color w:val="1F497D" w:themeColor="text2"/>
        </w:rPr>
        <w:t xml:space="preserve"> concerning drive-off from standstill for systems capable of SIM in urban environments.</w:t>
      </w:r>
    </w:p>
    <w:p w14:paraId="31BA83AB" w14:textId="12652247" w:rsidR="00FE3F58" w:rsidRPr="00950D32" w:rsidRDefault="00FE3F58" w:rsidP="00FE3F58">
      <w:pPr>
        <w:pStyle w:val="p1"/>
        <w:rPr>
          <w:color w:val="1F497D" w:themeColor="text2"/>
        </w:rPr>
      </w:pPr>
      <w:r w:rsidRPr="00950D32">
        <w:rPr>
          <w:color w:val="1F497D" w:themeColor="text2"/>
        </w:rPr>
        <w:t>CLEPA recalled that the original industry concern was that including drive-off within the definition of a manoeuvre would unintentionally trigger full manoeuvre requirements such as HMI obligations. They therefore proposed a separate section under 6.4, applying only to systems capable of SIM in non-highway environments, to avoid expanding the manoeuvre definition while still capturing necessary safety considerations.</w:t>
      </w:r>
    </w:p>
    <w:p w14:paraId="28F342EC" w14:textId="0187D354" w:rsidR="00FE3F58" w:rsidRPr="00950D32" w:rsidRDefault="00FE3F58" w:rsidP="00FE3F58">
      <w:pPr>
        <w:pStyle w:val="p1"/>
        <w:rPr>
          <w:color w:val="1F497D" w:themeColor="text2"/>
        </w:rPr>
      </w:pPr>
      <w:r w:rsidRPr="00950D32">
        <w:rPr>
          <w:color w:val="1F497D" w:themeColor="text2"/>
        </w:rPr>
        <w:t>Germany asked why the proposal was not integrated directly into the manoeuvre section. EME supported keeping it separate and proposed simplifying the requirement to focus on</w:t>
      </w:r>
      <w:r w:rsidR="008200F1" w:rsidRPr="00950D32">
        <w:rPr>
          <w:color w:val="1F497D" w:themeColor="text2"/>
        </w:rPr>
        <w:t xml:space="preserve"> safety aspect of the proposed requirement, that is </w:t>
      </w:r>
      <w:r w:rsidRPr="00950D32">
        <w:rPr>
          <w:color w:val="1F497D" w:themeColor="text2"/>
        </w:rPr>
        <w:t>collision risk. The UK preferred to treat drive-off as a manoeuvre so that the driver is notified before the vehicle moves, noting this had also been raised by ETSC.</w:t>
      </w:r>
    </w:p>
    <w:p w14:paraId="1C005A53" w14:textId="3815F6BC" w:rsidR="00FE3F58" w:rsidRPr="00950D32" w:rsidRDefault="00FE3F58" w:rsidP="00FE3F58">
      <w:pPr>
        <w:pStyle w:val="p1"/>
        <w:rPr>
          <w:color w:val="1F497D" w:themeColor="text2"/>
        </w:rPr>
      </w:pPr>
      <w:r w:rsidRPr="00950D32">
        <w:rPr>
          <w:color w:val="1F497D" w:themeColor="text2"/>
        </w:rPr>
        <w:t>CLEPA agreed that driver awareness is important but argued this can be ensured without classifying drive-off as a manoeuvre. They noted that some systems only drive off after explicit driver confirmation, which is why the heading limits applicability to systems capable of SIM in urban environments rather than general ACC behaviour.</w:t>
      </w:r>
    </w:p>
    <w:p w14:paraId="1C892AC8" w14:textId="24A15DD4" w:rsidR="00FE080F" w:rsidRPr="00950D32" w:rsidRDefault="008200F1" w:rsidP="008200F1">
      <w:pPr>
        <w:rPr>
          <w:color w:val="1F497D" w:themeColor="text2"/>
          <w:lang w:eastAsia="en-GB"/>
        </w:rPr>
      </w:pPr>
      <w:r w:rsidRPr="00950D32">
        <w:rPr>
          <w:color w:val="1F497D" w:themeColor="text2"/>
        </w:rPr>
        <w:t>Following EC / JRC comment regarding the requirement, t</w:t>
      </w:r>
      <w:r w:rsidR="00FE080F" w:rsidRPr="00950D32">
        <w:rPr>
          <w:color w:val="1F497D" w:themeColor="text2"/>
        </w:rPr>
        <w:t xml:space="preserve">he proposal was amended to include only A and B with both being required. </w:t>
      </w:r>
      <w:r w:rsidRPr="00950D32">
        <w:rPr>
          <w:color w:val="1F497D" w:themeColor="text2"/>
          <w:lang w:eastAsia="en-GB"/>
        </w:rPr>
        <w:t>EME highlighted the scope of change, noting no tolerance applicability, as in the commented proposal,</w:t>
      </w:r>
      <w:r w:rsidR="00950D32">
        <w:rPr>
          <w:color w:val="1F497D" w:themeColor="text2"/>
          <w:lang w:eastAsia="en-GB"/>
        </w:rPr>
        <w:t xml:space="preserve"> i.e.</w:t>
      </w:r>
      <w:r w:rsidRPr="00950D32">
        <w:rPr>
          <w:color w:val="1F497D" w:themeColor="text2"/>
          <w:lang w:eastAsia="en-GB"/>
        </w:rPr>
        <w:t xml:space="preserve"> ‘5 </w:t>
      </w:r>
      <w:proofErr w:type="gramStart"/>
      <w:r w:rsidRPr="00950D32">
        <w:rPr>
          <w:color w:val="1F497D" w:themeColor="text2"/>
          <w:lang w:eastAsia="en-GB"/>
        </w:rPr>
        <w:t>seconds’</w:t>
      </w:r>
      <w:proofErr w:type="gramEnd"/>
      <w:r w:rsidRPr="00950D32">
        <w:rPr>
          <w:color w:val="1F497D" w:themeColor="text2"/>
          <w:lang w:eastAsia="en-GB"/>
        </w:rPr>
        <w:t>.</w:t>
      </w:r>
    </w:p>
    <w:p w14:paraId="2EC72164" w14:textId="704D2F0C" w:rsidR="00FE3F58" w:rsidRPr="00950D32" w:rsidRDefault="00FE3F58" w:rsidP="00FE3F58">
      <w:pPr>
        <w:pStyle w:val="p1"/>
        <w:rPr>
          <w:color w:val="1F497D" w:themeColor="text2"/>
        </w:rPr>
      </w:pPr>
      <w:r w:rsidRPr="00950D32">
        <w:rPr>
          <w:color w:val="1F497D" w:themeColor="text2"/>
        </w:rPr>
        <w:t>Germany asked whether the requirement would apply only when a leading vehicle is present. The UK</w:t>
      </w:r>
      <w:r w:rsidR="00FE080F" w:rsidRPr="00950D32">
        <w:rPr>
          <w:color w:val="1F497D" w:themeColor="text2"/>
        </w:rPr>
        <w:t>, EC</w:t>
      </w:r>
      <w:r w:rsidRPr="00950D32">
        <w:rPr>
          <w:color w:val="1F497D" w:themeColor="text2"/>
        </w:rPr>
        <w:t xml:space="preserve"> and CLEPA agreed to remove this condition to avoid creating unintended limitations.</w:t>
      </w:r>
    </w:p>
    <w:p w14:paraId="6DCA626B" w14:textId="14F3246D" w:rsidR="00FE3F58" w:rsidRPr="00950D32" w:rsidRDefault="00FE3F58" w:rsidP="00FE3F58">
      <w:pPr>
        <w:pStyle w:val="p1"/>
        <w:rPr>
          <w:color w:val="1F497D" w:themeColor="text2"/>
        </w:rPr>
      </w:pPr>
      <w:r w:rsidRPr="00950D32">
        <w:rPr>
          <w:color w:val="1F497D" w:themeColor="text2"/>
        </w:rPr>
        <w:t>Clarification was requested on the scope: EME questioned whether a DCAS reaching standstill in any scenario would automatically fall under this clause. CLEPA reiterated that the heading restricts the requirement to systems capable of performing SIM in urban environments, and therefore it does not apply to 00</w:t>
      </w:r>
      <w:r w:rsidR="008200F1" w:rsidRPr="00950D32">
        <w:rPr>
          <w:color w:val="1F497D" w:themeColor="text2"/>
        </w:rPr>
        <w:t xml:space="preserve"> and 01 </w:t>
      </w:r>
      <w:r w:rsidRPr="00950D32">
        <w:rPr>
          <w:color w:val="1F497D" w:themeColor="text2"/>
        </w:rPr>
        <w:t>series systems or to manual drive-off behaviour.</w:t>
      </w:r>
    </w:p>
    <w:p w14:paraId="1404C388" w14:textId="68ED37B1" w:rsidR="00FE3F58" w:rsidRPr="00950D32" w:rsidRDefault="00FE3F58" w:rsidP="00FE3F58">
      <w:pPr>
        <w:pStyle w:val="p1"/>
        <w:rPr>
          <w:color w:val="1F497D" w:themeColor="text2"/>
        </w:rPr>
      </w:pPr>
      <w:r w:rsidRPr="00950D32">
        <w:rPr>
          <w:color w:val="1F497D" w:themeColor="text2"/>
        </w:rPr>
        <w:t xml:space="preserve">The UK maintained that the measure would support road safety by ensuring the driver is aware of movement initiation. </w:t>
      </w:r>
      <w:r w:rsidR="00F70C80" w:rsidRPr="00950D32">
        <w:rPr>
          <w:color w:val="1F497D" w:themeColor="text2"/>
        </w:rPr>
        <w:t>EME</w:t>
      </w:r>
      <w:r w:rsidRPr="00950D32">
        <w:rPr>
          <w:color w:val="1F497D" w:themeColor="text2"/>
        </w:rPr>
        <w:t xml:space="preserve"> emphasised</w:t>
      </w:r>
      <w:r w:rsidR="008200F1" w:rsidRPr="00950D32">
        <w:rPr>
          <w:color w:val="1F497D" w:themeColor="text2"/>
        </w:rPr>
        <w:t xml:space="preserve"> that proposal regulates only non-highway SIM capable systems, while intended scenario is the same for 00 and 01 series. EME further requested to note</w:t>
      </w:r>
      <w:r w:rsidRPr="00950D32">
        <w:rPr>
          <w:color w:val="1F497D" w:themeColor="text2"/>
        </w:rPr>
        <w:t xml:space="preserve"> the need for </w:t>
      </w:r>
      <w:r w:rsidR="008200F1" w:rsidRPr="00950D32">
        <w:rPr>
          <w:color w:val="1F497D" w:themeColor="text2"/>
        </w:rPr>
        <w:t>this new proposal</w:t>
      </w:r>
      <w:r w:rsidRPr="00950D32">
        <w:rPr>
          <w:color w:val="1F497D" w:themeColor="text2"/>
        </w:rPr>
        <w:t xml:space="preserve"> and rationale to be recorded clearly so that the provision is interpreted correctly. The Chair concluded the discussion by retaining all relevant text in brackets, noting that new proposals could be submitted if further revisions were required.</w:t>
      </w:r>
    </w:p>
    <w:p w14:paraId="79F695C2" w14:textId="77777777" w:rsidR="0024266B" w:rsidRPr="00950D32" w:rsidRDefault="0024266B" w:rsidP="0024266B">
      <w:pPr>
        <w:pStyle w:val="p1"/>
        <w:rPr>
          <w:color w:val="1F497D" w:themeColor="text2"/>
        </w:rPr>
      </w:pPr>
      <w:r w:rsidRPr="00950D32">
        <w:rPr>
          <w:color w:val="1F497D" w:themeColor="text2"/>
        </w:rPr>
        <w:t>6.2.9.1.1 – Examples of Lane-Change Situations</w:t>
      </w:r>
    </w:p>
    <w:p w14:paraId="307E19FB" w14:textId="6C7C33F4" w:rsidR="0024266B" w:rsidRPr="00950D32" w:rsidRDefault="0024266B" w:rsidP="0024266B">
      <w:pPr>
        <w:pStyle w:val="p1"/>
        <w:rPr>
          <w:color w:val="1F497D" w:themeColor="text2"/>
        </w:rPr>
      </w:pPr>
      <w:r w:rsidRPr="00950D32">
        <w:rPr>
          <w:color w:val="1F497D" w:themeColor="text2"/>
        </w:rPr>
        <w:t>CLEPA proposed adding examples illustrating lane-change availability. CPs considered these examples not well aligned with the operative text. The proposal was withdrawn and no changes were made.</w:t>
      </w:r>
    </w:p>
    <w:p w14:paraId="70B78068" w14:textId="77777777" w:rsidR="0024266B" w:rsidRPr="00950D32" w:rsidRDefault="0024266B" w:rsidP="0024266B">
      <w:pPr>
        <w:pStyle w:val="p1"/>
        <w:rPr>
          <w:color w:val="1F497D" w:themeColor="text2"/>
        </w:rPr>
      </w:pPr>
      <w:r w:rsidRPr="00950D32">
        <w:rPr>
          <w:color w:val="1F497D" w:themeColor="text2"/>
        </w:rPr>
        <w:t>7.2.3.1 – Public Information</w:t>
      </w:r>
    </w:p>
    <w:p w14:paraId="2A29CE9C" w14:textId="7D9B0C4F" w:rsidR="0024266B" w:rsidRPr="00950D32" w:rsidRDefault="0024266B" w:rsidP="0024266B">
      <w:pPr>
        <w:pStyle w:val="p1"/>
        <w:rPr>
          <w:color w:val="1F497D" w:themeColor="text2"/>
        </w:rPr>
      </w:pPr>
      <w:r w:rsidRPr="00950D32">
        <w:rPr>
          <w:color w:val="1F497D" w:themeColor="text2"/>
        </w:rPr>
        <w:lastRenderedPageBreak/>
        <w:t xml:space="preserve">The Task Force accepted the current wording, noting that OICA and </w:t>
      </w:r>
      <w:r w:rsidR="00FE080F" w:rsidRPr="00950D32">
        <w:rPr>
          <w:color w:val="1F497D" w:themeColor="text2"/>
        </w:rPr>
        <w:t>Germany</w:t>
      </w:r>
      <w:r w:rsidRPr="00950D32">
        <w:rPr>
          <w:color w:val="1F497D" w:themeColor="text2"/>
        </w:rPr>
        <w:t xml:space="preserve"> may revisit the topic</w:t>
      </w:r>
      <w:r w:rsidR="00FE080F" w:rsidRPr="00950D32">
        <w:rPr>
          <w:color w:val="1F497D" w:themeColor="text2"/>
        </w:rPr>
        <w:t>. The Netherlands noted that document access requests may be made and Germany clarified the intention is the information is not publicly available e.g. on a website.</w:t>
      </w:r>
    </w:p>
    <w:p w14:paraId="20E7F829" w14:textId="77777777" w:rsidR="0024266B" w:rsidRPr="00950D32" w:rsidRDefault="0024266B" w:rsidP="0024266B">
      <w:pPr>
        <w:pStyle w:val="p1"/>
        <w:rPr>
          <w:color w:val="1F497D" w:themeColor="text2"/>
        </w:rPr>
      </w:pPr>
      <w:r w:rsidRPr="00950D32">
        <w:rPr>
          <w:color w:val="1F497D" w:themeColor="text2"/>
        </w:rPr>
        <w:t>10.6 – Software Updates</w:t>
      </w:r>
    </w:p>
    <w:p w14:paraId="6192CC43" w14:textId="0960D055" w:rsidR="0024266B" w:rsidRPr="00950D32" w:rsidRDefault="0024266B" w:rsidP="0024266B">
      <w:pPr>
        <w:pStyle w:val="p1"/>
        <w:rPr>
          <w:color w:val="1F497D" w:themeColor="text2"/>
        </w:rPr>
      </w:pPr>
      <w:r w:rsidRPr="00950D32">
        <w:rPr>
          <w:color w:val="1F497D" w:themeColor="text2"/>
        </w:rPr>
        <w:t xml:space="preserve">The UK proposed adding a requirement that safety-related software updates be applied in service when issues are identified. Several delegations noted that similar processes already exist under UN R156 and </w:t>
      </w:r>
      <w:r w:rsidR="003B0217" w:rsidRPr="00950D32">
        <w:rPr>
          <w:color w:val="1F497D" w:themeColor="text2"/>
        </w:rPr>
        <w:t xml:space="preserve">the </w:t>
      </w:r>
      <w:r w:rsidRPr="00950D32">
        <w:rPr>
          <w:color w:val="1F497D" w:themeColor="text2"/>
        </w:rPr>
        <w:t xml:space="preserve">SMS, and expressed concern that this clause could imply perpetual obligations to update systems to evolving standards. </w:t>
      </w:r>
      <w:r w:rsidR="003B0217" w:rsidRPr="00950D32">
        <w:rPr>
          <w:color w:val="1F497D" w:themeColor="text2"/>
        </w:rPr>
        <w:t xml:space="preserve">The </w:t>
      </w:r>
      <w:r w:rsidRPr="00950D32">
        <w:rPr>
          <w:color w:val="1F497D" w:themeColor="text2"/>
        </w:rPr>
        <w:t>UK acknowledged the concerns and agreed that further consideration was needed. The item remained open.</w:t>
      </w:r>
    </w:p>
    <w:p w14:paraId="57B31442" w14:textId="77777777" w:rsidR="0024266B" w:rsidRPr="00950D32" w:rsidRDefault="0024266B" w:rsidP="0024266B">
      <w:pPr>
        <w:pStyle w:val="p1"/>
        <w:rPr>
          <w:color w:val="1F497D" w:themeColor="text2"/>
        </w:rPr>
      </w:pPr>
      <w:r w:rsidRPr="00950D32">
        <w:rPr>
          <w:color w:val="1F497D" w:themeColor="text2"/>
        </w:rPr>
        <w:t>16.2 – Transitional Provisions</w:t>
      </w:r>
    </w:p>
    <w:p w14:paraId="528A81B0" w14:textId="54DF0862" w:rsidR="0024266B" w:rsidRPr="00950D32" w:rsidRDefault="003B0217" w:rsidP="0024266B">
      <w:pPr>
        <w:pStyle w:val="p1"/>
        <w:rPr>
          <w:color w:val="1F497D" w:themeColor="text2"/>
        </w:rPr>
      </w:pPr>
      <w:r w:rsidRPr="00950D32">
        <w:rPr>
          <w:color w:val="1F497D" w:themeColor="text2"/>
        </w:rPr>
        <w:t>Germany</w:t>
      </w:r>
      <w:r w:rsidR="0024266B" w:rsidRPr="00950D32">
        <w:rPr>
          <w:color w:val="1F497D" w:themeColor="text2"/>
        </w:rPr>
        <w:t xml:space="preserve"> suggested revisiting t</w:t>
      </w:r>
      <w:r w:rsidRPr="00950D32">
        <w:rPr>
          <w:color w:val="1F497D" w:themeColor="text2"/>
        </w:rPr>
        <w:t xml:space="preserve">he dates at GRVA. </w:t>
      </w:r>
      <w:r w:rsidR="0024266B" w:rsidRPr="00950D32">
        <w:rPr>
          <w:color w:val="1F497D" w:themeColor="text2"/>
        </w:rPr>
        <w:t xml:space="preserve">once the full Phase 3 package is known. </w:t>
      </w:r>
      <w:r w:rsidRPr="00950D32">
        <w:rPr>
          <w:color w:val="1F497D" w:themeColor="text2"/>
        </w:rPr>
        <w:t xml:space="preserve">The group </w:t>
      </w:r>
      <w:r w:rsidR="0024266B" w:rsidRPr="00950D32">
        <w:rPr>
          <w:color w:val="1F497D" w:themeColor="text2"/>
        </w:rPr>
        <w:t>agreed to keep 16.2.5 in brackets pending finalisation of all amendments.</w:t>
      </w:r>
    </w:p>
    <w:p w14:paraId="46129622" w14:textId="4DD8067D" w:rsidR="0024266B" w:rsidRPr="00950D32" w:rsidRDefault="0024266B" w:rsidP="0024266B">
      <w:pPr>
        <w:pStyle w:val="p1"/>
        <w:rPr>
          <w:color w:val="1F497D" w:themeColor="text2"/>
        </w:rPr>
      </w:pPr>
      <w:r w:rsidRPr="00950D32">
        <w:rPr>
          <w:color w:val="1F497D" w:themeColor="text2"/>
        </w:rPr>
        <w:t>Annex 3 – Appendix 2</w:t>
      </w:r>
      <w:r w:rsidR="000237E6" w:rsidRPr="00950D32">
        <w:rPr>
          <w:color w:val="1F497D" w:themeColor="text2"/>
        </w:rPr>
        <w:t xml:space="preserve"> 5. and sub</w:t>
      </w:r>
    </w:p>
    <w:p w14:paraId="4103432C" w14:textId="396DCE21" w:rsidR="0024266B" w:rsidRPr="00950D32" w:rsidRDefault="0024266B" w:rsidP="0024266B">
      <w:pPr>
        <w:pStyle w:val="p1"/>
        <w:rPr>
          <w:color w:val="1F497D" w:themeColor="text2"/>
        </w:rPr>
      </w:pPr>
      <w:r w:rsidRPr="00950D32">
        <w:rPr>
          <w:color w:val="1F497D" w:themeColor="text2"/>
        </w:rPr>
        <w:t xml:space="preserve">EME presented several adjustments to improve clarity and remove subjective terminology. JRC had no concerns. </w:t>
      </w:r>
      <w:r w:rsidR="000237E6" w:rsidRPr="00950D32">
        <w:rPr>
          <w:color w:val="1F497D" w:themeColor="text2"/>
        </w:rPr>
        <w:t>The UK</w:t>
      </w:r>
      <w:r w:rsidRPr="00950D32">
        <w:rPr>
          <w:color w:val="1F497D" w:themeColor="text2"/>
        </w:rPr>
        <w:t xml:space="preserve"> supported retaining 5.2.2 despite partial repetition, noting its relevance to controllability. The Task Force accepted most of EME’s proposed amendments. </w:t>
      </w:r>
    </w:p>
    <w:p w14:paraId="3534CA8C" w14:textId="77777777" w:rsidR="0024266B" w:rsidRPr="00950D32" w:rsidRDefault="0024266B" w:rsidP="0024266B">
      <w:pPr>
        <w:pStyle w:val="p1"/>
        <w:rPr>
          <w:color w:val="1F497D" w:themeColor="text2"/>
        </w:rPr>
      </w:pPr>
      <w:r w:rsidRPr="00950D32">
        <w:rPr>
          <w:color w:val="1F497D" w:themeColor="text2"/>
        </w:rPr>
        <w:t>Annex 4 – Non-Deterministic Behaviour and Test Variations</w:t>
      </w:r>
    </w:p>
    <w:p w14:paraId="714A8506" w14:textId="71D8714F" w:rsidR="0024266B" w:rsidRPr="00950D32" w:rsidRDefault="0024266B" w:rsidP="0024266B">
      <w:pPr>
        <w:pStyle w:val="p1"/>
        <w:rPr>
          <w:color w:val="1F497D" w:themeColor="text2"/>
        </w:rPr>
      </w:pPr>
      <w:r w:rsidRPr="00950D32">
        <w:rPr>
          <w:color w:val="1F497D" w:themeColor="text2"/>
        </w:rPr>
        <w:t>EME explained that some systems cannot reproduce identical behaviour on every run even though they meet the test objective. They proposed adding a high-level clause acknowledging that minor run-to-run variation</w:t>
      </w:r>
      <w:r w:rsidR="000237E6" w:rsidRPr="00950D32">
        <w:rPr>
          <w:color w:val="1F497D" w:themeColor="text2"/>
        </w:rPr>
        <w:t>, or differences to positioning of the vehicle under test</w:t>
      </w:r>
      <w:r w:rsidRPr="00950D32">
        <w:rPr>
          <w:color w:val="1F497D" w:themeColor="text2"/>
        </w:rPr>
        <w:t xml:space="preserve"> is acceptable where the system still meets the intent of the test. JRC supported the need for clarity but noted that the concept must be placed carefully, given test structure and existing allowances in extended testing.</w:t>
      </w:r>
      <w:r w:rsidR="000237E6" w:rsidRPr="00950D32">
        <w:rPr>
          <w:color w:val="1F497D" w:themeColor="text2"/>
        </w:rPr>
        <w:t xml:space="preserve"> Germany </w:t>
      </w:r>
      <w:r w:rsidRPr="00950D32">
        <w:rPr>
          <w:color w:val="1F497D" w:themeColor="text2"/>
        </w:rPr>
        <w:t xml:space="preserve">stressed that tests must still be performed and documented, and that adaptations should be agreed with the TAA to show the overall goal is met without creating a general exemption. The group </w:t>
      </w:r>
      <w:r w:rsidR="000237E6" w:rsidRPr="00950D32">
        <w:rPr>
          <w:color w:val="1F497D" w:themeColor="text2"/>
        </w:rPr>
        <w:t>recognised the issue and agreed</w:t>
      </w:r>
      <w:r w:rsidRPr="00950D32">
        <w:rPr>
          <w:color w:val="1F497D" w:themeColor="text2"/>
        </w:rPr>
        <w:t xml:space="preserve"> that further drafting was needed and will continue discussions on placement and wording.</w:t>
      </w:r>
    </w:p>
    <w:p w14:paraId="37E8C24C" w14:textId="77777777" w:rsidR="0024266B" w:rsidRPr="00950D32" w:rsidRDefault="0024266B" w:rsidP="0024266B">
      <w:pPr>
        <w:pStyle w:val="p1"/>
        <w:rPr>
          <w:color w:val="1F497D" w:themeColor="text2"/>
        </w:rPr>
      </w:pPr>
      <w:r w:rsidRPr="00950D32">
        <w:rPr>
          <w:color w:val="1F497D" w:themeColor="text2"/>
        </w:rPr>
        <w:t>Annex 4 – 4.2.5.2.17</w:t>
      </w:r>
    </w:p>
    <w:p w14:paraId="030675B8" w14:textId="5433DC9A" w:rsidR="0024266B" w:rsidRPr="00950D32" w:rsidRDefault="0024266B" w:rsidP="002D3FDE">
      <w:pPr>
        <w:pStyle w:val="p1"/>
        <w:rPr>
          <w:color w:val="1F497D" w:themeColor="text2"/>
        </w:rPr>
      </w:pPr>
      <w:r w:rsidRPr="00950D32">
        <w:rPr>
          <w:color w:val="1F497D" w:themeColor="text2"/>
        </w:rPr>
        <w:t xml:space="preserve">JRC confirmed that multi-target references should be removed. They explained that the scenario aims to reflect more capable system. There was further discussion regarding impassable object definitions, with uncertainty expressed by CLEPA over the term’s </w:t>
      </w:r>
      <w:r w:rsidR="002D3FDE" w:rsidRPr="00950D32">
        <w:rPr>
          <w:color w:val="1F497D" w:themeColor="text2"/>
        </w:rPr>
        <w:t>use</w:t>
      </w:r>
      <w:r w:rsidRPr="00950D32">
        <w:rPr>
          <w:color w:val="1F497D" w:themeColor="text2"/>
        </w:rPr>
        <w:t>. EME then proposed removing the 0.5-metre value, which will be revisited. The paragraph was marked open.</w:t>
      </w:r>
    </w:p>
    <w:p w14:paraId="29DEB770" w14:textId="77777777" w:rsidR="0024266B" w:rsidRPr="00950D32" w:rsidRDefault="0024266B" w:rsidP="0024266B">
      <w:pPr>
        <w:pStyle w:val="p1"/>
        <w:rPr>
          <w:color w:val="1F497D" w:themeColor="text2"/>
        </w:rPr>
      </w:pPr>
      <w:r w:rsidRPr="00950D32">
        <w:rPr>
          <w:color w:val="1F497D" w:themeColor="text2"/>
        </w:rPr>
        <w:t>Annex 4 – 4.2.5.2.18 (Pedestrian Crossing into Path)</w:t>
      </w:r>
    </w:p>
    <w:p w14:paraId="4A8E97CE" w14:textId="14451A55" w:rsidR="00C938F5" w:rsidRPr="00950D32" w:rsidRDefault="0024266B" w:rsidP="00B50CAF">
      <w:pPr>
        <w:pStyle w:val="p1"/>
        <w:rPr>
          <w:color w:val="1F497D" w:themeColor="text2"/>
        </w:rPr>
      </w:pPr>
      <w:r w:rsidRPr="00950D32">
        <w:rPr>
          <w:color w:val="1F497D" w:themeColor="text2"/>
        </w:rPr>
        <w:t xml:space="preserve">CLEPA expressed concerns over the realism of the scenario and questioned what behaviour the test aims to demonstrate. JRC explained that manoeuvre execution must account for nearby road users even when navigating around an obstacle. </w:t>
      </w:r>
      <w:r w:rsidR="002D3FDE" w:rsidRPr="00950D32">
        <w:rPr>
          <w:color w:val="1F497D" w:themeColor="text2"/>
        </w:rPr>
        <w:t xml:space="preserve">The group </w:t>
      </w:r>
      <w:r w:rsidRPr="00950D32">
        <w:rPr>
          <w:color w:val="1F497D" w:themeColor="text2"/>
        </w:rPr>
        <w:t xml:space="preserve">discussed detectability, occlusion, day/night applicability, and the difference between DCAS expectations and ADS-level avoidance. Multiple delegations noted that design assumptions </w:t>
      </w:r>
      <w:r w:rsidRPr="00950D32">
        <w:rPr>
          <w:color w:val="1F497D" w:themeColor="text2"/>
        </w:rPr>
        <w:lastRenderedPageBreak/>
        <w:t xml:space="preserve">must consider realistic pedestrian behaviour without imposing ADS-level performance. The </w:t>
      </w:r>
      <w:r w:rsidR="002D3FDE" w:rsidRPr="00950D32">
        <w:rPr>
          <w:color w:val="1F497D" w:themeColor="text2"/>
        </w:rPr>
        <w:t>item</w:t>
      </w:r>
      <w:r w:rsidRPr="00950D32">
        <w:rPr>
          <w:color w:val="1F497D" w:themeColor="text2"/>
        </w:rPr>
        <w:t xml:space="preserve"> remained open.</w:t>
      </w:r>
    </w:p>
    <w:p w14:paraId="45488C24" w14:textId="77777777" w:rsidR="00C938F5" w:rsidRPr="00950D32" w:rsidRDefault="00C938F5" w:rsidP="00C938F5">
      <w:pPr>
        <w:widowControl w:val="0"/>
        <w:tabs>
          <w:tab w:val="left" w:pos="993"/>
          <w:tab w:val="left" w:pos="2410"/>
        </w:tabs>
        <w:rPr>
          <w:color w:val="1F497D" w:themeColor="text2"/>
          <w:lang w:val="en-US"/>
        </w:rPr>
      </w:pPr>
    </w:p>
    <w:p w14:paraId="0D5F71AE" w14:textId="5A6C8A80" w:rsidR="00C938F5" w:rsidRPr="00950D32" w:rsidRDefault="00C938F5" w:rsidP="00C938F5">
      <w:pPr>
        <w:widowControl w:val="0"/>
        <w:tabs>
          <w:tab w:val="left" w:pos="993"/>
          <w:tab w:val="left" w:pos="2410"/>
        </w:tabs>
        <w:rPr>
          <w:b/>
          <w:bCs/>
          <w:color w:val="1F497D" w:themeColor="text2"/>
          <w:lang w:val="en-US"/>
        </w:rPr>
      </w:pPr>
      <w:r w:rsidRPr="00950D32">
        <w:rPr>
          <w:b/>
          <w:bCs/>
          <w:color w:val="1F497D" w:themeColor="text2"/>
          <w:lang w:val="en-US"/>
        </w:rPr>
        <w:t>Day Five</w:t>
      </w:r>
    </w:p>
    <w:p w14:paraId="77F273FB" w14:textId="77777777" w:rsidR="00C938F5" w:rsidRPr="00950D32" w:rsidRDefault="00C938F5" w:rsidP="00C938F5">
      <w:pPr>
        <w:widowControl w:val="0"/>
        <w:tabs>
          <w:tab w:val="left" w:pos="993"/>
          <w:tab w:val="left" w:pos="2410"/>
        </w:tabs>
        <w:rPr>
          <w:color w:val="1F497D" w:themeColor="text2"/>
          <w:lang w:val="en-US"/>
        </w:rPr>
      </w:pPr>
    </w:p>
    <w:p w14:paraId="31EE66A6" w14:textId="507BC632" w:rsidR="00F60B4D" w:rsidRPr="00950D32" w:rsidRDefault="00F60B4D" w:rsidP="00F60B4D">
      <w:pPr>
        <w:pStyle w:val="p1"/>
        <w:rPr>
          <w:color w:val="1F497D" w:themeColor="text2"/>
        </w:rPr>
      </w:pPr>
      <w:r w:rsidRPr="00950D32">
        <w:rPr>
          <w:color w:val="1F497D" w:themeColor="text2"/>
        </w:rPr>
        <w:t>The Task Force resumed work by returning to the remaining items in the consolidated proposals table, beginning with the outstanding Annex 4 tests before continuing with unresolved clauses from previous days.</w:t>
      </w:r>
    </w:p>
    <w:p w14:paraId="21E4CB5E" w14:textId="2BE56CF6" w:rsidR="00F60B4D" w:rsidRPr="00950D32" w:rsidRDefault="00F60B4D" w:rsidP="00F60B4D">
      <w:pPr>
        <w:pStyle w:val="p1"/>
        <w:rPr>
          <w:color w:val="1F497D" w:themeColor="text2"/>
        </w:rPr>
      </w:pPr>
      <w:r w:rsidRPr="00950D32">
        <w:rPr>
          <w:color w:val="1F497D" w:themeColor="text2"/>
        </w:rPr>
        <w:t xml:space="preserve">Annex 4 – Test 19 (Intersection Scenario </w:t>
      </w:r>
      <w:r w:rsidR="00745CBA">
        <w:rPr>
          <w:color w:val="1F497D" w:themeColor="text2"/>
        </w:rPr>
        <w:t>w</w:t>
      </w:r>
      <w:r w:rsidRPr="00950D32">
        <w:rPr>
          <w:color w:val="1F497D" w:themeColor="text2"/>
        </w:rPr>
        <w:t>ith Obstruction)</w:t>
      </w:r>
    </w:p>
    <w:p w14:paraId="461660EB" w14:textId="77777777" w:rsidR="00F60B4D" w:rsidRPr="00950D32" w:rsidRDefault="00F60B4D" w:rsidP="00F60B4D">
      <w:pPr>
        <w:pStyle w:val="p1"/>
        <w:rPr>
          <w:color w:val="1F497D" w:themeColor="text2"/>
        </w:rPr>
      </w:pPr>
      <w:r w:rsidRPr="00950D32">
        <w:rPr>
          <w:color w:val="1F497D" w:themeColor="text2"/>
        </w:rPr>
        <w:t xml:space="preserve">The Task Force reviewed Test 19, which introduces an obstructing vehicle into an existing intersection scenario. JRC noted that the scenario itself is already part of the regulation and that only the obstruction is new. They emphasised that the DCAS vehicle must remain controllable for the driver in all such situations. </w:t>
      </w:r>
    </w:p>
    <w:p w14:paraId="58FF181D" w14:textId="77777777" w:rsidR="00602C36" w:rsidRPr="00950D32" w:rsidRDefault="00F60B4D" w:rsidP="00F60B4D">
      <w:pPr>
        <w:pStyle w:val="p1"/>
        <w:rPr>
          <w:color w:val="1F497D" w:themeColor="text2"/>
        </w:rPr>
      </w:pPr>
      <w:r w:rsidRPr="00950D32">
        <w:rPr>
          <w:color w:val="1F497D" w:themeColor="text2"/>
        </w:rPr>
        <w:t xml:space="preserve">CLEPA highlighted that the diagrams appeared to depict near side priority incorrectly and that the text was unclear regarding which vehicle held right of way. They noted that if the intersection is unmarked, a different vehicle would have priority, whereas if another vehicle enters illegally, the situation may resemble emergency collision avoidance instead of normal navigation. Clarification was sought regarding what system behaviour the test is intended to assess. </w:t>
      </w:r>
    </w:p>
    <w:p w14:paraId="6CA7CC39" w14:textId="0B964317" w:rsidR="00F60B4D" w:rsidRPr="00950D32" w:rsidRDefault="00F60B4D" w:rsidP="00F60B4D">
      <w:pPr>
        <w:pStyle w:val="p1"/>
        <w:rPr>
          <w:color w:val="1F497D" w:themeColor="text2"/>
        </w:rPr>
      </w:pPr>
      <w:r w:rsidRPr="00950D32">
        <w:rPr>
          <w:color w:val="1F497D" w:themeColor="text2"/>
        </w:rPr>
        <w:t xml:space="preserve">There was agreement to </w:t>
      </w:r>
      <w:r w:rsidR="00602C36" w:rsidRPr="00950D32">
        <w:rPr>
          <w:color w:val="1F497D" w:themeColor="text2"/>
        </w:rPr>
        <w:t>add to</w:t>
      </w:r>
      <w:r w:rsidRPr="00950D32">
        <w:rPr>
          <w:color w:val="1F497D" w:themeColor="text2"/>
        </w:rPr>
        <w:t xml:space="preserve"> the table</w:t>
      </w:r>
      <w:r w:rsidR="00602C36" w:rsidRPr="00950D32">
        <w:rPr>
          <w:color w:val="1F497D" w:themeColor="text2"/>
        </w:rPr>
        <w:t xml:space="preserve"> and amend the test to</w:t>
      </w:r>
      <w:r w:rsidRPr="00950D32">
        <w:rPr>
          <w:color w:val="1F497D" w:themeColor="text2"/>
        </w:rPr>
        <w:t xml:space="preserve"> remove references to multi</w:t>
      </w:r>
      <w:r w:rsidR="00602C36" w:rsidRPr="00950D32">
        <w:rPr>
          <w:color w:val="1F497D" w:themeColor="text2"/>
        </w:rPr>
        <w:t>-</w:t>
      </w:r>
      <w:r w:rsidRPr="00950D32">
        <w:rPr>
          <w:color w:val="1F497D" w:themeColor="text2"/>
        </w:rPr>
        <w:t>target</w:t>
      </w:r>
      <w:r w:rsidR="00602C36" w:rsidRPr="00950D32">
        <w:rPr>
          <w:color w:val="1F497D" w:themeColor="text2"/>
        </w:rPr>
        <w:t xml:space="preserve"> anticipatory behaviour</w:t>
      </w:r>
      <w:r w:rsidRPr="00950D32">
        <w:rPr>
          <w:color w:val="1F497D" w:themeColor="text2"/>
        </w:rPr>
        <w:t xml:space="preserve"> and refine the description.</w:t>
      </w:r>
    </w:p>
    <w:p w14:paraId="7C52850A" w14:textId="77777777" w:rsidR="00F60B4D" w:rsidRPr="00950D32" w:rsidRDefault="00F60B4D" w:rsidP="00F60B4D">
      <w:pPr>
        <w:pStyle w:val="p1"/>
        <w:rPr>
          <w:color w:val="1F497D" w:themeColor="text2"/>
        </w:rPr>
      </w:pPr>
      <w:r w:rsidRPr="00950D32">
        <w:rPr>
          <w:color w:val="1F497D" w:themeColor="text2"/>
        </w:rPr>
        <w:t>Annex 4 – Test 18 (Pedestrian Emerging)</w:t>
      </w:r>
    </w:p>
    <w:p w14:paraId="587A882E" w14:textId="6DB9D613" w:rsidR="00F60B4D" w:rsidRPr="00950D32" w:rsidRDefault="00F60B4D" w:rsidP="00F60B4D">
      <w:pPr>
        <w:pStyle w:val="p1"/>
        <w:rPr>
          <w:color w:val="1F497D" w:themeColor="text2"/>
        </w:rPr>
      </w:pPr>
      <w:r w:rsidRPr="00950D32">
        <w:rPr>
          <w:color w:val="1F497D" w:themeColor="text2"/>
        </w:rPr>
        <w:t xml:space="preserve">The Task Force confirmed that the pedestrian is temporarily rather than permanently obstructed, as already shown in the diagram. </w:t>
      </w:r>
      <w:r w:rsidR="00602C36" w:rsidRPr="00950D32">
        <w:rPr>
          <w:color w:val="1F497D" w:themeColor="text2"/>
        </w:rPr>
        <w:t>CLEPA</w:t>
      </w:r>
      <w:r w:rsidRPr="00950D32">
        <w:rPr>
          <w:color w:val="1F497D" w:themeColor="text2"/>
        </w:rPr>
        <w:t xml:space="preserve"> requested increasing the </w:t>
      </w:r>
      <w:r w:rsidR="00602C36" w:rsidRPr="00950D32">
        <w:rPr>
          <w:color w:val="1F497D" w:themeColor="text2"/>
        </w:rPr>
        <w:t>distance to the front bumper as it is more realistic and easier for a valid test as the pedestrian is very quick, which was agreed by the group.</w:t>
      </w:r>
      <w:r w:rsidRPr="00950D32">
        <w:rPr>
          <w:color w:val="1F497D" w:themeColor="text2"/>
        </w:rPr>
        <w:t xml:space="preserve"> Contracting Parties agreed to set the distance to 1 metre to align with NCAP, with final value in square brackets. Japan requested defining pedestrian start-of-movement timing to support repeatable test execution. EME raised the need for a general clause addressing preconditions for </w:t>
      </w:r>
      <w:r w:rsidR="0039024B" w:rsidRPr="00950D32">
        <w:rPr>
          <w:color w:val="1F497D" w:themeColor="text2"/>
        </w:rPr>
        <w:t>non-deterministic</w:t>
      </w:r>
      <w:r w:rsidRPr="00950D32">
        <w:rPr>
          <w:color w:val="1F497D" w:themeColor="text2"/>
        </w:rPr>
        <w:t xml:space="preserve"> systems. The group agreed that such a clause should be drafted.</w:t>
      </w:r>
    </w:p>
    <w:p w14:paraId="6FC73442" w14:textId="77777777" w:rsidR="00F60B4D" w:rsidRPr="00950D32" w:rsidRDefault="00F60B4D" w:rsidP="00F60B4D">
      <w:pPr>
        <w:pStyle w:val="p1"/>
        <w:rPr>
          <w:color w:val="1F497D" w:themeColor="text2"/>
        </w:rPr>
      </w:pPr>
      <w:r w:rsidRPr="00950D32">
        <w:rPr>
          <w:color w:val="1F497D" w:themeColor="text2"/>
        </w:rPr>
        <w:t>Annex 4 – Test 4.2.5.2.13 (Cyclist Scenario)</w:t>
      </w:r>
    </w:p>
    <w:p w14:paraId="79309CA5" w14:textId="38708CBB" w:rsidR="00F60B4D" w:rsidRPr="00950D32" w:rsidRDefault="00F60B4D" w:rsidP="00F60B4D">
      <w:pPr>
        <w:pStyle w:val="p1"/>
        <w:rPr>
          <w:color w:val="1F497D" w:themeColor="text2"/>
        </w:rPr>
      </w:pPr>
      <w:r w:rsidRPr="00950D32">
        <w:rPr>
          <w:color w:val="1F497D" w:themeColor="text2"/>
        </w:rPr>
        <w:t xml:space="preserve">The Task Force reviewed </w:t>
      </w:r>
      <w:r w:rsidR="0039024B" w:rsidRPr="00950D32">
        <w:rPr>
          <w:color w:val="1F497D" w:themeColor="text2"/>
        </w:rPr>
        <w:t>the test</w:t>
      </w:r>
      <w:r w:rsidRPr="00950D32">
        <w:rPr>
          <w:color w:val="1F497D" w:themeColor="text2"/>
        </w:rPr>
        <w:t xml:space="preserve"> and agreed to delete the term multi target. Minor editorial amendments will be drafted by JRC and industry early the following week.</w:t>
      </w:r>
    </w:p>
    <w:p w14:paraId="4646B9CE" w14:textId="44E52BAB" w:rsidR="00F60B4D" w:rsidRPr="00950D32" w:rsidRDefault="00F60B4D" w:rsidP="00F60B4D">
      <w:pPr>
        <w:pStyle w:val="p1"/>
        <w:rPr>
          <w:color w:val="1F497D" w:themeColor="text2"/>
        </w:rPr>
      </w:pPr>
      <w:r w:rsidRPr="00950D32">
        <w:rPr>
          <w:color w:val="1F497D" w:themeColor="text2"/>
        </w:rPr>
        <w:t xml:space="preserve">The group concluded the first full </w:t>
      </w:r>
      <w:proofErr w:type="gramStart"/>
      <w:r w:rsidRPr="00950D32">
        <w:rPr>
          <w:color w:val="1F497D" w:themeColor="text2"/>
        </w:rPr>
        <w:t>pass through</w:t>
      </w:r>
      <w:proofErr w:type="gramEnd"/>
      <w:r w:rsidRPr="00950D32">
        <w:rPr>
          <w:color w:val="1F497D" w:themeColor="text2"/>
        </w:rPr>
        <w:t xml:space="preserve"> Annex 4.</w:t>
      </w:r>
    </w:p>
    <w:p w14:paraId="22530042" w14:textId="77777777" w:rsidR="00F60B4D" w:rsidRPr="00950D32" w:rsidRDefault="00F60B4D" w:rsidP="00F60B4D">
      <w:pPr>
        <w:pStyle w:val="p1"/>
        <w:rPr>
          <w:color w:val="1F497D" w:themeColor="text2"/>
        </w:rPr>
      </w:pPr>
      <w:r w:rsidRPr="00950D32">
        <w:rPr>
          <w:color w:val="1F497D" w:themeColor="text2"/>
        </w:rPr>
        <w:t>5.3.6.1.2 – Driver Reaction and Comprehension Time</w:t>
      </w:r>
    </w:p>
    <w:p w14:paraId="40863CF0" w14:textId="78DCACFC" w:rsidR="00F60B4D" w:rsidRPr="00950D32" w:rsidRDefault="00F60B4D" w:rsidP="00F60B4D">
      <w:pPr>
        <w:pStyle w:val="p1"/>
        <w:rPr>
          <w:color w:val="1F497D" w:themeColor="text2"/>
        </w:rPr>
      </w:pPr>
      <w:r w:rsidRPr="00950D32">
        <w:rPr>
          <w:color w:val="1F497D" w:themeColor="text2"/>
        </w:rPr>
        <w:lastRenderedPageBreak/>
        <w:t>EME indicated that they could accept the provision following clarification from JRC on the engagement wording, subject to a small drafting update. The clause was considered ready to be marked green.</w:t>
      </w:r>
    </w:p>
    <w:p w14:paraId="7EFFBA43" w14:textId="77777777" w:rsidR="00F60B4D" w:rsidRPr="00950D32" w:rsidRDefault="00F60B4D" w:rsidP="00F60B4D">
      <w:pPr>
        <w:pStyle w:val="p1"/>
        <w:rPr>
          <w:color w:val="1F497D" w:themeColor="text2"/>
        </w:rPr>
      </w:pPr>
      <w:r w:rsidRPr="00950D32">
        <w:rPr>
          <w:color w:val="1F497D" w:themeColor="text2"/>
        </w:rPr>
        <w:t>5.5.4.2.6.5 – Highway Like Roads</w:t>
      </w:r>
    </w:p>
    <w:p w14:paraId="2653DB0A" w14:textId="6773BD4C" w:rsidR="00F60B4D" w:rsidRPr="00950D32" w:rsidRDefault="00F60B4D" w:rsidP="00F60B4D">
      <w:pPr>
        <w:pStyle w:val="p1"/>
        <w:rPr>
          <w:color w:val="1F497D" w:themeColor="text2"/>
        </w:rPr>
      </w:pPr>
      <w:r w:rsidRPr="00950D32">
        <w:rPr>
          <w:color w:val="1F497D" w:themeColor="text2"/>
        </w:rPr>
        <w:t xml:space="preserve">CLEPA presented adjustments to separate the definition from the performance requirements. </w:t>
      </w:r>
      <w:r w:rsidR="00F17FE3" w:rsidRPr="00950D32">
        <w:rPr>
          <w:color w:val="1F497D" w:themeColor="text2"/>
        </w:rPr>
        <w:t>Germany</w:t>
      </w:r>
      <w:r w:rsidRPr="00950D32">
        <w:rPr>
          <w:color w:val="1F497D" w:themeColor="text2"/>
        </w:rPr>
        <w:t xml:space="preserve"> suggested considering whether such roads could be treated as a system boundary; industry replied that boundaries are defined by the manufacturer and not fixed by road classification. EME reiterated that a fixed 500 metre criterion mandates HD map use and is not technology neutral. </w:t>
      </w:r>
      <w:r w:rsidR="00F17FE3" w:rsidRPr="00950D32">
        <w:rPr>
          <w:color w:val="1F497D" w:themeColor="text2"/>
        </w:rPr>
        <w:t>OICA</w:t>
      </w:r>
      <w:r w:rsidRPr="00950D32">
        <w:rPr>
          <w:color w:val="1F497D" w:themeColor="text2"/>
        </w:rPr>
        <w:t xml:space="preserve"> agreed, noting that HD maps are often incomplete or inaccurate. The UK expressed concerns about removing the length requirement entirely, as this could result in frequent transitions between permitted and </w:t>
      </w:r>
      <w:r w:rsidR="00F17FE3" w:rsidRPr="00950D32">
        <w:rPr>
          <w:color w:val="1F497D" w:themeColor="text2"/>
        </w:rPr>
        <w:t>non-permitted</w:t>
      </w:r>
      <w:r w:rsidRPr="00950D32">
        <w:rPr>
          <w:color w:val="1F497D" w:themeColor="text2"/>
        </w:rPr>
        <w:t xml:space="preserve"> </w:t>
      </w:r>
      <w:r w:rsidR="00F17FE3" w:rsidRPr="00950D32">
        <w:rPr>
          <w:color w:val="1F497D" w:themeColor="text2"/>
        </w:rPr>
        <w:t>wHOR</w:t>
      </w:r>
      <w:r w:rsidRPr="00950D32">
        <w:rPr>
          <w:color w:val="1F497D" w:themeColor="text2"/>
        </w:rPr>
        <w:t xml:space="preserve"> sections. OICA CLEPA and the UK agreed to refine wording before the next SDG meeting.</w:t>
      </w:r>
    </w:p>
    <w:p w14:paraId="7A06D450" w14:textId="77777777" w:rsidR="00F60B4D" w:rsidRPr="00950D32" w:rsidRDefault="00F60B4D" w:rsidP="00F60B4D">
      <w:pPr>
        <w:pStyle w:val="p1"/>
        <w:rPr>
          <w:color w:val="1F497D" w:themeColor="text2"/>
        </w:rPr>
      </w:pPr>
      <w:r w:rsidRPr="00950D32">
        <w:rPr>
          <w:color w:val="1F497D" w:themeColor="text2"/>
        </w:rPr>
        <w:t>5.3.6.1.2 – Japan Proposal</w:t>
      </w:r>
    </w:p>
    <w:p w14:paraId="2E2C245E" w14:textId="3CE1AC3B" w:rsidR="00F60B4D" w:rsidRPr="00950D32" w:rsidRDefault="00F60B4D" w:rsidP="00F60B4D">
      <w:pPr>
        <w:pStyle w:val="p1"/>
        <w:rPr>
          <w:color w:val="1F497D" w:themeColor="text2"/>
        </w:rPr>
      </w:pPr>
      <w:r w:rsidRPr="00950D32">
        <w:rPr>
          <w:color w:val="1F497D" w:themeColor="text2"/>
        </w:rPr>
        <w:t xml:space="preserve">Japan proposed revising the clause by replacing </w:t>
      </w:r>
      <w:r w:rsidR="00F17FE3" w:rsidRPr="00950D32">
        <w:rPr>
          <w:color w:val="1F497D" w:themeColor="text2"/>
        </w:rPr>
        <w:t>‘</w:t>
      </w:r>
      <w:r w:rsidRPr="00950D32">
        <w:rPr>
          <w:color w:val="1F497D" w:themeColor="text2"/>
        </w:rPr>
        <w:t>engage</w:t>
      </w:r>
      <w:r w:rsidR="00F17FE3" w:rsidRPr="00950D32">
        <w:rPr>
          <w:color w:val="1F497D" w:themeColor="text2"/>
        </w:rPr>
        <w:t>’</w:t>
      </w:r>
      <w:r w:rsidRPr="00950D32">
        <w:rPr>
          <w:color w:val="1F497D" w:themeColor="text2"/>
        </w:rPr>
        <w:t xml:space="preserve"> with </w:t>
      </w:r>
      <w:r w:rsidR="00AD522C" w:rsidRPr="00AD522C">
        <w:rPr>
          <w:color w:val="EE0000"/>
        </w:rPr>
        <w:t>‘</w:t>
      </w:r>
      <w:r w:rsidRPr="00950D32">
        <w:rPr>
          <w:color w:val="1F497D" w:themeColor="text2"/>
        </w:rPr>
        <w:t>pay attention to</w:t>
      </w:r>
      <w:r w:rsidR="00AD522C" w:rsidRPr="00AD522C">
        <w:rPr>
          <w:color w:val="EE0000"/>
        </w:rPr>
        <w:t>’</w:t>
      </w:r>
      <w:r w:rsidRPr="00950D32">
        <w:rPr>
          <w:color w:val="1F497D" w:themeColor="text2"/>
        </w:rPr>
        <w:t xml:space="preserve">. Several delegations questioned how paying attention could be technically assessed and noted that changing terminology may introduce inconsistencies elsewhere in the regulation. </w:t>
      </w:r>
      <w:r w:rsidR="00F17FE3" w:rsidRPr="00950D32">
        <w:rPr>
          <w:color w:val="1F497D" w:themeColor="text2"/>
        </w:rPr>
        <w:t>CLEPA</w:t>
      </w:r>
      <w:r w:rsidRPr="00950D32">
        <w:rPr>
          <w:color w:val="1F497D" w:themeColor="text2"/>
        </w:rPr>
        <w:t xml:space="preserve"> stated that disengagement is the only measurable </w:t>
      </w:r>
      <w:r w:rsidR="00F17FE3" w:rsidRPr="00950D32">
        <w:rPr>
          <w:color w:val="1F497D" w:themeColor="text2"/>
        </w:rPr>
        <w:t xml:space="preserve">aspect </w:t>
      </w:r>
      <w:r w:rsidRPr="00950D32">
        <w:rPr>
          <w:color w:val="1F497D" w:themeColor="text2"/>
        </w:rPr>
        <w:t>defined in the regulation. The Chair invited Japan to reconsider and return with a proposal if needed after further review with JRC.</w:t>
      </w:r>
    </w:p>
    <w:p w14:paraId="022C18DF" w14:textId="583BA596" w:rsidR="00F66998" w:rsidRPr="00950D32" w:rsidRDefault="00F66998" w:rsidP="00F60B4D">
      <w:pPr>
        <w:pStyle w:val="p1"/>
        <w:rPr>
          <w:color w:val="1F497D" w:themeColor="text2"/>
        </w:rPr>
      </w:pPr>
      <w:r w:rsidRPr="00950D32">
        <w:rPr>
          <w:color w:val="1F497D" w:themeColor="text2"/>
        </w:rPr>
        <w:t>The group conducted a review of the outstanding items.</w:t>
      </w:r>
    </w:p>
    <w:p w14:paraId="21DE4A9A" w14:textId="38407284" w:rsidR="00F66998" w:rsidRPr="00950D32" w:rsidRDefault="00F66998" w:rsidP="00F66998">
      <w:pPr>
        <w:pStyle w:val="p1"/>
        <w:numPr>
          <w:ilvl w:val="0"/>
          <w:numId w:val="43"/>
        </w:numPr>
        <w:rPr>
          <w:color w:val="1F497D" w:themeColor="text2"/>
        </w:rPr>
      </w:pPr>
      <w:r w:rsidRPr="00950D32">
        <w:rPr>
          <w:color w:val="1F497D" w:themeColor="text2"/>
        </w:rPr>
        <w:t>5.3.6.1.2 – Japan and the JRC to review terms around engagement</w:t>
      </w:r>
    </w:p>
    <w:p w14:paraId="1A282280" w14:textId="54F54C61" w:rsidR="00F66998" w:rsidRPr="00950D32" w:rsidRDefault="00F66998" w:rsidP="00F66998">
      <w:pPr>
        <w:pStyle w:val="p1"/>
        <w:numPr>
          <w:ilvl w:val="0"/>
          <w:numId w:val="43"/>
        </w:numPr>
        <w:rPr>
          <w:color w:val="1F497D" w:themeColor="text2"/>
        </w:rPr>
      </w:pPr>
      <w:r w:rsidRPr="00950D32">
        <w:rPr>
          <w:color w:val="1F497D" w:themeColor="text2"/>
        </w:rPr>
        <w:t>5.3.7.2.1.1 – DCA needs agreement taking into account penalties</w:t>
      </w:r>
    </w:p>
    <w:p w14:paraId="05AE9C59" w14:textId="0A82D767" w:rsidR="00F66998" w:rsidRPr="00950D32" w:rsidRDefault="00F66998" w:rsidP="00F66998">
      <w:pPr>
        <w:pStyle w:val="p1"/>
        <w:numPr>
          <w:ilvl w:val="0"/>
          <w:numId w:val="43"/>
        </w:numPr>
        <w:rPr>
          <w:color w:val="1F497D" w:themeColor="text2"/>
        </w:rPr>
      </w:pPr>
      <w:r w:rsidRPr="00950D32">
        <w:rPr>
          <w:color w:val="1F497D" w:themeColor="text2"/>
        </w:rPr>
        <w:t>5.3.7.2.6.1 – Amendments to the testing table are required</w:t>
      </w:r>
    </w:p>
    <w:p w14:paraId="66FB787E" w14:textId="1BB0C8CE" w:rsidR="00F66998" w:rsidRPr="00950D32" w:rsidRDefault="00F66998" w:rsidP="00F66998">
      <w:pPr>
        <w:pStyle w:val="p1"/>
        <w:numPr>
          <w:ilvl w:val="0"/>
          <w:numId w:val="43"/>
        </w:numPr>
        <w:rPr>
          <w:color w:val="1F497D" w:themeColor="text2"/>
        </w:rPr>
      </w:pPr>
      <w:r w:rsidRPr="00950D32">
        <w:rPr>
          <w:color w:val="1F497D" w:themeColor="text2"/>
        </w:rPr>
        <w:t>5.5.4.2.5.2 – UK to amend to avoid confusion with the last sentence</w:t>
      </w:r>
    </w:p>
    <w:p w14:paraId="6EBCB650" w14:textId="419B9628" w:rsidR="00F66998" w:rsidRPr="00950D32" w:rsidRDefault="00F66998" w:rsidP="00F66998">
      <w:pPr>
        <w:pStyle w:val="p1"/>
        <w:numPr>
          <w:ilvl w:val="0"/>
          <w:numId w:val="43"/>
        </w:numPr>
        <w:rPr>
          <w:color w:val="1F497D" w:themeColor="text2"/>
        </w:rPr>
      </w:pPr>
      <w:r w:rsidRPr="00950D32">
        <w:rPr>
          <w:color w:val="1F497D" w:themeColor="text2"/>
        </w:rPr>
        <w:t>5.5.4.2.6.5 – OICA CLEPA and the UK to prepare a proposal for the next SDG</w:t>
      </w:r>
    </w:p>
    <w:p w14:paraId="087445FB" w14:textId="2B78CC25" w:rsidR="00F66998" w:rsidRPr="00950D32" w:rsidRDefault="00F66998" w:rsidP="00F66998">
      <w:pPr>
        <w:pStyle w:val="p1"/>
        <w:numPr>
          <w:ilvl w:val="0"/>
          <w:numId w:val="43"/>
        </w:numPr>
        <w:rPr>
          <w:color w:val="1F497D" w:themeColor="text2"/>
        </w:rPr>
      </w:pPr>
      <w:r w:rsidRPr="00950D32">
        <w:rPr>
          <w:color w:val="1F497D" w:themeColor="text2"/>
        </w:rPr>
        <w:t>5.5.4.6.5.7 – Item left in brackets and may go to GRVA if not concluded</w:t>
      </w:r>
    </w:p>
    <w:p w14:paraId="2FE51C94" w14:textId="2F3A03F0" w:rsidR="00F66998" w:rsidRPr="00950D32" w:rsidRDefault="00F66998" w:rsidP="00F66998">
      <w:pPr>
        <w:pStyle w:val="p1"/>
        <w:numPr>
          <w:ilvl w:val="0"/>
          <w:numId w:val="43"/>
        </w:numPr>
        <w:rPr>
          <w:color w:val="1F497D" w:themeColor="text2"/>
        </w:rPr>
      </w:pPr>
      <w:r w:rsidRPr="00950D32">
        <w:rPr>
          <w:color w:val="1F497D" w:themeColor="text2"/>
        </w:rPr>
        <w:t>5.5.4.2.7 – Two options with the UK to prepare an alternative proposal</w:t>
      </w:r>
    </w:p>
    <w:p w14:paraId="5A37609B" w14:textId="54F07968" w:rsidR="00F66998" w:rsidRPr="00950D32" w:rsidRDefault="00797E65" w:rsidP="00F66998">
      <w:pPr>
        <w:pStyle w:val="p1"/>
        <w:numPr>
          <w:ilvl w:val="0"/>
          <w:numId w:val="43"/>
        </w:numPr>
        <w:rPr>
          <w:color w:val="1F497D" w:themeColor="text2"/>
        </w:rPr>
      </w:pPr>
      <w:r w:rsidRPr="00950D32">
        <w:rPr>
          <w:color w:val="1F497D" w:themeColor="text2"/>
        </w:rPr>
        <w:t>5.5.4.2.8.2 – JRC, EME and the UK to discuss DCA and penalties</w:t>
      </w:r>
    </w:p>
    <w:p w14:paraId="2C9B98E4" w14:textId="6B6BDA27" w:rsidR="00797E65" w:rsidRPr="00950D32" w:rsidRDefault="00797E65" w:rsidP="00F66998">
      <w:pPr>
        <w:pStyle w:val="p1"/>
        <w:numPr>
          <w:ilvl w:val="0"/>
          <w:numId w:val="43"/>
        </w:numPr>
        <w:rPr>
          <w:color w:val="1F497D" w:themeColor="text2"/>
        </w:rPr>
      </w:pPr>
      <w:r w:rsidRPr="00950D32">
        <w:rPr>
          <w:color w:val="1F497D" w:themeColor="text2"/>
        </w:rPr>
        <w:t>10.6 – UK to review position</w:t>
      </w:r>
    </w:p>
    <w:p w14:paraId="7AABBD00" w14:textId="77777777" w:rsidR="00797E65" w:rsidRPr="00950D32" w:rsidRDefault="00797E65" w:rsidP="00F66998">
      <w:pPr>
        <w:pStyle w:val="p1"/>
        <w:numPr>
          <w:ilvl w:val="0"/>
          <w:numId w:val="43"/>
        </w:numPr>
        <w:rPr>
          <w:color w:val="1F497D" w:themeColor="text2"/>
        </w:rPr>
      </w:pPr>
      <w:r w:rsidRPr="00950D32">
        <w:rPr>
          <w:color w:val="1F497D" w:themeColor="text2"/>
        </w:rPr>
        <w:t>16.2.5 – UK position not confirmed until the entire changes are finished</w:t>
      </w:r>
    </w:p>
    <w:p w14:paraId="024B1CEF" w14:textId="77777777" w:rsidR="00797E65" w:rsidRPr="00950D32" w:rsidRDefault="00797E65" w:rsidP="00F66998">
      <w:pPr>
        <w:pStyle w:val="p1"/>
        <w:numPr>
          <w:ilvl w:val="0"/>
          <w:numId w:val="43"/>
        </w:numPr>
        <w:rPr>
          <w:color w:val="1F497D" w:themeColor="text2"/>
        </w:rPr>
      </w:pPr>
      <w:r w:rsidRPr="00950D32">
        <w:rPr>
          <w:color w:val="1F497D" w:themeColor="text2"/>
        </w:rPr>
        <w:t>Introduction – CLEPA to send draft of explanation of ‘ensure’ and ‘capable’</w:t>
      </w:r>
    </w:p>
    <w:p w14:paraId="0C9D1B4E" w14:textId="77777777" w:rsidR="00797E65" w:rsidRPr="00950D32" w:rsidRDefault="00797E65" w:rsidP="00F66998">
      <w:pPr>
        <w:pStyle w:val="p1"/>
        <w:numPr>
          <w:ilvl w:val="0"/>
          <w:numId w:val="43"/>
        </w:numPr>
        <w:rPr>
          <w:color w:val="1F497D" w:themeColor="text2"/>
        </w:rPr>
      </w:pPr>
      <w:r w:rsidRPr="00950D32">
        <w:rPr>
          <w:color w:val="1F497D" w:themeColor="text2"/>
        </w:rPr>
        <w:t xml:space="preserve">Appendix 2: 2.1.1.10 – UK and EME to revisit </w:t>
      </w:r>
    </w:p>
    <w:p w14:paraId="5AB4EF7B" w14:textId="6B7A8E20" w:rsidR="00797E65" w:rsidRPr="00950D32" w:rsidRDefault="00797E65" w:rsidP="00797E65">
      <w:pPr>
        <w:pStyle w:val="p1"/>
        <w:numPr>
          <w:ilvl w:val="0"/>
          <w:numId w:val="43"/>
        </w:numPr>
        <w:rPr>
          <w:color w:val="1F497D" w:themeColor="text2"/>
        </w:rPr>
      </w:pPr>
      <w:r w:rsidRPr="00950D32">
        <w:rPr>
          <w:color w:val="1F497D" w:themeColor="text2"/>
        </w:rPr>
        <w:t>Annex 4 – EC, EME, Germany, UK, and NL to update wording for non-deterministic systems</w:t>
      </w:r>
    </w:p>
    <w:p w14:paraId="651CB074" w14:textId="6BB8397C" w:rsidR="00797E65" w:rsidRPr="00950D32" w:rsidRDefault="00797E65" w:rsidP="00797E65">
      <w:pPr>
        <w:pStyle w:val="p1"/>
        <w:numPr>
          <w:ilvl w:val="0"/>
          <w:numId w:val="43"/>
        </w:numPr>
        <w:rPr>
          <w:color w:val="1F497D" w:themeColor="text2"/>
        </w:rPr>
      </w:pPr>
      <w:r w:rsidRPr="00950D32">
        <w:rPr>
          <w:color w:val="1F497D" w:themeColor="text2"/>
        </w:rPr>
        <w:t>Annex 4 – JRC to amend wording to remove ‘multi-target anticipatory behaviour and update diagrams used.</w:t>
      </w:r>
    </w:p>
    <w:p w14:paraId="6E7BE75D" w14:textId="5CB0B567" w:rsidR="00F60B4D" w:rsidRPr="00950D32" w:rsidRDefault="00F60B4D" w:rsidP="00F60B4D">
      <w:pPr>
        <w:pStyle w:val="p1"/>
        <w:rPr>
          <w:color w:val="1F497D" w:themeColor="text2"/>
        </w:rPr>
      </w:pPr>
      <w:r w:rsidRPr="00950D32">
        <w:rPr>
          <w:color w:val="1F497D" w:themeColor="text2"/>
        </w:rPr>
        <w:t>5.3.7.2.1.1 – SIM in Imminent Collision Cases During Disengagement</w:t>
      </w:r>
    </w:p>
    <w:p w14:paraId="6BCBC34A" w14:textId="638D4DA5" w:rsidR="008C321D" w:rsidRPr="00950D32" w:rsidRDefault="00F60B4D" w:rsidP="00F66998">
      <w:pPr>
        <w:pStyle w:val="p1"/>
        <w:rPr>
          <w:color w:val="1F497D" w:themeColor="text2"/>
        </w:rPr>
      </w:pPr>
      <w:r w:rsidRPr="00950D32">
        <w:rPr>
          <w:color w:val="1F497D" w:themeColor="text2"/>
        </w:rPr>
        <w:t>The Task Force discussed whether a DCA should be issued when the system performs a SIM due to imminent collision risk while the driver is disengaged</w:t>
      </w:r>
      <w:r w:rsidR="00F66998" w:rsidRPr="00950D32">
        <w:rPr>
          <w:color w:val="1F497D" w:themeColor="text2"/>
        </w:rPr>
        <w:t xml:space="preserve"> and informing the driver this is not proper behaviour</w:t>
      </w:r>
      <w:r w:rsidRPr="00950D32">
        <w:rPr>
          <w:color w:val="1F497D" w:themeColor="text2"/>
        </w:rPr>
        <w:t xml:space="preserve">. </w:t>
      </w:r>
      <w:r w:rsidR="00F66998" w:rsidRPr="00950D32">
        <w:rPr>
          <w:color w:val="1F497D" w:themeColor="text2"/>
        </w:rPr>
        <w:t>CLEPA</w:t>
      </w:r>
      <w:r w:rsidRPr="00950D32">
        <w:rPr>
          <w:color w:val="1F497D" w:themeColor="text2"/>
        </w:rPr>
        <w:t xml:space="preserve"> proposed linking such feedback to </w:t>
      </w:r>
      <w:r w:rsidR="00F66998" w:rsidRPr="00950D32">
        <w:rPr>
          <w:color w:val="1F497D" w:themeColor="text2"/>
        </w:rPr>
        <w:t xml:space="preserve">the </w:t>
      </w:r>
      <w:r w:rsidRPr="00950D32">
        <w:rPr>
          <w:color w:val="1F497D" w:themeColor="text2"/>
        </w:rPr>
        <w:t xml:space="preserve">existing disclaimer provisions requiring the driver to acknowledge system limitations, rather than introducing new warnings. JRC indicated that this approach could work. </w:t>
      </w:r>
    </w:p>
    <w:p w14:paraId="1F521D8A" w14:textId="77777777" w:rsidR="002301F9" w:rsidRPr="00B013DD" w:rsidRDefault="002301F9" w:rsidP="007B7046">
      <w:pPr>
        <w:widowControl w:val="0"/>
        <w:tabs>
          <w:tab w:val="left" w:pos="993"/>
          <w:tab w:val="left" w:pos="2410"/>
        </w:tabs>
        <w:ind w:left="714"/>
        <w:rPr>
          <w:lang w:val="en-US"/>
        </w:rPr>
      </w:pPr>
    </w:p>
    <w:p w14:paraId="2FD7E31B" w14:textId="77777777" w:rsidR="00C938F5" w:rsidRPr="00B013DD" w:rsidRDefault="00EC732D" w:rsidP="00C938F5">
      <w:pPr>
        <w:pStyle w:val="ListParagraph"/>
        <w:widowControl w:val="0"/>
        <w:numPr>
          <w:ilvl w:val="0"/>
          <w:numId w:val="2"/>
        </w:numPr>
        <w:tabs>
          <w:tab w:val="left" w:pos="993"/>
          <w:tab w:val="left" w:pos="1276"/>
          <w:tab w:val="left" w:pos="2835"/>
          <w:tab w:val="left" w:pos="7380"/>
        </w:tabs>
        <w:rPr>
          <w:b/>
          <w:bCs/>
        </w:rPr>
      </w:pPr>
      <w:r w:rsidRPr="00B013DD">
        <w:rPr>
          <w:b/>
          <w:bCs/>
        </w:rPr>
        <w:t>List of action items</w:t>
      </w:r>
      <w:r w:rsidR="0026498E" w:rsidRPr="00B013DD">
        <w:rPr>
          <w:b/>
          <w:bCs/>
        </w:rPr>
        <w:t xml:space="preserve"> &amp; next steps</w:t>
      </w:r>
    </w:p>
    <w:p w14:paraId="43F42742" w14:textId="77777777" w:rsidR="00C938F5" w:rsidRPr="00B013DD" w:rsidRDefault="00C938F5" w:rsidP="00C938F5">
      <w:pPr>
        <w:widowControl w:val="0"/>
        <w:tabs>
          <w:tab w:val="left" w:pos="993"/>
          <w:tab w:val="left" w:pos="1276"/>
          <w:tab w:val="left" w:pos="2835"/>
          <w:tab w:val="left" w:pos="7380"/>
        </w:tabs>
        <w:rPr>
          <w:b/>
          <w:bCs/>
        </w:rPr>
      </w:pPr>
    </w:p>
    <w:p w14:paraId="72BB78F4" w14:textId="77777777" w:rsidR="00C938F5" w:rsidRPr="00B013DD" w:rsidRDefault="00C938F5" w:rsidP="00C938F5">
      <w:pPr>
        <w:pStyle w:val="NormalWeb"/>
        <w:rPr>
          <w:color w:val="1F497D" w:themeColor="text2"/>
        </w:rPr>
      </w:pPr>
      <w:r w:rsidRPr="00B013DD">
        <w:rPr>
          <w:color w:val="1F497D" w:themeColor="text2"/>
        </w:rPr>
        <w:t>The following actions were agreed for the period between this meeting and the next scheduled TF ADAS session:</w:t>
      </w:r>
    </w:p>
    <w:p w14:paraId="1D1C2AB8" w14:textId="15E2EFB2" w:rsidR="00C938F5" w:rsidRPr="00B013DD" w:rsidRDefault="00C938F5" w:rsidP="00C938F5">
      <w:pPr>
        <w:pStyle w:val="NormalWeb"/>
        <w:numPr>
          <w:ilvl w:val="0"/>
          <w:numId w:val="40"/>
        </w:numPr>
        <w:rPr>
          <w:color w:val="1F497D" w:themeColor="text2"/>
        </w:rPr>
      </w:pPr>
      <w:r w:rsidRPr="00B013DD">
        <w:rPr>
          <w:color w:val="1F497D" w:themeColor="text2"/>
        </w:rPr>
        <w:t>The Secretariat will prepare a consolidated draft of ADAS 43</w:t>
      </w:r>
      <w:r w:rsidR="00F17FE3" w:rsidRPr="00B013DD">
        <w:rPr>
          <w:color w:val="1F497D" w:themeColor="text2"/>
        </w:rPr>
        <w:t>-</w:t>
      </w:r>
      <w:r w:rsidRPr="00B013DD">
        <w:rPr>
          <w:color w:val="1F497D" w:themeColor="text2"/>
        </w:rPr>
        <w:t>11 reflecting all agreed changes and marking open items in yellow.</w:t>
      </w:r>
    </w:p>
    <w:p w14:paraId="5C9F94E8" w14:textId="247BBC52" w:rsidR="00C938F5" w:rsidRPr="00B013DD" w:rsidRDefault="00C938F5" w:rsidP="00C938F5">
      <w:pPr>
        <w:pStyle w:val="NormalWeb"/>
        <w:numPr>
          <w:ilvl w:val="0"/>
          <w:numId w:val="40"/>
        </w:numPr>
        <w:rPr>
          <w:color w:val="1F497D" w:themeColor="text2"/>
        </w:rPr>
      </w:pPr>
      <w:r w:rsidRPr="00B013DD">
        <w:rPr>
          <w:color w:val="1F497D" w:themeColor="text2"/>
        </w:rPr>
        <w:t>Associations and Contracting Parties will provide written proposals to resolve the remaining bracketed items.</w:t>
      </w:r>
    </w:p>
    <w:p w14:paraId="25AC050A" w14:textId="77777777" w:rsidR="00F17FE3" w:rsidRPr="00B013DD" w:rsidRDefault="00C938F5" w:rsidP="00C938F5">
      <w:pPr>
        <w:pStyle w:val="NormalWeb"/>
        <w:numPr>
          <w:ilvl w:val="0"/>
          <w:numId w:val="40"/>
        </w:numPr>
        <w:rPr>
          <w:color w:val="1F497D" w:themeColor="text2"/>
        </w:rPr>
      </w:pPr>
      <w:r w:rsidRPr="00B013DD">
        <w:rPr>
          <w:color w:val="1F497D" w:themeColor="text2"/>
        </w:rPr>
        <w:t>An additional TF ADAS meeting will take place on 17 December 2025 to focus on</w:t>
      </w:r>
      <w:r w:rsidR="00F17FE3" w:rsidRPr="00B013DD">
        <w:rPr>
          <w:color w:val="1F497D" w:themeColor="text2"/>
        </w:rPr>
        <w:t>:</w:t>
      </w:r>
    </w:p>
    <w:p w14:paraId="211DB4BC" w14:textId="73447E3E" w:rsidR="00F17FE3" w:rsidRPr="00B013DD" w:rsidRDefault="00C938F5" w:rsidP="00F17FE3">
      <w:pPr>
        <w:pStyle w:val="NormalWeb"/>
        <w:numPr>
          <w:ilvl w:val="1"/>
          <w:numId w:val="41"/>
        </w:numPr>
        <w:rPr>
          <w:color w:val="1F497D" w:themeColor="text2"/>
        </w:rPr>
      </w:pPr>
      <w:r w:rsidRPr="00B013DD">
        <w:rPr>
          <w:color w:val="1F497D" w:themeColor="text2"/>
        </w:rPr>
        <w:t>resolution of remaining open items</w:t>
      </w:r>
    </w:p>
    <w:p w14:paraId="5B4F6236" w14:textId="59655FEC" w:rsidR="00F17FE3" w:rsidRPr="00B013DD" w:rsidRDefault="00C938F5" w:rsidP="00F17FE3">
      <w:pPr>
        <w:pStyle w:val="NormalWeb"/>
        <w:numPr>
          <w:ilvl w:val="1"/>
          <w:numId w:val="41"/>
        </w:numPr>
        <w:rPr>
          <w:color w:val="1F497D" w:themeColor="text2"/>
        </w:rPr>
      </w:pPr>
      <w:r w:rsidRPr="00B013DD">
        <w:rPr>
          <w:color w:val="1F497D" w:themeColor="text2"/>
        </w:rPr>
        <w:t>editorial alignment</w:t>
      </w:r>
    </w:p>
    <w:p w14:paraId="71206DBB" w14:textId="4EACEEBB" w:rsidR="00C938F5" w:rsidRPr="00B013DD" w:rsidRDefault="00C938F5" w:rsidP="00F17FE3">
      <w:pPr>
        <w:pStyle w:val="NormalWeb"/>
        <w:numPr>
          <w:ilvl w:val="1"/>
          <w:numId w:val="41"/>
        </w:numPr>
        <w:rPr>
          <w:color w:val="1F497D" w:themeColor="text2"/>
        </w:rPr>
      </w:pPr>
      <w:r w:rsidRPr="00B013DD">
        <w:rPr>
          <w:color w:val="1F497D" w:themeColor="text2"/>
        </w:rPr>
        <w:t>preparation of the document for January GRVA submission</w:t>
      </w:r>
    </w:p>
    <w:p w14:paraId="041E9CE4" w14:textId="77777777" w:rsidR="00C938F5" w:rsidRPr="00B013DD" w:rsidRDefault="00C938F5" w:rsidP="00C938F5">
      <w:pPr>
        <w:pStyle w:val="NormalWeb"/>
        <w:numPr>
          <w:ilvl w:val="0"/>
          <w:numId w:val="40"/>
        </w:numPr>
        <w:rPr>
          <w:color w:val="1F497D" w:themeColor="text2"/>
        </w:rPr>
      </w:pPr>
      <w:r w:rsidRPr="00B013DD">
        <w:rPr>
          <w:color w:val="1F497D" w:themeColor="text2"/>
        </w:rPr>
        <w:t>The Small Drafting Group will continue to meet virtually during the weeks leading up to the December meeting to work through technical alignments.</w:t>
      </w:r>
    </w:p>
    <w:p w14:paraId="5295D9C3" w14:textId="77777777" w:rsidR="00C938F5" w:rsidRPr="00C70E71" w:rsidRDefault="00C938F5" w:rsidP="00C70E71">
      <w:pPr>
        <w:widowControl w:val="0"/>
        <w:tabs>
          <w:tab w:val="left" w:pos="993"/>
          <w:tab w:val="left" w:pos="1276"/>
          <w:tab w:val="left" w:pos="2835"/>
          <w:tab w:val="left" w:pos="7380"/>
        </w:tabs>
        <w:rPr>
          <w:b/>
          <w:bCs/>
        </w:rPr>
      </w:pPr>
    </w:p>
    <w:p w14:paraId="1BE8C27E" w14:textId="7DA474E2" w:rsidR="00C938F5" w:rsidRPr="00B013DD" w:rsidRDefault="00C938F5" w:rsidP="00F66998">
      <w:pPr>
        <w:widowControl w:val="0"/>
        <w:tabs>
          <w:tab w:val="left" w:pos="993"/>
          <w:tab w:val="left" w:pos="1276"/>
          <w:tab w:val="left" w:pos="2835"/>
          <w:tab w:val="left" w:pos="7380"/>
        </w:tabs>
        <w:rPr>
          <w:color w:val="1F497D" w:themeColor="text2"/>
        </w:rPr>
      </w:pPr>
      <w:r w:rsidRPr="00B013DD">
        <w:rPr>
          <w:color w:val="1F497D" w:themeColor="text2"/>
        </w:rPr>
        <w:t xml:space="preserve">Germany questioned whether we should begin to look at planning Phase 4. </w:t>
      </w:r>
    </w:p>
    <w:p w14:paraId="0A04910A" w14:textId="225AAAD9" w:rsidR="00C938F5" w:rsidRPr="00B013DD" w:rsidRDefault="00C938F5" w:rsidP="00F66998">
      <w:pPr>
        <w:widowControl w:val="0"/>
        <w:tabs>
          <w:tab w:val="left" w:pos="993"/>
          <w:tab w:val="left" w:pos="1276"/>
          <w:tab w:val="left" w:pos="2835"/>
          <w:tab w:val="left" w:pos="7380"/>
        </w:tabs>
        <w:rPr>
          <w:color w:val="1F497D" w:themeColor="text2"/>
        </w:rPr>
      </w:pPr>
      <w:r w:rsidRPr="00B013DD">
        <w:rPr>
          <w:color w:val="1F497D" w:themeColor="text2"/>
        </w:rPr>
        <w:t xml:space="preserve">The chair explained that the 5 items last presented to GRVA in the TF ADAS status report have mostly been addressed. </w:t>
      </w:r>
    </w:p>
    <w:p w14:paraId="25FADBF3" w14:textId="61FCB197" w:rsidR="00C938F5" w:rsidRPr="00B013DD" w:rsidRDefault="00C938F5" w:rsidP="00F66998">
      <w:pPr>
        <w:widowControl w:val="0"/>
        <w:tabs>
          <w:tab w:val="left" w:pos="993"/>
          <w:tab w:val="left" w:pos="1276"/>
          <w:tab w:val="left" w:pos="2835"/>
          <w:tab w:val="left" w:pos="7380"/>
        </w:tabs>
        <w:rPr>
          <w:color w:val="1F497D" w:themeColor="text2"/>
        </w:rPr>
      </w:pPr>
      <w:r w:rsidRPr="00B013DD">
        <w:rPr>
          <w:color w:val="1F497D" w:themeColor="text2"/>
        </w:rPr>
        <w:t xml:space="preserve">CLEPA noted that if there is the need to modify the principles of </w:t>
      </w:r>
      <w:r w:rsidR="00C70E71" w:rsidRPr="00B013DD">
        <w:rPr>
          <w:color w:val="1F497D" w:themeColor="text2"/>
        </w:rPr>
        <w:t>low-speed</w:t>
      </w:r>
      <w:r w:rsidRPr="00B013DD">
        <w:rPr>
          <w:color w:val="1F497D" w:themeColor="text2"/>
        </w:rPr>
        <w:t xml:space="preserve"> manoeuvring we can revisit with an additional proposal.</w:t>
      </w:r>
    </w:p>
    <w:p w14:paraId="4D3F92F7" w14:textId="6649C4BC" w:rsidR="00A66C50" w:rsidRPr="00B013DD" w:rsidRDefault="00A66C50" w:rsidP="00F17FE3">
      <w:pPr>
        <w:widowControl w:val="0"/>
        <w:tabs>
          <w:tab w:val="left" w:pos="993"/>
          <w:tab w:val="left" w:pos="1276"/>
          <w:tab w:val="left" w:pos="2835"/>
          <w:tab w:val="left" w:pos="7380"/>
        </w:tabs>
        <w:rPr>
          <w:b/>
          <w:bCs/>
        </w:rPr>
      </w:pPr>
    </w:p>
    <w:p w14:paraId="311AF5BE" w14:textId="77777777" w:rsidR="00C938F5" w:rsidRPr="00B013DD" w:rsidRDefault="00ED1709" w:rsidP="00C938F5">
      <w:pPr>
        <w:pStyle w:val="ListParagraph"/>
        <w:numPr>
          <w:ilvl w:val="0"/>
          <w:numId w:val="2"/>
        </w:numPr>
        <w:tabs>
          <w:tab w:val="left" w:pos="993"/>
          <w:tab w:val="left" w:pos="1276"/>
          <w:tab w:val="left" w:pos="7380"/>
        </w:tabs>
        <w:rPr>
          <w:b/>
          <w:bCs/>
        </w:rPr>
      </w:pPr>
      <w:r w:rsidRPr="00B013DD">
        <w:rPr>
          <w:b/>
          <w:bCs/>
        </w:rPr>
        <w:t>AOB</w:t>
      </w:r>
    </w:p>
    <w:p w14:paraId="56FB89E9" w14:textId="77777777" w:rsidR="00C938F5" w:rsidRPr="00B013DD" w:rsidRDefault="00C938F5" w:rsidP="00C938F5">
      <w:pPr>
        <w:pStyle w:val="ListParagraph"/>
        <w:tabs>
          <w:tab w:val="left" w:pos="993"/>
          <w:tab w:val="left" w:pos="1276"/>
          <w:tab w:val="left" w:pos="7380"/>
        </w:tabs>
        <w:ind w:left="720"/>
        <w:rPr>
          <w:b/>
          <w:bCs/>
        </w:rPr>
      </w:pPr>
    </w:p>
    <w:p w14:paraId="0633BC20" w14:textId="21187AB8" w:rsidR="00C938F5" w:rsidRPr="00797E65" w:rsidRDefault="00C938F5" w:rsidP="00797E65">
      <w:pPr>
        <w:tabs>
          <w:tab w:val="left" w:pos="993"/>
          <w:tab w:val="left" w:pos="1276"/>
          <w:tab w:val="left" w:pos="7380"/>
        </w:tabs>
        <w:rPr>
          <w:color w:val="1F497D" w:themeColor="text2"/>
        </w:rPr>
      </w:pPr>
      <w:r w:rsidRPr="00B013DD">
        <w:rPr>
          <w:color w:val="1F497D" w:themeColor="text2"/>
        </w:rPr>
        <w:t>Norway commented that when presenting updates from the Task Force to GRVA, an explanation of ‘wHOR’ should be made as experts not involved in these discussions may not understand what it means.</w:t>
      </w:r>
    </w:p>
    <w:sectPr w:rsidR="00C938F5" w:rsidRPr="00797E65" w:rsidSect="00497E28">
      <w:footerReference w:type="even" r:id="rId12"/>
      <w:footerReference w:type="defaul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F67F6" w14:textId="77777777" w:rsidR="00621421" w:rsidRDefault="00621421">
      <w:r>
        <w:separator/>
      </w:r>
    </w:p>
  </w:endnote>
  <w:endnote w:type="continuationSeparator" w:id="0">
    <w:p w14:paraId="78D1994D" w14:textId="77777777" w:rsidR="00621421" w:rsidRDefault="006214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ADAA0" w14:textId="7665C78E" w:rsidR="00A232FC" w:rsidRDefault="0038779B" w:rsidP="009807E6">
    <w:pPr>
      <w:pStyle w:val="Footer"/>
      <w:framePr w:wrap="around" w:vAnchor="text" w:hAnchor="margin" w:xAlign="right" w:y="1"/>
      <w:rPr>
        <w:rStyle w:val="PageNumber"/>
      </w:rPr>
    </w:pPr>
    <w:r>
      <w:rPr>
        <w:rStyle w:val="PageNumber"/>
      </w:rPr>
      <w:fldChar w:fldCharType="begin"/>
    </w:r>
    <w:r w:rsidR="00A232FC">
      <w:rPr>
        <w:rStyle w:val="PageNumber"/>
      </w:rPr>
      <w:instrText xml:space="preserve">PAGE  </w:instrText>
    </w:r>
    <w:r>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96707" w14:textId="32B57567" w:rsidR="00A232FC" w:rsidRDefault="0038779B" w:rsidP="009807E6">
    <w:pPr>
      <w:pStyle w:val="Footer"/>
      <w:framePr w:wrap="around" w:vAnchor="text" w:hAnchor="margin" w:xAlign="right" w:y="1"/>
      <w:rPr>
        <w:rStyle w:val="PageNumber"/>
      </w:rPr>
    </w:pPr>
    <w:r>
      <w:rPr>
        <w:rStyle w:val="PageNumber"/>
      </w:rPr>
      <w:fldChar w:fldCharType="begin"/>
    </w:r>
    <w:r w:rsidR="00A232FC">
      <w:rPr>
        <w:rStyle w:val="PageNumber"/>
      </w:rPr>
      <w:instrText xml:space="preserve">PAGE  </w:instrText>
    </w:r>
    <w:r>
      <w:rPr>
        <w:rStyle w:val="PageNumber"/>
      </w:rPr>
      <w:fldChar w:fldCharType="separate"/>
    </w:r>
    <w:r w:rsidR="002A66A5">
      <w:rPr>
        <w:rStyle w:val="PageNumber"/>
        <w:noProof/>
      </w:rPr>
      <w:t>3</w:t>
    </w:r>
    <w:r>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687781" w14:textId="77777777" w:rsidR="00621421" w:rsidRDefault="00621421">
      <w:r>
        <w:separator/>
      </w:r>
    </w:p>
  </w:footnote>
  <w:footnote w:type="continuationSeparator" w:id="0">
    <w:p w14:paraId="22DC6775" w14:textId="77777777" w:rsidR="00621421" w:rsidRDefault="006214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142F35"/>
    <w:multiLevelType w:val="hybridMultilevel"/>
    <w:tmpl w:val="60CA8776"/>
    <w:lvl w:ilvl="0" w:tplc="2DBE4E9E">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3"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216F59AA"/>
    <w:multiLevelType w:val="multilevel"/>
    <w:tmpl w:val="D400B70A"/>
    <w:lvl w:ilvl="0">
      <w:start w:val="1"/>
      <w:numFmt w:val="decimal"/>
      <w:lvlText w:val="%1."/>
      <w:lvlJc w:val="left"/>
      <w:pPr>
        <w:ind w:left="720" w:hanging="360"/>
      </w:pPr>
      <w:rPr>
        <w:rFonts w:hint="default"/>
        <w:b w:val="0"/>
        <w:i w:val="0"/>
      </w:rPr>
    </w:lvl>
    <w:lvl w:ilvl="1">
      <w:start w:val="1"/>
      <w:numFmt w:val="decimal"/>
      <w:isLgl/>
      <w:lvlText w:val="%1.%2."/>
      <w:lvlJc w:val="left"/>
      <w:pPr>
        <w:ind w:left="3053"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729773F"/>
    <w:multiLevelType w:val="hybridMultilevel"/>
    <w:tmpl w:val="B80419DC"/>
    <w:lvl w:ilvl="0" w:tplc="DE421F58">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29427F47"/>
    <w:multiLevelType w:val="multilevel"/>
    <w:tmpl w:val="24820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F3C57F4"/>
    <w:multiLevelType w:val="multilevel"/>
    <w:tmpl w:val="8E7483D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15:restartNumberingAfterBreak="0">
    <w:nsid w:val="34362A96"/>
    <w:multiLevelType w:val="hybridMultilevel"/>
    <w:tmpl w:val="2CE0F5FE"/>
    <w:lvl w:ilvl="0" w:tplc="A4142EF8">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15" w15:restartNumberingAfterBreak="0">
    <w:nsid w:val="34EC07EA"/>
    <w:multiLevelType w:val="multilevel"/>
    <w:tmpl w:val="84F40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36035EBC"/>
    <w:multiLevelType w:val="multilevel"/>
    <w:tmpl w:val="DFD823DA"/>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9"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3AEF34CD"/>
    <w:multiLevelType w:val="multilevel"/>
    <w:tmpl w:val="CFE63D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22" w15:restartNumberingAfterBreak="0">
    <w:nsid w:val="48E831D3"/>
    <w:multiLevelType w:val="hybridMultilevel"/>
    <w:tmpl w:val="91DC1E6A"/>
    <w:lvl w:ilvl="0" w:tplc="F01C26CA">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9EB7F0A"/>
    <w:multiLevelType w:val="multilevel"/>
    <w:tmpl w:val="DD627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29"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31" w15:restartNumberingAfterBreak="0">
    <w:nsid w:val="69924A58"/>
    <w:multiLevelType w:val="hybridMultilevel"/>
    <w:tmpl w:val="DA1047D0"/>
    <w:lvl w:ilvl="0" w:tplc="6D80380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32" w15:restartNumberingAfterBreak="0">
    <w:nsid w:val="69E36E14"/>
    <w:multiLevelType w:val="hybridMultilevel"/>
    <w:tmpl w:val="CAA2504A"/>
    <w:lvl w:ilvl="0" w:tplc="381AB380">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33"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709D1556"/>
    <w:multiLevelType w:val="multilevel"/>
    <w:tmpl w:val="698A6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1C5696F"/>
    <w:multiLevelType w:val="multilevel"/>
    <w:tmpl w:val="8E7483D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38"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0"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1"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2" w15:restartNumberingAfterBreak="0">
    <w:nsid w:val="7FBF0943"/>
    <w:multiLevelType w:val="hybridMultilevel"/>
    <w:tmpl w:val="1E1EDC10"/>
    <w:lvl w:ilvl="0" w:tplc="55DEBDD4">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num w:numId="1" w16cid:durableId="2135245848">
    <w:abstractNumId w:val="30"/>
  </w:num>
  <w:num w:numId="2" w16cid:durableId="1553884643">
    <w:abstractNumId w:val="6"/>
  </w:num>
  <w:num w:numId="3" w16cid:durableId="1007711509">
    <w:abstractNumId w:val="19"/>
  </w:num>
  <w:num w:numId="4" w16cid:durableId="1862738937">
    <w:abstractNumId w:val="10"/>
  </w:num>
  <w:num w:numId="5" w16cid:durableId="1591812393">
    <w:abstractNumId w:val="24"/>
  </w:num>
  <w:num w:numId="6" w16cid:durableId="538131539">
    <w:abstractNumId w:val="38"/>
  </w:num>
  <w:num w:numId="7" w16cid:durableId="1302224454">
    <w:abstractNumId w:val="29"/>
  </w:num>
  <w:num w:numId="8" w16cid:durableId="392504766">
    <w:abstractNumId w:val="18"/>
  </w:num>
  <w:num w:numId="9" w16cid:durableId="869730167">
    <w:abstractNumId w:val="11"/>
  </w:num>
  <w:num w:numId="10" w16cid:durableId="803356885">
    <w:abstractNumId w:val="37"/>
  </w:num>
  <w:num w:numId="11" w16cid:durableId="1737900954">
    <w:abstractNumId w:val="16"/>
  </w:num>
  <w:num w:numId="12" w16cid:durableId="1459881443">
    <w:abstractNumId w:val="35"/>
  </w:num>
  <w:num w:numId="13" w16cid:durableId="1949846869">
    <w:abstractNumId w:val="25"/>
  </w:num>
  <w:num w:numId="14" w16cid:durableId="2119444963">
    <w:abstractNumId w:val="39"/>
    <w:lvlOverride w:ilvl="0"/>
    <w:lvlOverride w:ilvl="1">
      <w:startOverride w:val="1"/>
    </w:lvlOverride>
    <w:lvlOverride w:ilvl="2"/>
    <w:lvlOverride w:ilvl="3"/>
    <w:lvlOverride w:ilvl="4"/>
    <w:lvlOverride w:ilvl="5"/>
    <w:lvlOverride w:ilvl="6"/>
    <w:lvlOverride w:ilvl="7"/>
    <w:lvlOverride w:ilvl="8"/>
  </w:num>
  <w:num w:numId="15" w16cid:durableId="901328406">
    <w:abstractNumId w:val="5"/>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41"/>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40"/>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3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1"/>
  </w:num>
  <w:num w:numId="22" w16cid:durableId="418142408">
    <w:abstractNumId w:val="27"/>
  </w:num>
  <w:num w:numId="23" w16cid:durableId="1978148353">
    <w:abstractNumId w:val="4"/>
  </w:num>
  <w:num w:numId="24" w16cid:durableId="1779061576">
    <w:abstractNumId w:val="13"/>
  </w:num>
  <w:num w:numId="25" w16cid:durableId="396784769">
    <w:abstractNumId w:val="28"/>
  </w:num>
  <w:num w:numId="26" w16cid:durableId="919828442">
    <w:abstractNumId w:val="26"/>
  </w:num>
  <w:num w:numId="27" w16cid:durableId="79108901">
    <w:abstractNumId w:val="0"/>
  </w:num>
  <w:num w:numId="28" w16cid:durableId="2065248590">
    <w:abstractNumId w:val="21"/>
  </w:num>
  <w:num w:numId="29" w16cid:durableId="1954707694">
    <w:abstractNumId w:val="2"/>
  </w:num>
  <w:num w:numId="30" w16cid:durableId="800196916">
    <w:abstractNumId w:val="31"/>
  </w:num>
  <w:num w:numId="31" w16cid:durableId="1289048820">
    <w:abstractNumId w:val="42"/>
  </w:num>
  <w:num w:numId="32" w16cid:durableId="1293830819">
    <w:abstractNumId w:val="32"/>
  </w:num>
  <w:num w:numId="33" w16cid:durableId="613173681">
    <w:abstractNumId w:val="14"/>
  </w:num>
  <w:num w:numId="34" w16cid:durableId="656615014">
    <w:abstractNumId w:val="7"/>
  </w:num>
  <w:num w:numId="35" w16cid:durableId="531066523">
    <w:abstractNumId w:val="22"/>
  </w:num>
  <w:num w:numId="36" w16cid:durableId="2042512699">
    <w:abstractNumId w:val="34"/>
  </w:num>
  <w:num w:numId="37" w16cid:durableId="677655121">
    <w:abstractNumId w:val="9"/>
  </w:num>
  <w:num w:numId="38" w16cid:durableId="17320358">
    <w:abstractNumId w:val="23"/>
  </w:num>
  <w:num w:numId="39" w16cid:durableId="795415589">
    <w:abstractNumId w:val="15"/>
  </w:num>
  <w:num w:numId="40" w16cid:durableId="1366172429">
    <w:abstractNumId w:val="20"/>
  </w:num>
  <w:num w:numId="41" w16cid:durableId="596183642">
    <w:abstractNumId w:val="36"/>
  </w:num>
  <w:num w:numId="42" w16cid:durableId="75327322">
    <w:abstractNumId w:val="12"/>
  </w:num>
  <w:num w:numId="43" w16cid:durableId="589581873">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0F00"/>
    <w:rsid w:val="0000137E"/>
    <w:rsid w:val="00002BCC"/>
    <w:rsid w:val="00002D80"/>
    <w:rsid w:val="00003437"/>
    <w:rsid w:val="0000362C"/>
    <w:rsid w:val="00003638"/>
    <w:rsid w:val="00005FE1"/>
    <w:rsid w:val="00006740"/>
    <w:rsid w:val="00006FF2"/>
    <w:rsid w:val="000105F2"/>
    <w:rsid w:val="00010724"/>
    <w:rsid w:val="00010A71"/>
    <w:rsid w:val="0001293C"/>
    <w:rsid w:val="000133B9"/>
    <w:rsid w:val="00013B0B"/>
    <w:rsid w:val="00014E96"/>
    <w:rsid w:val="00015BC1"/>
    <w:rsid w:val="00015DDF"/>
    <w:rsid w:val="00020827"/>
    <w:rsid w:val="00023102"/>
    <w:rsid w:val="000232A9"/>
    <w:rsid w:val="000237D4"/>
    <w:rsid w:val="000237E6"/>
    <w:rsid w:val="00024C77"/>
    <w:rsid w:val="00025FB8"/>
    <w:rsid w:val="00027A62"/>
    <w:rsid w:val="000300A9"/>
    <w:rsid w:val="00031357"/>
    <w:rsid w:val="00031D85"/>
    <w:rsid w:val="000329B2"/>
    <w:rsid w:val="000346B3"/>
    <w:rsid w:val="00034B46"/>
    <w:rsid w:val="00035F42"/>
    <w:rsid w:val="00036416"/>
    <w:rsid w:val="000375EE"/>
    <w:rsid w:val="00040C9C"/>
    <w:rsid w:val="0004168D"/>
    <w:rsid w:val="00041EA8"/>
    <w:rsid w:val="000438B0"/>
    <w:rsid w:val="00044622"/>
    <w:rsid w:val="000462A0"/>
    <w:rsid w:val="00047962"/>
    <w:rsid w:val="00047BB2"/>
    <w:rsid w:val="00050CFE"/>
    <w:rsid w:val="00051551"/>
    <w:rsid w:val="0005292E"/>
    <w:rsid w:val="00052B65"/>
    <w:rsid w:val="00053DDE"/>
    <w:rsid w:val="000547D7"/>
    <w:rsid w:val="00054C65"/>
    <w:rsid w:val="00054DE1"/>
    <w:rsid w:val="00054EA1"/>
    <w:rsid w:val="00055F5F"/>
    <w:rsid w:val="00056F7D"/>
    <w:rsid w:val="00060A0A"/>
    <w:rsid w:val="00060B1F"/>
    <w:rsid w:val="00061A78"/>
    <w:rsid w:val="000635C6"/>
    <w:rsid w:val="000639C3"/>
    <w:rsid w:val="00063B92"/>
    <w:rsid w:val="000644E9"/>
    <w:rsid w:val="00070306"/>
    <w:rsid w:val="00070FCD"/>
    <w:rsid w:val="00070FE4"/>
    <w:rsid w:val="00071990"/>
    <w:rsid w:val="00072AF6"/>
    <w:rsid w:val="00072CB6"/>
    <w:rsid w:val="00072FFE"/>
    <w:rsid w:val="000736CA"/>
    <w:rsid w:val="000745A0"/>
    <w:rsid w:val="00076A21"/>
    <w:rsid w:val="000772EE"/>
    <w:rsid w:val="00080BE7"/>
    <w:rsid w:val="00083D34"/>
    <w:rsid w:val="00083F0F"/>
    <w:rsid w:val="00084B21"/>
    <w:rsid w:val="00085C89"/>
    <w:rsid w:val="00085F55"/>
    <w:rsid w:val="00090CC3"/>
    <w:rsid w:val="000926A0"/>
    <w:rsid w:val="000928B9"/>
    <w:rsid w:val="00093461"/>
    <w:rsid w:val="000939CB"/>
    <w:rsid w:val="00093B96"/>
    <w:rsid w:val="00093D1B"/>
    <w:rsid w:val="00093DD4"/>
    <w:rsid w:val="000950CB"/>
    <w:rsid w:val="00095437"/>
    <w:rsid w:val="00095F13"/>
    <w:rsid w:val="00097EDD"/>
    <w:rsid w:val="000A135C"/>
    <w:rsid w:val="000A1A7A"/>
    <w:rsid w:val="000A1F81"/>
    <w:rsid w:val="000A2099"/>
    <w:rsid w:val="000A3227"/>
    <w:rsid w:val="000A5058"/>
    <w:rsid w:val="000B219B"/>
    <w:rsid w:val="000B2C64"/>
    <w:rsid w:val="000B2DE4"/>
    <w:rsid w:val="000C1D34"/>
    <w:rsid w:val="000C5054"/>
    <w:rsid w:val="000C5533"/>
    <w:rsid w:val="000C7DC9"/>
    <w:rsid w:val="000D14A7"/>
    <w:rsid w:val="000D2502"/>
    <w:rsid w:val="000D5012"/>
    <w:rsid w:val="000D50F9"/>
    <w:rsid w:val="000D59E2"/>
    <w:rsid w:val="000D7ED8"/>
    <w:rsid w:val="000D7F3E"/>
    <w:rsid w:val="000E22D4"/>
    <w:rsid w:val="000E2761"/>
    <w:rsid w:val="000E2891"/>
    <w:rsid w:val="000E3966"/>
    <w:rsid w:val="000E7DD3"/>
    <w:rsid w:val="000F371D"/>
    <w:rsid w:val="000F3B7E"/>
    <w:rsid w:val="000F404A"/>
    <w:rsid w:val="000F40ED"/>
    <w:rsid w:val="000F49D6"/>
    <w:rsid w:val="000F4D81"/>
    <w:rsid w:val="000F749A"/>
    <w:rsid w:val="000F7592"/>
    <w:rsid w:val="00100FE7"/>
    <w:rsid w:val="00101D2F"/>
    <w:rsid w:val="00102D4F"/>
    <w:rsid w:val="00103DF8"/>
    <w:rsid w:val="00105CC0"/>
    <w:rsid w:val="001072B1"/>
    <w:rsid w:val="00107FF9"/>
    <w:rsid w:val="00114E9C"/>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5699A"/>
    <w:rsid w:val="00160BB7"/>
    <w:rsid w:val="00160F3A"/>
    <w:rsid w:val="001611E3"/>
    <w:rsid w:val="00161343"/>
    <w:rsid w:val="00161B49"/>
    <w:rsid w:val="00161E37"/>
    <w:rsid w:val="00163A50"/>
    <w:rsid w:val="00163EB3"/>
    <w:rsid w:val="00164820"/>
    <w:rsid w:val="001664D3"/>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95630"/>
    <w:rsid w:val="00196F55"/>
    <w:rsid w:val="001A0CA9"/>
    <w:rsid w:val="001A1177"/>
    <w:rsid w:val="001A2708"/>
    <w:rsid w:val="001A3142"/>
    <w:rsid w:val="001A3AC5"/>
    <w:rsid w:val="001A3B26"/>
    <w:rsid w:val="001B0957"/>
    <w:rsid w:val="001B0DF2"/>
    <w:rsid w:val="001B11E8"/>
    <w:rsid w:val="001B457B"/>
    <w:rsid w:val="001B5B82"/>
    <w:rsid w:val="001B5CB8"/>
    <w:rsid w:val="001B7337"/>
    <w:rsid w:val="001B75CB"/>
    <w:rsid w:val="001C171F"/>
    <w:rsid w:val="001C277F"/>
    <w:rsid w:val="001C3058"/>
    <w:rsid w:val="001C314C"/>
    <w:rsid w:val="001C33BD"/>
    <w:rsid w:val="001C44E4"/>
    <w:rsid w:val="001C4D2D"/>
    <w:rsid w:val="001C4DAF"/>
    <w:rsid w:val="001C5BBF"/>
    <w:rsid w:val="001C6A55"/>
    <w:rsid w:val="001D0612"/>
    <w:rsid w:val="001D1D32"/>
    <w:rsid w:val="001D30DE"/>
    <w:rsid w:val="001D5F23"/>
    <w:rsid w:val="001D7003"/>
    <w:rsid w:val="001D7A57"/>
    <w:rsid w:val="001E053E"/>
    <w:rsid w:val="001E3F12"/>
    <w:rsid w:val="001E4DA6"/>
    <w:rsid w:val="001E5CAB"/>
    <w:rsid w:val="001E613A"/>
    <w:rsid w:val="001E6557"/>
    <w:rsid w:val="001F0194"/>
    <w:rsid w:val="001F1482"/>
    <w:rsid w:val="001F3AFA"/>
    <w:rsid w:val="001F3B3F"/>
    <w:rsid w:val="00200853"/>
    <w:rsid w:val="00201963"/>
    <w:rsid w:val="00202F5F"/>
    <w:rsid w:val="00203BBC"/>
    <w:rsid w:val="002047BF"/>
    <w:rsid w:val="00204859"/>
    <w:rsid w:val="002068BB"/>
    <w:rsid w:val="00206DB0"/>
    <w:rsid w:val="00207513"/>
    <w:rsid w:val="0020757C"/>
    <w:rsid w:val="0020779C"/>
    <w:rsid w:val="00207DE9"/>
    <w:rsid w:val="00207E76"/>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9CA"/>
    <w:rsid w:val="002249F3"/>
    <w:rsid w:val="00227CC8"/>
    <w:rsid w:val="002301F9"/>
    <w:rsid w:val="002312DE"/>
    <w:rsid w:val="002332DF"/>
    <w:rsid w:val="00233305"/>
    <w:rsid w:val="002365A6"/>
    <w:rsid w:val="0023710A"/>
    <w:rsid w:val="00241AC3"/>
    <w:rsid w:val="002425F3"/>
    <w:rsid w:val="0024266B"/>
    <w:rsid w:val="002428EE"/>
    <w:rsid w:val="00242A03"/>
    <w:rsid w:val="002453C2"/>
    <w:rsid w:val="00247282"/>
    <w:rsid w:val="0024758E"/>
    <w:rsid w:val="002478FF"/>
    <w:rsid w:val="0025104E"/>
    <w:rsid w:val="00251410"/>
    <w:rsid w:val="0025311B"/>
    <w:rsid w:val="002544D2"/>
    <w:rsid w:val="002545E5"/>
    <w:rsid w:val="0025640F"/>
    <w:rsid w:val="002567F6"/>
    <w:rsid w:val="00256901"/>
    <w:rsid w:val="00256CA7"/>
    <w:rsid w:val="002579FB"/>
    <w:rsid w:val="0026006C"/>
    <w:rsid w:val="00260942"/>
    <w:rsid w:val="00261FBF"/>
    <w:rsid w:val="002622F8"/>
    <w:rsid w:val="0026382F"/>
    <w:rsid w:val="00263A21"/>
    <w:rsid w:val="00263EC7"/>
    <w:rsid w:val="0026498E"/>
    <w:rsid w:val="00265001"/>
    <w:rsid w:val="00265F9C"/>
    <w:rsid w:val="00266C1C"/>
    <w:rsid w:val="00271142"/>
    <w:rsid w:val="0027263A"/>
    <w:rsid w:val="002731EA"/>
    <w:rsid w:val="0027381B"/>
    <w:rsid w:val="002740F8"/>
    <w:rsid w:val="00275306"/>
    <w:rsid w:val="00275BC0"/>
    <w:rsid w:val="002771B0"/>
    <w:rsid w:val="002771DF"/>
    <w:rsid w:val="00281748"/>
    <w:rsid w:val="002835C6"/>
    <w:rsid w:val="00283A5C"/>
    <w:rsid w:val="00284174"/>
    <w:rsid w:val="002846B7"/>
    <w:rsid w:val="00285EA5"/>
    <w:rsid w:val="00286269"/>
    <w:rsid w:val="00290286"/>
    <w:rsid w:val="002902ED"/>
    <w:rsid w:val="0029286E"/>
    <w:rsid w:val="00293C74"/>
    <w:rsid w:val="0029637D"/>
    <w:rsid w:val="0029654C"/>
    <w:rsid w:val="0029699D"/>
    <w:rsid w:val="002973E6"/>
    <w:rsid w:val="00297D05"/>
    <w:rsid w:val="002A062C"/>
    <w:rsid w:val="002A18AA"/>
    <w:rsid w:val="002A1CBD"/>
    <w:rsid w:val="002A4F3C"/>
    <w:rsid w:val="002A61EC"/>
    <w:rsid w:val="002A62C7"/>
    <w:rsid w:val="002A66A5"/>
    <w:rsid w:val="002A77FC"/>
    <w:rsid w:val="002B0B97"/>
    <w:rsid w:val="002B10F3"/>
    <w:rsid w:val="002B1C98"/>
    <w:rsid w:val="002B29B3"/>
    <w:rsid w:val="002B2D33"/>
    <w:rsid w:val="002B3E3F"/>
    <w:rsid w:val="002B425F"/>
    <w:rsid w:val="002B619B"/>
    <w:rsid w:val="002B69AB"/>
    <w:rsid w:val="002B6DC7"/>
    <w:rsid w:val="002B71F3"/>
    <w:rsid w:val="002C12F1"/>
    <w:rsid w:val="002C1D43"/>
    <w:rsid w:val="002C1EF9"/>
    <w:rsid w:val="002C2D71"/>
    <w:rsid w:val="002C30B2"/>
    <w:rsid w:val="002C3A81"/>
    <w:rsid w:val="002C4DC1"/>
    <w:rsid w:val="002C6A64"/>
    <w:rsid w:val="002C6AC2"/>
    <w:rsid w:val="002C7DEE"/>
    <w:rsid w:val="002D2C81"/>
    <w:rsid w:val="002D3FDE"/>
    <w:rsid w:val="002D417B"/>
    <w:rsid w:val="002D4B15"/>
    <w:rsid w:val="002D5F1B"/>
    <w:rsid w:val="002D7F35"/>
    <w:rsid w:val="002E016C"/>
    <w:rsid w:val="002E11FB"/>
    <w:rsid w:val="002E4D06"/>
    <w:rsid w:val="002E5032"/>
    <w:rsid w:val="002E554C"/>
    <w:rsid w:val="002E55A2"/>
    <w:rsid w:val="002E55EF"/>
    <w:rsid w:val="002E57DD"/>
    <w:rsid w:val="002E5DBF"/>
    <w:rsid w:val="002E7167"/>
    <w:rsid w:val="002F02E0"/>
    <w:rsid w:val="002F04D1"/>
    <w:rsid w:val="002F239A"/>
    <w:rsid w:val="002F23CF"/>
    <w:rsid w:val="002F2BE4"/>
    <w:rsid w:val="002F35DB"/>
    <w:rsid w:val="002F380D"/>
    <w:rsid w:val="002F410A"/>
    <w:rsid w:val="002F5239"/>
    <w:rsid w:val="002F6983"/>
    <w:rsid w:val="002F7A2A"/>
    <w:rsid w:val="00300522"/>
    <w:rsid w:val="00300D07"/>
    <w:rsid w:val="0030264B"/>
    <w:rsid w:val="00302A75"/>
    <w:rsid w:val="00303006"/>
    <w:rsid w:val="00303DC7"/>
    <w:rsid w:val="003053EA"/>
    <w:rsid w:val="00305493"/>
    <w:rsid w:val="00311019"/>
    <w:rsid w:val="00312391"/>
    <w:rsid w:val="00313AA3"/>
    <w:rsid w:val="0031562E"/>
    <w:rsid w:val="003178DC"/>
    <w:rsid w:val="00317AE7"/>
    <w:rsid w:val="00320165"/>
    <w:rsid w:val="0032175D"/>
    <w:rsid w:val="00321FD8"/>
    <w:rsid w:val="00322298"/>
    <w:rsid w:val="0032246F"/>
    <w:rsid w:val="003224BC"/>
    <w:rsid w:val="0032603A"/>
    <w:rsid w:val="003320B4"/>
    <w:rsid w:val="00332D2C"/>
    <w:rsid w:val="00334F0F"/>
    <w:rsid w:val="003362C3"/>
    <w:rsid w:val="0034020D"/>
    <w:rsid w:val="0034145F"/>
    <w:rsid w:val="00343276"/>
    <w:rsid w:val="00343636"/>
    <w:rsid w:val="00345F5E"/>
    <w:rsid w:val="00346352"/>
    <w:rsid w:val="00346369"/>
    <w:rsid w:val="00346BAD"/>
    <w:rsid w:val="003505C4"/>
    <w:rsid w:val="003509B9"/>
    <w:rsid w:val="00350D23"/>
    <w:rsid w:val="00354A1F"/>
    <w:rsid w:val="00356727"/>
    <w:rsid w:val="003572D7"/>
    <w:rsid w:val="00360914"/>
    <w:rsid w:val="003632D8"/>
    <w:rsid w:val="0036330F"/>
    <w:rsid w:val="00363678"/>
    <w:rsid w:val="0036478A"/>
    <w:rsid w:val="00365AED"/>
    <w:rsid w:val="003662FA"/>
    <w:rsid w:val="00367E7E"/>
    <w:rsid w:val="00371B4B"/>
    <w:rsid w:val="00372C2A"/>
    <w:rsid w:val="00373074"/>
    <w:rsid w:val="0037436A"/>
    <w:rsid w:val="0037526C"/>
    <w:rsid w:val="003767BD"/>
    <w:rsid w:val="00376AD8"/>
    <w:rsid w:val="00376CA0"/>
    <w:rsid w:val="00377509"/>
    <w:rsid w:val="00377DD1"/>
    <w:rsid w:val="00377E16"/>
    <w:rsid w:val="00380C8E"/>
    <w:rsid w:val="00381579"/>
    <w:rsid w:val="00383649"/>
    <w:rsid w:val="00384ACF"/>
    <w:rsid w:val="003871E2"/>
    <w:rsid w:val="0038779B"/>
    <w:rsid w:val="00387B4F"/>
    <w:rsid w:val="0039024B"/>
    <w:rsid w:val="0039061E"/>
    <w:rsid w:val="003942A0"/>
    <w:rsid w:val="00394973"/>
    <w:rsid w:val="00397685"/>
    <w:rsid w:val="00397B52"/>
    <w:rsid w:val="003A0675"/>
    <w:rsid w:val="003A1741"/>
    <w:rsid w:val="003A2404"/>
    <w:rsid w:val="003A2CC6"/>
    <w:rsid w:val="003A3859"/>
    <w:rsid w:val="003A393D"/>
    <w:rsid w:val="003B0217"/>
    <w:rsid w:val="003B17BE"/>
    <w:rsid w:val="003B38BB"/>
    <w:rsid w:val="003B4D1E"/>
    <w:rsid w:val="003B53C5"/>
    <w:rsid w:val="003B60DB"/>
    <w:rsid w:val="003C1331"/>
    <w:rsid w:val="003C3DF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E6D70"/>
    <w:rsid w:val="003F26DF"/>
    <w:rsid w:val="003F2B14"/>
    <w:rsid w:val="003F2EEE"/>
    <w:rsid w:val="003F4743"/>
    <w:rsid w:val="003F48C7"/>
    <w:rsid w:val="003F5075"/>
    <w:rsid w:val="003F5A71"/>
    <w:rsid w:val="003F6DC9"/>
    <w:rsid w:val="003F7A2B"/>
    <w:rsid w:val="00400A43"/>
    <w:rsid w:val="00400B72"/>
    <w:rsid w:val="0040225D"/>
    <w:rsid w:val="00404E46"/>
    <w:rsid w:val="00405371"/>
    <w:rsid w:val="00406428"/>
    <w:rsid w:val="00406D0D"/>
    <w:rsid w:val="00407B66"/>
    <w:rsid w:val="00412815"/>
    <w:rsid w:val="00412DD4"/>
    <w:rsid w:val="0041359B"/>
    <w:rsid w:val="00415F73"/>
    <w:rsid w:val="0041603E"/>
    <w:rsid w:val="00416413"/>
    <w:rsid w:val="0042027A"/>
    <w:rsid w:val="004204C8"/>
    <w:rsid w:val="00421D84"/>
    <w:rsid w:val="00423C93"/>
    <w:rsid w:val="00425C82"/>
    <w:rsid w:val="0042624B"/>
    <w:rsid w:val="0043034B"/>
    <w:rsid w:val="00431921"/>
    <w:rsid w:val="004331C1"/>
    <w:rsid w:val="00434261"/>
    <w:rsid w:val="004347EA"/>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55F6D"/>
    <w:rsid w:val="004603A9"/>
    <w:rsid w:val="004605BE"/>
    <w:rsid w:val="00461D9C"/>
    <w:rsid w:val="00462708"/>
    <w:rsid w:val="00462EFD"/>
    <w:rsid w:val="00462FB2"/>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02C7"/>
    <w:rsid w:val="004B1487"/>
    <w:rsid w:val="004B1DC4"/>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AEB"/>
    <w:rsid w:val="004E4E81"/>
    <w:rsid w:val="004F05E6"/>
    <w:rsid w:val="004F2477"/>
    <w:rsid w:val="004F63A9"/>
    <w:rsid w:val="004F6A5F"/>
    <w:rsid w:val="004F7CD8"/>
    <w:rsid w:val="005002D8"/>
    <w:rsid w:val="005007A8"/>
    <w:rsid w:val="00500ABC"/>
    <w:rsid w:val="00500B5A"/>
    <w:rsid w:val="00501326"/>
    <w:rsid w:val="0050439A"/>
    <w:rsid w:val="005052E1"/>
    <w:rsid w:val="0050547E"/>
    <w:rsid w:val="0050677B"/>
    <w:rsid w:val="0051090B"/>
    <w:rsid w:val="00511406"/>
    <w:rsid w:val="00512168"/>
    <w:rsid w:val="005129B3"/>
    <w:rsid w:val="005145A0"/>
    <w:rsid w:val="00514F70"/>
    <w:rsid w:val="00516BB1"/>
    <w:rsid w:val="00521242"/>
    <w:rsid w:val="00524294"/>
    <w:rsid w:val="00524FF4"/>
    <w:rsid w:val="00526AAD"/>
    <w:rsid w:val="005275DE"/>
    <w:rsid w:val="00530527"/>
    <w:rsid w:val="00530FD0"/>
    <w:rsid w:val="00531064"/>
    <w:rsid w:val="005326F0"/>
    <w:rsid w:val="00532DAB"/>
    <w:rsid w:val="00533813"/>
    <w:rsid w:val="0053490B"/>
    <w:rsid w:val="00534FCC"/>
    <w:rsid w:val="0053610D"/>
    <w:rsid w:val="0053665A"/>
    <w:rsid w:val="00537E75"/>
    <w:rsid w:val="005407BB"/>
    <w:rsid w:val="005408DD"/>
    <w:rsid w:val="00542099"/>
    <w:rsid w:val="0054253C"/>
    <w:rsid w:val="00543667"/>
    <w:rsid w:val="00545CD1"/>
    <w:rsid w:val="00546E80"/>
    <w:rsid w:val="00547829"/>
    <w:rsid w:val="0055269D"/>
    <w:rsid w:val="00552ABA"/>
    <w:rsid w:val="00552B69"/>
    <w:rsid w:val="00556715"/>
    <w:rsid w:val="00560425"/>
    <w:rsid w:val="005606D6"/>
    <w:rsid w:val="005606F4"/>
    <w:rsid w:val="00560DC1"/>
    <w:rsid w:val="0056292C"/>
    <w:rsid w:val="005659C1"/>
    <w:rsid w:val="00565E6B"/>
    <w:rsid w:val="0057044C"/>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A7F19"/>
    <w:rsid w:val="005B1B6C"/>
    <w:rsid w:val="005B2663"/>
    <w:rsid w:val="005B3D56"/>
    <w:rsid w:val="005B5269"/>
    <w:rsid w:val="005B5865"/>
    <w:rsid w:val="005B59A6"/>
    <w:rsid w:val="005B76E6"/>
    <w:rsid w:val="005B7BD3"/>
    <w:rsid w:val="005C0198"/>
    <w:rsid w:val="005C1033"/>
    <w:rsid w:val="005C178D"/>
    <w:rsid w:val="005C17B4"/>
    <w:rsid w:val="005C23BE"/>
    <w:rsid w:val="005C472B"/>
    <w:rsid w:val="005C6644"/>
    <w:rsid w:val="005C6A39"/>
    <w:rsid w:val="005D3901"/>
    <w:rsid w:val="005D6FDE"/>
    <w:rsid w:val="005E0EC6"/>
    <w:rsid w:val="005E12C8"/>
    <w:rsid w:val="005E47B7"/>
    <w:rsid w:val="005E7534"/>
    <w:rsid w:val="005F0288"/>
    <w:rsid w:val="005F034C"/>
    <w:rsid w:val="005F0A14"/>
    <w:rsid w:val="005F0B25"/>
    <w:rsid w:val="005F1B80"/>
    <w:rsid w:val="005F5A39"/>
    <w:rsid w:val="005F6230"/>
    <w:rsid w:val="005F6899"/>
    <w:rsid w:val="005F7E98"/>
    <w:rsid w:val="00600625"/>
    <w:rsid w:val="006028D0"/>
    <w:rsid w:val="00602C36"/>
    <w:rsid w:val="00602E2D"/>
    <w:rsid w:val="00604B47"/>
    <w:rsid w:val="006050F8"/>
    <w:rsid w:val="006058E1"/>
    <w:rsid w:val="0061103E"/>
    <w:rsid w:val="00611076"/>
    <w:rsid w:val="006119E2"/>
    <w:rsid w:val="00612149"/>
    <w:rsid w:val="00616B12"/>
    <w:rsid w:val="0061777F"/>
    <w:rsid w:val="00621421"/>
    <w:rsid w:val="00621ECA"/>
    <w:rsid w:val="0062285F"/>
    <w:rsid w:val="0062678B"/>
    <w:rsid w:val="0062784B"/>
    <w:rsid w:val="0063173B"/>
    <w:rsid w:val="00633375"/>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413D"/>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6782"/>
    <w:rsid w:val="00687CB3"/>
    <w:rsid w:val="0069142B"/>
    <w:rsid w:val="00691D7A"/>
    <w:rsid w:val="00694830"/>
    <w:rsid w:val="0069676C"/>
    <w:rsid w:val="0069693C"/>
    <w:rsid w:val="006A0EEC"/>
    <w:rsid w:val="006A0F61"/>
    <w:rsid w:val="006A1218"/>
    <w:rsid w:val="006A2286"/>
    <w:rsid w:val="006A2510"/>
    <w:rsid w:val="006A25B3"/>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0AE2"/>
    <w:rsid w:val="006D4FA3"/>
    <w:rsid w:val="006D6AF9"/>
    <w:rsid w:val="006E3905"/>
    <w:rsid w:val="006E413D"/>
    <w:rsid w:val="006E5249"/>
    <w:rsid w:val="006E7F9F"/>
    <w:rsid w:val="006F2464"/>
    <w:rsid w:val="006F4192"/>
    <w:rsid w:val="006F42D8"/>
    <w:rsid w:val="006F4D49"/>
    <w:rsid w:val="006F586A"/>
    <w:rsid w:val="006F5F40"/>
    <w:rsid w:val="00700297"/>
    <w:rsid w:val="0070217C"/>
    <w:rsid w:val="00703CBD"/>
    <w:rsid w:val="00704831"/>
    <w:rsid w:val="00705280"/>
    <w:rsid w:val="007054A5"/>
    <w:rsid w:val="007069A9"/>
    <w:rsid w:val="0071341C"/>
    <w:rsid w:val="0071422C"/>
    <w:rsid w:val="00714617"/>
    <w:rsid w:val="007158DC"/>
    <w:rsid w:val="007165FC"/>
    <w:rsid w:val="00723C1F"/>
    <w:rsid w:val="00724398"/>
    <w:rsid w:val="00724534"/>
    <w:rsid w:val="00725135"/>
    <w:rsid w:val="0072629D"/>
    <w:rsid w:val="007304DC"/>
    <w:rsid w:val="0073098F"/>
    <w:rsid w:val="0073350C"/>
    <w:rsid w:val="00734514"/>
    <w:rsid w:val="00735D4E"/>
    <w:rsid w:val="00736E51"/>
    <w:rsid w:val="0074058C"/>
    <w:rsid w:val="00741239"/>
    <w:rsid w:val="00741BC6"/>
    <w:rsid w:val="00742508"/>
    <w:rsid w:val="007432BF"/>
    <w:rsid w:val="00745CBA"/>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19A"/>
    <w:rsid w:val="007719BA"/>
    <w:rsid w:val="0077201B"/>
    <w:rsid w:val="00774B34"/>
    <w:rsid w:val="00776BD3"/>
    <w:rsid w:val="007821E0"/>
    <w:rsid w:val="007828EE"/>
    <w:rsid w:val="00784116"/>
    <w:rsid w:val="00784518"/>
    <w:rsid w:val="00786BDB"/>
    <w:rsid w:val="007901AB"/>
    <w:rsid w:val="0079144C"/>
    <w:rsid w:val="00793E0B"/>
    <w:rsid w:val="00795656"/>
    <w:rsid w:val="007958D3"/>
    <w:rsid w:val="00797E65"/>
    <w:rsid w:val="007A14DE"/>
    <w:rsid w:val="007A44FE"/>
    <w:rsid w:val="007A47FE"/>
    <w:rsid w:val="007A69AE"/>
    <w:rsid w:val="007A7C80"/>
    <w:rsid w:val="007A7CDC"/>
    <w:rsid w:val="007B0066"/>
    <w:rsid w:val="007B1B9D"/>
    <w:rsid w:val="007B23CE"/>
    <w:rsid w:val="007B32C3"/>
    <w:rsid w:val="007B4226"/>
    <w:rsid w:val="007B7046"/>
    <w:rsid w:val="007C008B"/>
    <w:rsid w:val="007C0B50"/>
    <w:rsid w:val="007C1E8D"/>
    <w:rsid w:val="007C4D8F"/>
    <w:rsid w:val="007C5B74"/>
    <w:rsid w:val="007C6930"/>
    <w:rsid w:val="007D0D93"/>
    <w:rsid w:val="007D129B"/>
    <w:rsid w:val="007D541B"/>
    <w:rsid w:val="007D5994"/>
    <w:rsid w:val="007D6A49"/>
    <w:rsid w:val="007E0585"/>
    <w:rsid w:val="007E15FD"/>
    <w:rsid w:val="007E1C24"/>
    <w:rsid w:val="007E32F3"/>
    <w:rsid w:val="007E346B"/>
    <w:rsid w:val="007E39B9"/>
    <w:rsid w:val="007E50B8"/>
    <w:rsid w:val="007E5863"/>
    <w:rsid w:val="007E5A76"/>
    <w:rsid w:val="007E5BDF"/>
    <w:rsid w:val="007E69CE"/>
    <w:rsid w:val="007F4266"/>
    <w:rsid w:val="007F67DE"/>
    <w:rsid w:val="008008A2"/>
    <w:rsid w:val="008015BB"/>
    <w:rsid w:val="0080171C"/>
    <w:rsid w:val="0080197E"/>
    <w:rsid w:val="00801B84"/>
    <w:rsid w:val="00801C6C"/>
    <w:rsid w:val="00801E93"/>
    <w:rsid w:val="0080206C"/>
    <w:rsid w:val="0080456A"/>
    <w:rsid w:val="00806C02"/>
    <w:rsid w:val="008109E6"/>
    <w:rsid w:val="0081169F"/>
    <w:rsid w:val="00811866"/>
    <w:rsid w:val="008144D8"/>
    <w:rsid w:val="00816371"/>
    <w:rsid w:val="00817342"/>
    <w:rsid w:val="00817E46"/>
    <w:rsid w:val="0082003E"/>
    <w:rsid w:val="008200F1"/>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7F6D"/>
    <w:rsid w:val="00850EC3"/>
    <w:rsid w:val="008518E9"/>
    <w:rsid w:val="00851C65"/>
    <w:rsid w:val="00852C8D"/>
    <w:rsid w:val="00854196"/>
    <w:rsid w:val="00854C4E"/>
    <w:rsid w:val="00857EB6"/>
    <w:rsid w:val="00860505"/>
    <w:rsid w:val="00860EE9"/>
    <w:rsid w:val="00861F9A"/>
    <w:rsid w:val="00864853"/>
    <w:rsid w:val="00864F74"/>
    <w:rsid w:val="00865DE0"/>
    <w:rsid w:val="00866388"/>
    <w:rsid w:val="008665D5"/>
    <w:rsid w:val="00866EFC"/>
    <w:rsid w:val="0086714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97991"/>
    <w:rsid w:val="008A43AA"/>
    <w:rsid w:val="008A460B"/>
    <w:rsid w:val="008A484D"/>
    <w:rsid w:val="008A5B2D"/>
    <w:rsid w:val="008A60B5"/>
    <w:rsid w:val="008A6AAF"/>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321D"/>
    <w:rsid w:val="008C68BA"/>
    <w:rsid w:val="008C6F0A"/>
    <w:rsid w:val="008C71AF"/>
    <w:rsid w:val="008D0727"/>
    <w:rsid w:val="008D4CAA"/>
    <w:rsid w:val="008D7965"/>
    <w:rsid w:val="008E0034"/>
    <w:rsid w:val="008E0BEE"/>
    <w:rsid w:val="008E31B4"/>
    <w:rsid w:val="008E5BEB"/>
    <w:rsid w:val="008E5CF8"/>
    <w:rsid w:val="008E6884"/>
    <w:rsid w:val="008E6EC5"/>
    <w:rsid w:val="008F00A8"/>
    <w:rsid w:val="008F0995"/>
    <w:rsid w:val="008F0F6A"/>
    <w:rsid w:val="008F453C"/>
    <w:rsid w:val="008F68F3"/>
    <w:rsid w:val="008F71AD"/>
    <w:rsid w:val="0090015D"/>
    <w:rsid w:val="009002A7"/>
    <w:rsid w:val="00900C5B"/>
    <w:rsid w:val="00900C8C"/>
    <w:rsid w:val="0090157E"/>
    <w:rsid w:val="00901997"/>
    <w:rsid w:val="00903844"/>
    <w:rsid w:val="00903C15"/>
    <w:rsid w:val="009040DF"/>
    <w:rsid w:val="009043E8"/>
    <w:rsid w:val="00904883"/>
    <w:rsid w:val="009055F2"/>
    <w:rsid w:val="00906053"/>
    <w:rsid w:val="009120D2"/>
    <w:rsid w:val="00914FD1"/>
    <w:rsid w:val="009153A1"/>
    <w:rsid w:val="0091632C"/>
    <w:rsid w:val="00917D0C"/>
    <w:rsid w:val="009211C1"/>
    <w:rsid w:val="009244CF"/>
    <w:rsid w:val="00924CAB"/>
    <w:rsid w:val="0092782A"/>
    <w:rsid w:val="00927DF5"/>
    <w:rsid w:val="0093091E"/>
    <w:rsid w:val="00932826"/>
    <w:rsid w:val="00932AD4"/>
    <w:rsid w:val="0093762C"/>
    <w:rsid w:val="0094000A"/>
    <w:rsid w:val="009401BF"/>
    <w:rsid w:val="009419B9"/>
    <w:rsid w:val="009420D7"/>
    <w:rsid w:val="00942226"/>
    <w:rsid w:val="00942F0B"/>
    <w:rsid w:val="009432AE"/>
    <w:rsid w:val="0094441F"/>
    <w:rsid w:val="009448D7"/>
    <w:rsid w:val="0094666E"/>
    <w:rsid w:val="00947CC4"/>
    <w:rsid w:val="00950D32"/>
    <w:rsid w:val="00952B94"/>
    <w:rsid w:val="0095306F"/>
    <w:rsid w:val="00953A19"/>
    <w:rsid w:val="00953C93"/>
    <w:rsid w:val="00954A46"/>
    <w:rsid w:val="009553FC"/>
    <w:rsid w:val="009560ED"/>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402B"/>
    <w:rsid w:val="00975968"/>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97ABA"/>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830"/>
    <w:rsid w:val="009B0B75"/>
    <w:rsid w:val="009B0F22"/>
    <w:rsid w:val="009B1174"/>
    <w:rsid w:val="009B1F32"/>
    <w:rsid w:val="009B35AE"/>
    <w:rsid w:val="009B375C"/>
    <w:rsid w:val="009B5648"/>
    <w:rsid w:val="009B5944"/>
    <w:rsid w:val="009B6760"/>
    <w:rsid w:val="009C0E9C"/>
    <w:rsid w:val="009C425E"/>
    <w:rsid w:val="009C442E"/>
    <w:rsid w:val="009C4773"/>
    <w:rsid w:val="009C6115"/>
    <w:rsid w:val="009C6719"/>
    <w:rsid w:val="009C753A"/>
    <w:rsid w:val="009D192B"/>
    <w:rsid w:val="009D3BC0"/>
    <w:rsid w:val="009D54E0"/>
    <w:rsid w:val="009D588D"/>
    <w:rsid w:val="009D63A9"/>
    <w:rsid w:val="009D6728"/>
    <w:rsid w:val="009D7938"/>
    <w:rsid w:val="009E036D"/>
    <w:rsid w:val="009E0421"/>
    <w:rsid w:val="009E0436"/>
    <w:rsid w:val="009E0576"/>
    <w:rsid w:val="009E2DB7"/>
    <w:rsid w:val="009E491F"/>
    <w:rsid w:val="009E6618"/>
    <w:rsid w:val="009E7C13"/>
    <w:rsid w:val="009E7E83"/>
    <w:rsid w:val="009F0A71"/>
    <w:rsid w:val="009F148A"/>
    <w:rsid w:val="009F45B4"/>
    <w:rsid w:val="009F6EB4"/>
    <w:rsid w:val="009F725C"/>
    <w:rsid w:val="009F77EE"/>
    <w:rsid w:val="009F7BBD"/>
    <w:rsid w:val="00A0105F"/>
    <w:rsid w:val="00A01AB0"/>
    <w:rsid w:val="00A02B96"/>
    <w:rsid w:val="00A03E5E"/>
    <w:rsid w:val="00A045C5"/>
    <w:rsid w:val="00A0637B"/>
    <w:rsid w:val="00A072EA"/>
    <w:rsid w:val="00A07CB2"/>
    <w:rsid w:val="00A111A2"/>
    <w:rsid w:val="00A1153C"/>
    <w:rsid w:val="00A11DDF"/>
    <w:rsid w:val="00A12659"/>
    <w:rsid w:val="00A152DE"/>
    <w:rsid w:val="00A16B9C"/>
    <w:rsid w:val="00A16BEF"/>
    <w:rsid w:val="00A16CC9"/>
    <w:rsid w:val="00A179B0"/>
    <w:rsid w:val="00A232F9"/>
    <w:rsid w:val="00A232FC"/>
    <w:rsid w:val="00A259DF"/>
    <w:rsid w:val="00A26BB2"/>
    <w:rsid w:val="00A30E34"/>
    <w:rsid w:val="00A31C8E"/>
    <w:rsid w:val="00A31EB8"/>
    <w:rsid w:val="00A337FA"/>
    <w:rsid w:val="00A34B50"/>
    <w:rsid w:val="00A360D6"/>
    <w:rsid w:val="00A364C2"/>
    <w:rsid w:val="00A37839"/>
    <w:rsid w:val="00A4029B"/>
    <w:rsid w:val="00A40D7D"/>
    <w:rsid w:val="00A416B1"/>
    <w:rsid w:val="00A431E2"/>
    <w:rsid w:val="00A442FE"/>
    <w:rsid w:val="00A446C9"/>
    <w:rsid w:val="00A466D3"/>
    <w:rsid w:val="00A46FA7"/>
    <w:rsid w:val="00A46FBE"/>
    <w:rsid w:val="00A50E60"/>
    <w:rsid w:val="00A528C3"/>
    <w:rsid w:val="00A52B56"/>
    <w:rsid w:val="00A54DE1"/>
    <w:rsid w:val="00A60C1D"/>
    <w:rsid w:val="00A613AA"/>
    <w:rsid w:val="00A635C2"/>
    <w:rsid w:val="00A6685B"/>
    <w:rsid w:val="00A668A9"/>
    <w:rsid w:val="00A66C50"/>
    <w:rsid w:val="00A70831"/>
    <w:rsid w:val="00A70DF3"/>
    <w:rsid w:val="00A743E4"/>
    <w:rsid w:val="00A7468A"/>
    <w:rsid w:val="00A76BF1"/>
    <w:rsid w:val="00A801E4"/>
    <w:rsid w:val="00A8069D"/>
    <w:rsid w:val="00A86502"/>
    <w:rsid w:val="00A90E81"/>
    <w:rsid w:val="00A93DED"/>
    <w:rsid w:val="00A9457C"/>
    <w:rsid w:val="00A945FD"/>
    <w:rsid w:val="00A9465B"/>
    <w:rsid w:val="00A946C8"/>
    <w:rsid w:val="00A94D47"/>
    <w:rsid w:val="00A95593"/>
    <w:rsid w:val="00A96FE1"/>
    <w:rsid w:val="00A97543"/>
    <w:rsid w:val="00AA2C29"/>
    <w:rsid w:val="00AA3BD3"/>
    <w:rsid w:val="00AA3EE0"/>
    <w:rsid w:val="00AA5A03"/>
    <w:rsid w:val="00AA635F"/>
    <w:rsid w:val="00AA6C06"/>
    <w:rsid w:val="00AA7EAF"/>
    <w:rsid w:val="00AB1170"/>
    <w:rsid w:val="00AB1D9E"/>
    <w:rsid w:val="00AB4C08"/>
    <w:rsid w:val="00AB7932"/>
    <w:rsid w:val="00AB7CB2"/>
    <w:rsid w:val="00AC116B"/>
    <w:rsid w:val="00AC389F"/>
    <w:rsid w:val="00AC3C5A"/>
    <w:rsid w:val="00AC5A53"/>
    <w:rsid w:val="00AC7686"/>
    <w:rsid w:val="00AD0A03"/>
    <w:rsid w:val="00AD0DED"/>
    <w:rsid w:val="00AD19E0"/>
    <w:rsid w:val="00AD522C"/>
    <w:rsid w:val="00AD746E"/>
    <w:rsid w:val="00AE05B2"/>
    <w:rsid w:val="00AE0D68"/>
    <w:rsid w:val="00AE11D3"/>
    <w:rsid w:val="00AE29A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C96"/>
    <w:rsid w:val="00B013DD"/>
    <w:rsid w:val="00B01673"/>
    <w:rsid w:val="00B0177D"/>
    <w:rsid w:val="00B020EE"/>
    <w:rsid w:val="00B033CC"/>
    <w:rsid w:val="00B05D72"/>
    <w:rsid w:val="00B0608B"/>
    <w:rsid w:val="00B0790F"/>
    <w:rsid w:val="00B123CB"/>
    <w:rsid w:val="00B1292D"/>
    <w:rsid w:val="00B12B3B"/>
    <w:rsid w:val="00B14E7F"/>
    <w:rsid w:val="00B1598D"/>
    <w:rsid w:val="00B17859"/>
    <w:rsid w:val="00B211A7"/>
    <w:rsid w:val="00B22865"/>
    <w:rsid w:val="00B26E56"/>
    <w:rsid w:val="00B2710C"/>
    <w:rsid w:val="00B320E7"/>
    <w:rsid w:val="00B33421"/>
    <w:rsid w:val="00B33A63"/>
    <w:rsid w:val="00B33A89"/>
    <w:rsid w:val="00B4174F"/>
    <w:rsid w:val="00B4211E"/>
    <w:rsid w:val="00B4348D"/>
    <w:rsid w:val="00B43ACD"/>
    <w:rsid w:val="00B44074"/>
    <w:rsid w:val="00B445A1"/>
    <w:rsid w:val="00B4556E"/>
    <w:rsid w:val="00B461B9"/>
    <w:rsid w:val="00B46F0A"/>
    <w:rsid w:val="00B472C8"/>
    <w:rsid w:val="00B4761D"/>
    <w:rsid w:val="00B503D8"/>
    <w:rsid w:val="00B50699"/>
    <w:rsid w:val="00B50B09"/>
    <w:rsid w:val="00B50CAF"/>
    <w:rsid w:val="00B510E1"/>
    <w:rsid w:val="00B51E89"/>
    <w:rsid w:val="00B52E02"/>
    <w:rsid w:val="00B5522B"/>
    <w:rsid w:val="00B553B8"/>
    <w:rsid w:val="00B565B5"/>
    <w:rsid w:val="00B57BCA"/>
    <w:rsid w:val="00B60D21"/>
    <w:rsid w:val="00B651EF"/>
    <w:rsid w:val="00B65C62"/>
    <w:rsid w:val="00B6682C"/>
    <w:rsid w:val="00B679EE"/>
    <w:rsid w:val="00B71ACC"/>
    <w:rsid w:val="00B71BB0"/>
    <w:rsid w:val="00B72C3C"/>
    <w:rsid w:val="00B7300C"/>
    <w:rsid w:val="00B73D79"/>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68CC"/>
    <w:rsid w:val="00B876D6"/>
    <w:rsid w:val="00B9070A"/>
    <w:rsid w:val="00B920D3"/>
    <w:rsid w:val="00B948B4"/>
    <w:rsid w:val="00B94B3B"/>
    <w:rsid w:val="00B963C0"/>
    <w:rsid w:val="00B96C79"/>
    <w:rsid w:val="00B96C98"/>
    <w:rsid w:val="00BA018D"/>
    <w:rsid w:val="00BA09CE"/>
    <w:rsid w:val="00BA0C83"/>
    <w:rsid w:val="00BA112A"/>
    <w:rsid w:val="00BA247B"/>
    <w:rsid w:val="00BA2ADF"/>
    <w:rsid w:val="00BA558E"/>
    <w:rsid w:val="00BA5A32"/>
    <w:rsid w:val="00BA5D0A"/>
    <w:rsid w:val="00BA70C5"/>
    <w:rsid w:val="00BB0663"/>
    <w:rsid w:val="00BB1D7F"/>
    <w:rsid w:val="00BB338B"/>
    <w:rsid w:val="00BB33AD"/>
    <w:rsid w:val="00BB36AB"/>
    <w:rsid w:val="00BB37F9"/>
    <w:rsid w:val="00BB39CC"/>
    <w:rsid w:val="00BB3C9C"/>
    <w:rsid w:val="00BB67A8"/>
    <w:rsid w:val="00BB72A1"/>
    <w:rsid w:val="00BB782F"/>
    <w:rsid w:val="00BB7946"/>
    <w:rsid w:val="00BC1ACE"/>
    <w:rsid w:val="00BC3E2A"/>
    <w:rsid w:val="00BC6EF9"/>
    <w:rsid w:val="00BC706E"/>
    <w:rsid w:val="00BD1B30"/>
    <w:rsid w:val="00BD779F"/>
    <w:rsid w:val="00BE2B56"/>
    <w:rsid w:val="00BE2BF7"/>
    <w:rsid w:val="00BE4B91"/>
    <w:rsid w:val="00BE505C"/>
    <w:rsid w:val="00BE548B"/>
    <w:rsid w:val="00BE5628"/>
    <w:rsid w:val="00BE5C70"/>
    <w:rsid w:val="00BE73CE"/>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6855"/>
    <w:rsid w:val="00C07B09"/>
    <w:rsid w:val="00C1048D"/>
    <w:rsid w:val="00C154DB"/>
    <w:rsid w:val="00C169AF"/>
    <w:rsid w:val="00C16EF2"/>
    <w:rsid w:val="00C1795A"/>
    <w:rsid w:val="00C20488"/>
    <w:rsid w:val="00C21F09"/>
    <w:rsid w:val="00C22A9A"/>
    <w:rsid w:val="00C23A0E"/>
    <w:rsid w:val="00C24108"/>
    <w:rsid w:val="00C254CB"/>
    <w:rsid w:val="00C271D8"/>
    <w:rsid w:val="00C31962"/>
    <w:rsid w:val="00C32C66"/>
    <w:rsid w:val="00C3346B"/>
    <w:rsid w:val="00C33D7C"/>
    <w:rsid w:val="00C344FE"/>
    <w:rsid w:val="00C35C2B"/>
    <w:rsid w:val="00C35D9B"/>
    <w:rsid w:val="00C37EBE"/>
    <w:rsid w:val="00C41B43"/>
    <w:rsid w:val="00C42D8B"/>
    <w:rsid w:val="00C4496C"/>
    <w:rsid w:val="00C458CA"/>
    <w:rsid w:val="00C51221"/>
    <w:rsid w:val="00C515C5"/>
    <w:rsid w:val="00C516F1"/>
    <w:rsid w:val="00C52131"/>
    <w:rsid w:val="00C53CBC"/>
    <w:rsid w:val="00C542B9"/>
    <w:rsid w:val="00C54579"/>
    <w:rsid w:val="00C54629"/>
    <w:rsid w:val="00C57690"/>
    <w:rsid w:val="00C57D52"/>
    <w:rsid w:val="00C6018C"/>
    <w:rsid w:val="00C601C4"/>
    <w:rsid w:val="00C61005"/>
    <w:rsid w:val="00C61691"/>
    <w:rsid w:val="00C6198C"/>
    <w:rsid w:val="00C630EB"/>
    <w:rsid w:val="00C6738D"/>
    <w:rsid w:val="00C7089C"/>
    <w:rsid w:val="00C70E0B"/>
    <w:rsid w:val="00C70E71"/>
    <w:rsid w:val="00C726AF"/>
    <w:rsid w:val="00C7543F"/>
    <w:rsid w:val="00C769B9"/>
    <w:rsid w:val="00C7746E"/>
    <w:rsid w:val="00C80C0C"/>
    <w:rsid w:val="00C80F6E"/>
    <w:rsid w:val="00C83333"/>
    <w:rsid w:val="00C8401A"/>
    <w:rsid w:val="00C84518"/>
    <w:rsid w:val="00C84727"/>
    <w:rsid w:val="00C854D0"/>
    <w:rsid w:val="00C86A2A"/>
    <w:rsid w:val="00C905A3"/>
    <w:rsid w:val="00C938F5"/>
    <w:rsid w:val="00CA24BF"/>
    <w:rsid w:val="00CA27AE"/>
    <w:rsid w:val="00CA280F"/>
    <w:rsid w:val="00CA31F9"/>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63BC"/>
    <w:rsid w:val="00CD73E3"/>
    <w:rsid w:val="00CD7B3E"/>
    <w:rsid w:val="00CE0071"/>
    <w:rsid w:val="00CE0E32"/>
    <w:rsid w:val="00CE1F54"/>
    <w:rsid w:val="00CE28D5"/>
    <w:rsid w:val="00CE3872"/>
    <w:rsid w:val="00CE38A5"/>
    <w:rsid w:val="00CE63F3"/>
    <w:rsid w:val="00CE648E"/>
    <w:rsid w:val="00CE77B9"/>
    <w:rsid w:val="00CF1255"/>
    <w:rsid w:val="00CF2F3C"/>
    <w:rsid w:val="00CF3AFF"/>
    <w:rsid w:val="00CF5B99"/>
    <w:rsid w:val="00CF5F24"/>
    <w:rsid w:val="00CF6461"/>
    <w:rsid w:val="00CF7059"/>
    <w:rsid w:val="00CF7E79"/>
    <w:rsid w:val="00D00241"/>
    <w:rsid w:val="00D019D9"/>
    <w:rsid w:val="00D02527"/>
    <w:rsid w:val="00D029A5"/>
    <w:rsid w:val="00D02EA3"/>
    <w:rsid w:val="00D03AAE"/>
    <w:rsid w:val="00D04088"/>
    <w:rsid w:val="00D04A52"/>
    <w:rsid w:val="00D05811"/>
    <w:rsid w:val="00D05C36"/>
    <w:rsid w:val="00D073B9"/>
    <w:rsid w:val="00D078D5"/>
    <w:rsid w:val="00D110CF"/>
    <w:rsid w:val="00D11192"/>
    <w:rsid w:val="00D1308A"/>
    <w:rsid w:val="00D1376A"/>
    <w:rsid w:val="00D14EDE"/>
    <w:rsid w:val="00D159C9"/>
    <w:rsid w:val="00D16204"/>
    <w:rsid w:val="00D2051D"/>
    <w:rsid w:val="00D20C85"/>
    <w:rsid w:val="00D21422"/>
    <w:rsid w:val="00D2182D"/>
    <w:rsid w:val="00D21859"/>
    <w:rsid w:val="00D2340B"/>
    <w:rsid w:val="00D23C7B"/>
    <w:rsid w:val="00D2415A"/>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396E"/>
    <w:rsid w:val="00D4451F"/>
    <w:rsid w:val="00D4499B"/>
    <w:rsid w:val="00D45D0B"/>
    <w:rsid w:val="00D4635D"/>
    <w:rsid w:val="00D47B71"/>
    <w:rsid w:val="00D51558"/>
    <w:rsid w:val="00D51C7D"/>
    <w:rsid w:val="00D52BF3"/>
    <w:rsid w:val="00D54C77"/>
    <w:rsid w:val="00D55900"/>
    <w:rsid w:val="00D573FB"/>
    <w:rsid w:val="00D615D5"/>
    <w:rsid w:val="00D6161D"/>
    <w:rsid w:val="00D61AED"/>
    <w:rsid w:val="00D62B1E"/>
    <w:rsid w:val="00D64428"/>
    <w:rsid w:val="00D65135"/>
    <w:rsid w:val="00D658E5"/>
    <w:rsid w:val="00D66168"/>
    <w:rsid w:val="00D67309"/>
    <w:rsid w:val="00D7137F"/>
    <w:rsid w:val="00D71EBC"/>
    <w:rsid w:val="00D729A5"/>
    <w:rsid w:val="00D74C65"/>
    <w:rsid w:val="00D75DEC"/>
    <w:rsid w:val="00D76DBC"/>
    <w:rsid w:val="00D807E0"/>
    <w:rsid w:val="00D80AE7"/>
    <w:rsid w:val="00D818E9"/>
    <w:rsid w:val="00D81C33"/>
    <w:rsid w:val="00D81F3E"/>
    <w:rsid w:val="00D8221F"/>
    <w:rsid w:val="00D83832"/>
    <w:rsid w:val="00D83A13"/>
    <w:rsid w:val="00D846C6"/>
    <w:rsid w:val="00D85D74"/>
    <w:rsid w:val="00D861CB"/>
    <w:rsid w:val="00D86939"/>
    <w:rsid w:val="00D87343"/>
    <w:rsid w:val="00D87B32"/>
    <w:rsid w:val="00D87EC5"/>
    <w:rsid w:val="00D907D4"/>
    <w:rsid w:val="00D91CE7"/>
    <w:rsid w:val="00D921E4"/>
    <w:rsid w:val="00D92C8E"/>
    <w:rsid w:val="00D935F0"/>
    <w:rsid w:val="00D93FA9"/>
    <w:rsid w:val="00D95D9E"/>
    <w:rsid w:val="00D9603B"/>
    <w:rsid w:val="00D9731A"/>
    <w:rsid w:val="00D97C53"/>
    <w:rsid w:val="00DA1D49"/>
    <w:rsid w:val="00DA4369"/>
    <w:rsid w:val="00DA4691"/>
    <w:rsid w:val="00DA6EA8"/>
    <w:rsid w:val="00DB0232"/>
    <w:rsid w:val="00DB14F8"/>
    <w:rsid w:val="00DB2631"/>
    <w:rsid w:val="00DB2C2B"/>
    <w:rsid w:val="00DB4149"/>
    <w:rsid w:val="00DB4A6B"/>
    <w:rsid w:val="00DB4B85"/>
    <w:rsid w:val="00DB6FB5"/>
    <w:rsid w:val="00DB76B4"/>
    <w:rsid w:val="00DB7A2E"/>
    <w:rsid w:val="00DC122C"/>
    <w:rsid w:val="00DC1832"/>
    <w:rsid w:val="00DC33B5"/>
    <w:rsid w:val="00DC62A5"/>
    <w:rsid w:val="00DD0CF3"/>
    <w:rsid w:val="00DD396C"/>
    <w:rsid w:val="00DD57C2"/>
    <w:rsid w:val="00DD6E20"/>
    <w:rsid w:val="00DE0400"/>
    <w:rsid w:val="00DE1A16"/>
    <w:rsid w:val="00DE2E83"/>
    <w:rsid w:val="00DE37A7"/>
    <w:rsid w:val="00DE6B98"/>
    <w:rsid w:val="00DF098F"/>
    <w:rsid w:val="00DF0BD1"/>
    <w:rsid w:val="00DF193D"/>
    <w:rsid w:val="00DF1DC6"/>
    <w:rsid w:val="00DF288D"/>
    <w:rsid w:val="00DF29BE"/>
    <w:rsid w:val="00DF7FD0"/>
    <w:rsid w:val="00E00ACE"/>
    <w:rsid w:val="00E023D1"/>
    <w:rsid w:val="00E03082"/>
    <w:rsid w:val="00E03FE0"/>
    <w:rsid w:val="00E04FF5"/>
    <w:rsid w:val="00E05E1E"/>
    <w:rsid w:val="00E067CC"/>
    <w:rsid w:val="00E078D0"/>
    <w:rsid w:val="00E106AB"/>
    <w:rsid w:val="00E11058"/>
    <w:rsid w:val="00E11E09"/>
    <w:rsid w:val="00E1688A"/>
    <w:rsid w:val="00E222F1"/>
    <w:rsid w:val="00E24004"/>
    <w:rsid w:val="00E2462E"/>
    <w:rsid w:val="00E269C7"/>
    <w:rsid w:val="00E27D8D"/>
    <w:rsid w:val="00E30298"/>
    <w:rsid w:val="00E31A76"/>
    <w:rsid w:val="00E3211B"/>
    <w:rsid w:val="00E352AD"/>
    <w:rsid w:val="00E36704"/>
    <w:rsid w:val="00E373CB"/>
    <w:rsid w:val="00E40FF2"/>
    <w:rsid w:val="00E41386"/>
    <w:rsid w:val="00E43A04"/>
    <w:rsid w:val="00E45378"/>
    <w:rsid w:val="00E454EC"/>
    <w:rsid w:val="00E45983"/>
    <w:rsid w:val="00E47C44"/>
    <w:rsid w:val="00E505F2"/>
    <w:rsid w:val="00E50A7F"/>
    <w:rsid w:val="00E516D0"/>
    <w:rsid w:val="00E527AD"/>
    <w:rsid w:val="00E5411F"/>
    <w:rsid w:val="00E544D4"/>
    <w:rsid w:val="00E56D03"/>
    <w:rsid w:val="00E60206"/>
    <w:rsid w:val="00E60B57"/>
    <w:rsid w:val="00E61C9F"/>
    <w:rsid w:val="00E6282B"/>
    <w:rsid w:val="00E63C27"/>
    <w:rsid w:val="00E645C5"/>
    <w:rsid w:val="00E65EAB"/>
    <w:rsid w:val="00E67743"/>
    <w:rsid w:val="00E67CA2"/>
    <w:rsid w:val="00E70AF7"/>
    <w:rsid w:val="00E70D1D"/>
    <w:rsid w:val="00E7258E"/>
    <w:rsid w:val="00E725ED"/>
    <w:rsid w:val="00E729A8"/>
    <w:rsid w:val="00E76DD3"/>
    <w:rsid w:val="00E77242"/>
    <w:rsid w:val="00E85584"/>
    <w:rsid w:val="00E85DEB"/>
    <w:rsid w:val="00E86611"/>
    <w:rsid w:val="00E91614"/>
    <w:rsid w:val="00E91771"/>
    <w:rsid w:val="00E91A28"/>
    <w:rsid w:val="00E927AA"/>
    <w:rsid w:val="00E928AC"/>
    <w:rsid w:val="00E92D44"/>
    <w:rsid w:val="00E9312E"/>
    <w:rsid w:val="00E9328B"/>
    <w:rsid w:val="00E950B4"/>
    <w:rsid w:val="00E95B41"/>
    <w:rsid w:val="00E95E53"/>
    <w:rsid w:val="00E9687C"/>
    <w:rsid w:val="00E968B5"/>
    <w:rsid w:val="00E97B09"/>
    <w:rsid w:val="00EA2732"/>
    <w:rsid w:val="00EA36C8"/>
    <w:rsid w:val="00EA396C"/>
    <w:rsid w:val="00EA4181"/>
    <w:rsid w:val="00EA4CD8"/>
    <w:rsid w:val="00EA743A"/>
    <w:rsid w:val="00EB10BA"/>
    <w:rsid w:val="00EB200A"/>
    <w:rsid w:val="00EB3973"/>
    <w:rsid w:val="00EB3CA6"/>
    <w:rsid w:val="00EB43BD"/>
    <w:rsid w:val="00EB51A0"/>
    <w:rsid w:val="00EB6865"/>
    <w:rsid w:val="00EC03E3"/>
    <w:rsid w:val="00EC15A5"/>
    <w:rsid w:val="00EC1F71"/>
    <w:rsid w:val="00EC2193"/>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932"/>
    <w:rsid w:val="00F07D51"/>
    <w:rsid w:val="00F10166"/>
    <w:rsid w:val="00F10941"/>
    <w:rsid w:val="00F1100E"/>
    <w:rsid w:val="00F11CF4"/>
    <w:rsid w:val="00F12842"/>
    <w:rsid w:val="00F12FEF"/>
    <w:rsid w:val="00F132DC"/>
    <w:rsid w:val="00F14D69"/>
    <w:rsid w:val="00F15BCC"/>
    <w:rsid w:val="00F1691B"/>
    <w:rsid w:val="00F16A29"/>
    <w:rsid w:val="00F16EFD"/>
    <w:rsid w:val="00F17FE3"/>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5446"/>
    <w:rsid w:val="00F462A9"/>
    <w:rsid w:val="00F5054D"/>
    <w:rsid w:val="00F525F5"/>
    <w:rsid w:val="00F55DFA"/>
    <w:rsid w:val="00F60499"/>
    <w:rsid w:val="00F60B4D"/>
    <w:rsid w:val="00F61A71"/>
    <w:rsid w:val="00F63904"/>
    <w:rsid w:val="00F640BD"/>
    <w:rsid w:val="00F64628"/>
    <w:rsid w:val="00F65B2D"/>
    <w:rsid w:val="00F65DA1"/>
    <w:rsid w:val="00F66998"/>
    <w:rsid w:val="00F66DD7"/>
    <w:rsid w:val="00F6768D"/>
    <w:rsid w:val="00F67BC4"/>
    <w:rsid w:val="00F70C80"/>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2791"/>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1487"/>
    <w:rsid w:val="00FC3D81"/>
    <w:rsid w:val="00FC58D9"/>
    <w:rsid w:val="00FC5D39"/>
    <w:rsid w:val="00FC6418"/>
    <w:rsid w:val="00FD0B75"/>
    <w:rsid w:val="00FD322D"/>
    <w:rsid w:val="00FD377C"/>
    <w:rsid w:val="00FE009F"/>
    <w:rsid w:val="00FE0228"/>
    <w:rsid w:val="00FE03A4"/>
    <w:rsid w:val="00FE080F"/>
    <w:rsid w:val="00FE0BEC"/>
    <w:rsid w:val="00FE2AD5"/>
    <w:rsid w:val="00FE384E"/>
    <w:rsid w:val="00FE3F58"/>
    <w:rsid w:val="00FE4939"/>
    <w:rsid w:val="00FE4BFE"/>
    <w:rsid w:val="00FE4F49"/>
    <w:rsid w:val="00FE60CD"/>
    <w:rsid w:val="00FE68F9"/>
    <w:rsid w:val="00FE7569"/>
    <w:rsid w:val="00FF0AFF"/>
    <w:rsid w:val="00FF0DB9"/>
    <w:rsid w:val="00FF11D6"/>
    <w:rsid w:val="00FF1A44"/>
    <w:rsid w:val="00FF2337"/>
    <w:rsid w:val="00FF3A1B"/>
    <w:rsid w:val="00FF3CFC"/>
    <w:rsid w:val="00FF3D43"/>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34978D61-DA7A-7B4A-99B5-F5DEDED39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paragraph" w:styleId="Heading3">
    <w:name w:val="heading 3"/>
    <w:basedOn w:val="Normal"/>
    <w:link w:val="Heading3Char"/>
    <w:uiPriority w:val="9"/>
    <w:qFormat/>
    <w:rsid w:val="00406428"/>
    <w:pPr>
      <w:spacing w:before="100" w:beforeAutospacing="1" w:after="100" w:afterAutospacing="1"/>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8F00A8"/>
    <w:rPr>
      <w:sz w:val="20"/>
      <w:szCs w:val="20"/>
    </w:rPr>
  </w:style>
  <w:style w:type="character" w:styleId="FootnoteReference">
    <w:name w:val="footnote reference"/>
    <w:aliases w:val="4_G,(Footnote Reference),-E Fußnotenzeichen,BVI fnr, BVI fnr,Footnote symbol,Footnote,Footnote Reference Superscript,SUPERS,4_GR,Fußnotenzeichen"/>
    <w:uiPriority w:val="99"/>
    <w:qFormat/>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qFormat/>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D81F3E"/>
    <w:rPr>
      <w:lang w:val="en-GB" w:eastAsia="hu-HU"/>
    </w:rPr>
  </w:style>
  <w:style w:type="character" w:styleId="Strong">
    <w:name w:val="Strong"/>
    <w:basedOn w:val="DefaultParagraphFont"/>
    <w:uiPriority w:val="22"/>
    <w:qFormat/>
    <w:rsid w:val="00C938F5"/>
    <w:rPr>
      <w:b/>
      <w:bCs/>
    </w:rPr>
  </w:style>
  <w:style w:type="paragraph" w:styleId="NormalWeb">
    <w:name w:val="Normal (Web)"/>
    <w:basedOn w:val="Normal"/>
    <w:uiPriority w:val="99"/>
    <w:unhideWhenUsed/>
    <w:rsid w:val="00C938F5"/>
    <w:pPr>
      <w:spacing w:before="100" w:beforeAutospacing="1" w:after="100" w:afterAutospacing="1"/>
    </w:pPr>
    <w:rPr>
      <w:lang w:eastAsia="en-GB"/>
    </w:rPr>
  </w:style>
  <w:style w:type="paragraph" w:customStyle="1" w:styleId="p1">
    <w:name w:val="p1"/>
    <w:basedOn w:val="Normal"/>
    <w:rsid w:val="00D573FB"/>
    <w:pPr>
      <w:spacing w:before="100" w:beforeAutospacing="1" w:after="100" w:afterAutospacing="1"/>
    </w:pPr>
    <w:rPr>
      <w:lang w:eastAsia="en-GB"/>
    </w:rPr>
  </w:style>
  <w:style w:type="paragraph" w:customStyle="1" w:styleId="p2">
    <w:name w:val="p2"/>
    <w:basedOn w:val="Normal"/>
    <w:rsid w:val="00D573FB"/>
    <w:pPr>
      <w:spacing w:before="100" w:beforeAutospacing="1" w:after="100" w:afterAutospacing="1"/>
    </w:pPr>
    <w:rPr>
      <w:lang w:eastAsia="en-GB"/>
    </w:rPr>
  </w:style>
  <w:style w:type="paragraph" w:customStyle="1" w:styleId="p3">
    <w:name w:val="p3"/>
    <w:basedOn w:val="Normal"/>
    <w:rsid w:val="00C32C66"/>
    <w:pPr>
      <w:spacing w:before="100" w:beforeAutospacing="1" w:after="100" w:afterAutospacing="1"/>
    </w:pPr>
    <w:rPr>
      <w:lang w:eastAsia="en-GB"/>
    </w:rPr>
  </w:style>
  <w:style w:type="character" w:customStyle="1" w:styleId="Heading3Char">
    <w:name w:val="Heading 3 Char"/>
    <w:basedOn w:val="DefaultParagraphFont"/>
    <w:link w:val="Heading3"/>
    <w:uiPriority w:val="9"/>
    <w:rsid w:val="00406428"/>
    <w:rPr>
      <w:b/>
      <w:bCs/>
      <w:sz w:val="27"/>
      <w:szCs w:val="27"/>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9371">
      <w:bodyDiv w:val="1"/>
      <w:marLeft w:val="0"/>
      <w:marRight w:val="0"/>
      <w:marTop w:val="0"/>
      <w:marBottom w:val="0"/>
      <w:divBdr>
        <w:top w:val="none" w:sz="0" w:space="0" w:color="auto"/>
        <w:left w:val="none" w:sz="0" w:space="0" w:color="auto"/>
        <w:bottom w:val="none" w:sz="0" w:space="0" w:color="auto"/>
        <w:right w:val="none" w:sz="0" w:space="0" w:color="auto"/>
      </w:divBdr>
    </w:div>
    <w:div w:id="72553108">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68003660">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396167712">
      <w:bodyDiv w:val="1"/>
      <w:marLeft w:val="0"/>
      <w:marRight w:val="0"/>
      <w:marTop w:val="0"/>
      <w:marBottom w:val="0"/>
      <w:divBdr>
        <w:top w:val="none" w:sz="0" w:space="0" w:color="auto"/>
        <w:left w:val="none" w:sz="0" w:space="0" w:color="auto"/>
        <w:bottom w:val="none" w:sz="0" w:space="0" w:color="auto"/>
        <w:right w:val="none" w:sz="0" w:space="0" w:color="auto"/>
      </w:divBdr>
    </w:div>
    <w:div w:id="408506683">
      <w:bodyDiv w:val="1"/>
      <w:marLeft w:val="0"/>
      <w:marRight w:val="0"/>
      <w:marTop w:val="0"/>
      <w:marBottom w:val="0"/>
      <w:divBdr>
        <w:top w:val="none" w:sz="0" w:space="0" w:color="auto"/>
        <w:left w:val="none" w:sz="0" w:space="0" w:color="auto"/>
        <w:bottom w:val="none" w:sz="0" w:space="0" w:color="auto"/>
        <w:right w:val="none" w:sz="0" w:space="0" w:color="auto"/>
      </w:divBdr>
    </w:div>
    <w:div w:id="419523512">
      <w:bodyDiv w:val="1"/>
      <w:marLeft w:val="0"/>
      <w:marRight w:val="0"/>
      <w:marTop w:val="0"/>
      <w:marBottom w:val="0"/>
      <w:divBdr>
        <w:top w:val="none" w:sz="0" w:space="0" w:color="auto"/>
        <w:left w:val="none" w:sz="0" w:space="0" w:color="auto"/>
        <w:bottom w:val="none" w:sz="0" w:space="0" w:color="auto"/>
        <w:right w:val="none" w:sz="0" w:space="0" w:color="auto"/>
      </w:divBdr>
    </w:div>
    <w:div w:id="447820692">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95536377">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23730840">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1740392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04273229">
          <w:marLeft w:val="1080"/>
          <w:marRight w:val="0"/>
          <w:marTop w:val="1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1997103213">
          <w:marLeft w:val="360"/>
          <w:marRight w:val="0"/>
          <w:marTop w:val="2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036465596">
      <w:bodyDiv w:val="1"/>
      <w:marLeft w:val="0"/>
      <w:marRight w:val="0"/>
      <w:marTop w:val="0"/>
      <w:marBottom w:val="0"/>
      <w:divBdr>
        <w:top w:val="none" w:sz="0" w:space="0" w:color="auto"/>
        <w:left w:val="none" w:sz="0" w:space="0" w:color="auto"/>
        <w:bottom w:val="none" w:sz="0" w:space="0" w:color="auto"/>
        <w:right w:val="none" w:sz="0" w:space="0" w:color="auto"/>
      </w:divBdr>
    </w:div>
    <w:div w:id="1121221280">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48673134">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283418121">
      <w:bodyDiv w:val="1"/>
      <w:marLeft w:val="0"/>
      <w:marRight w:val="0"/>
      <w:marTop w:val="0"/>
      <w:marBottom w:val="0"/>
      <w:divBdr>
        <w:top w:val="none" w:sz="0" w:space="0" w:color="auto"/>
        <w:left w:val="none" w:sz="0" w:space="0" w:color="auto"/>
        <w:bottom w:val="none" w:sz="0" w:space="0" w:color="auto"/>
        <w:right w:val="none" w:sz="0" w:space="0" w:color="auto"/>
      </w:divBdr>
    </w:div>
    <w:div w:id="1335842131">
      <w:bodyDiv w:val="1"/>
      <w:marLeft w:val="0"/>
      <w:marRight w:val="0"/>
      <w:marTop w:val="0"/>
      <w:marBottom w:val="0"/>
      <w:divBdr>
        <w:top w:val="none" w:sz="0" w:space="0" w:color="auto"/>
        <w:left w:val="none" w:sz="0" w:space="0" w:color="auto"/>
        <w:bottom w:val="none" w:sz="0" w:space="0" w:color="auto"/>
        <w:right w:val="none" w:sz="0" w:space="0" w:color="auto"/>
      </w:divBdr>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468009110">
      <w:bodyDiv w:val="1"/>
      <w:marLeft w:val="0"/>
      <w:marRight w:val="0"/>
      <w:marTop w:val="0"/>
      <w:marBottom w:val="0"/>
      <w:divBdr>
        <w:top w:val="none" w:sz="0" w:space="0" w:color="auto"/>
        <w:left w:val="none" w:sz="0" w:space="0" w:color="auto"/>
        <w:bottom w:val="none" w:sz="0" w:space="0" w:color="auto"/>
        <w:right w:val="none" w:sz="0" w:space="0" w:color="auto"/>
      </w:divBdr>
    </w:div>
    <w:div w:id="1506899006">
      <w:bodyDiv w:val="1"/>
      <w:marLeft w:val="0"/>
      <w:marRight w:val="0"/>
      <w:marTop w:val="0"/>
      <w:marBottom w:val="0"/>
      <w:divBdr>
        <w:top w:val="none" w:sz="0" w:space="0" w:color="auto"/>
        <w:left w:val="none" w:sz="0" w:space="0" w:color="auto"/>
        <w:bottom w:val="none" w:sz="0" w:space="0" w:color="auto"/>
        <w:right w:val="none" w:sz="0" w:space="0" w:color="auto"/>
      </w:divBdr>
    </w:div>
    <w:div w:id="1514949850">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1724061952">
      <w:bodyDiv w:val="1"/>
      <w:marLeft w:val="0"/>
      <w:marRight w:val="0"/>
      <w:marTop w:val="0"/>
      <w:marBottom w:val="0"/>
      <w:divBdr>
        <w:top w:val="none" w:sz="0" w:space="0" w:color="auto"/>
        <w:left w:val="none" w:sz="0" w:space="0" w:color="auto"/>
        <w:bottom w:val="none" w:sz="0" w:space="0" w:color="auto"/>
        <w:right w:val="none" w:sz="0" w:space="0" w:color="auto"/>
      </w:divBdr>
    </w:div>
    <w:div w:id="1805394222">
      <w:bodyDiv w:val="1"/>
      <w:marLeft w:val="0"/>
      <w:marRight w:val="0"/>
      <w:marTop w:val="0"/>
      <w:marBottom w:val="0"/>
      <w:divBdr>
        <w:top w:val="none" w:sz="0" w:space="0" w:color="auto"/>
        <w:left w:val="none" w:sz="0" w:space="0" w:color="auto"/>
        <w:bottom w:val="none" w:sz="0" w:space="0" w:color="auto"/>
        <w:right w:val="none" w:sz="0" w:space="0" w:color="auto"/>
      </w:divBdr>
    </w:div>
    <w:div w:id="1949123672">
      <w:bodyDiv w:val="1"/>
      <w:marLeft w:val="0"/>
      <w:marRight w:val="0"/>
      <w:marTop w:val="0"/>
      <w:marBottom w:val="0"/>
      <w:divBdr>
        <w:top w:val="none" w:sz="0" w:space="0" w:color="auto"/>
        <w:left w:val="none" w:sz="0" w:space="0" w:color="auto"/>
        <w:bottom w:val="none" w:sz="0" w:space="0" w:color="auto"/>
        <w:right w:val="none" w:sz="0" w:space="0" w:color="auto"/>
      </w:divBdr>
    </w:div>
    <w:div w:id="2010788230">
      <w:bodyDiv w:val="1"/>
      <w:marLeft w:val="0"/>
      <w:marRight w:val="0"/>
      <w:marTop w:val="0"/>
      <w:marBottom w:val="0"/>
      <w:divBdr>
        <w:top w:val="none" w:sz="0" w:space="0" w:color="auto"/>
        <w:left w:val="none" w:sz="0" w:space="0" w:color="auto"/>
        <w:bottom w:val="none" w:sz="0" w:space="0" w:color="auto"/>
        <w:right w:val="none" w:sz="0" w:space="0" w:color="auto"/>
      </w:divBdr>
    </w:div>
    <w:div w:id="2073306574">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ica.net/contac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el.quirke@wayve.a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Richard.Krueger@bmw.de" TargetMode="External"/><Relationship Id="rId4" Type="http://schemas.openxmlformats.org/officeDocument/2006/relationships/settings" Target="settings.xml"/><Relationship Id="rId9" Type="http://schemas.openxmlformats.org/officeDocument/2006/relationships/hyperlink" Target="mailto:a.bocharov@nami.ru"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Metadata/LabelInfo.xml><?xml version="1.0" encoding="utf-8"?>
<clbl:labelList xmlns:clbl="http://schemas.microsoft.com/office/2020/mipLabelMetadata">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17</Pages>
  <Words>5897</Words>
  <Characters>37152</Characters>
  <Application>Microsoft Office Word</Application>
  <DocSecurity>0</DocSecurity>
  <Lines>309</Lines>
  <Paragraphs>85</Paragraphs>
  <ScaleCrop>false</ScaleCrop>
  <HeadingPairs>
    <vt:vector size="8" baseType="variant">
      <vt:variant>
        <vt:lpstr>Название</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42964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subject/>
  <dc:creator>Eri</dc:creator>
  <cp:keywords/>
  <dc:description/>
  <cp:lastModifiedBy>Krueger Richard, EF-24</cp:lastModifiedBy>
  <cp:revision>8</cp:revision>
  <cp:lastPrinted>2025-10-22T21:53:00Z</cp:lastPrinted>
  <dcterms:created xsi:type="dcterms:W3CDTF">2025-12-07T14:03:00Z</dcterms:created>
  <dcterms:modified xsi:type="dcterms:W3CDTF">2025-12-16T17:53:00Z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