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C14" w:rsidRPr="00101C14" w:rsidRDefault="00101C14">
      <w:pPr>
        <w:rPr>
          <w:rFonts w:ascii="Times New Roman" w:hAnsi="Times New Roman" w:cs="Times New Roman"/>
          <w:sz w:val="24"/>
          <w:szCs w:val="24"/>
        </w:rPr>
      </w:pPr>
      <w:r w:rsidRPr="00101C14">
        <w:rPr>
          <w:rFonts w:ascii="Times New Roman" w:hAnsi="Times New Roman" w:cs="Times New Roman" w:hint="eastAsia"/>
          <w:sz w:val="24"/>
          <w:szCs w:val="24"/>
        </w:rPr>
        <w:t>Contracting Parties participating IWVTA Informal Group are invited to answer the following questions hopefully by the end of October, 2016</w:t>
      </w:r>
    </w:p>
    <w:p w:rsidR="00101C14" w:rsidRPr="00101C14" w:rsidRDefault="00101C14">
      <w:pPr>
        <w:rPr>
          <w:rFonts w:ascii="Times New Roman" w:hAnsi="Times New Roman" w:cs="Times New Roman"/>
          <w:sz w:val="24"/>
          <w:szCs w:val="24"/>
          <w:u w:val="single"/>
        </w:rPr>
      </w:pPr>
      <w:r w:rsidRPr="00101C14">
        <w:rPr>
          <w:rFonts w:ascii="Times New Roman" w:hAnsi="Times New Roman" w:cs="Times New Roman" w:hint="eastAsia"/>
          <w:sz w:val="24"/>
          <w:szCs w:val="24"/>
          <w:u w:val="single"/>
        </w:rPr>
        <w:t xml:space="preserve">Name of the Contracting Party: </w:t>
      </w:r>
      <w:r w:rsidR="00815AB9" w:rsidRPr="00815AB9">
        <w:rPr>
          <w:rFonts w:ascii="Times New Roman" w:hAnsi="Times New Roman" w:cs="Times New Roman"/>
          <w:color w:val="1F497D" w:themeColor="text2"/>
          <w:sz w:val="24"/>
          <w:szCs w:val="24"/>
          <w:u w:val="single"/>
        </w:rPr>
        <w:t>EU</w:t>
      </w:r>
    </w:p>
    <w:p w:rsidR="00101C14" w:rsidRPr="0058726B" w:rsidRDefault="00101C14">
      <w:pPr>
        <w:rPr>
          <w:rFonts w:ascii="Times New Roman" w:hAnsi="Times New Roman" w:cs="Times New Roman"/>
          <w:sz w:val="20"/>
          <w:szCs w:val="20"/>
        </w:rPr>
      </w:pPr>
    </w:p>
    <w:tbl>
      <w:tblPr>
        <w:tblStyle w:val="a3"/>
        <w:tblpPr w:leftFromText="142" w:rightFromText="142" w:vertAnchor="page" w:horzAnchor="margin" w:tblpY="2364"/>
        <w:tblW w:w="0" w:type="auto"/>
        <w:tblLook w:val="04A0" w:firstRow="1" w:lastRow="0" w:firstColumn="1" w:lastColumn="0" w:noHBand="0" w:noVBand="1"/>
      </w:tblPr>
      <w:tblGrid>
        <w:gridCol w:w="6487"/>
        <w:gridCol w:w="8505"/>
      </w:tblGrid>
      <w:tr w:rsidR="0058726B" w:rsidTr="0058726B">
        <w:tc>
          <w:tcPr>
            <w:tcW w:w="6487" w:type="dxa"/>
            <w:tcBorders>
              <w:bottom w:val="thinThickSmallGap" w:sz="24" w:space="0" w:color="auto"/>
            </w:tcBorders>
          </w:tcPr>
          <w:p w:rsidR="0058726B" w:rsidRPr="0058726B" w:rsidRDefault="0058726B" w:rsidP="00316C3A">
            <w:pPr>
              <w:rPr>
                <w:rFonts w:ascii="Times New Roman" w:hAnsi="Times New Roman" w:cs="Times New Roman"/>
                <w:sz w:val="24"/>
                <w:szCs w:val="24"/>
              </w:rPr>
            </w:pPr>
            <w:r w:rsidRPr="0058726B">
              <w:rPr>
                <w:rFonts w:ascii="Times New Roman" w:hAnsi="Times New Roman" w:cs="Times New Roman" w:hint="eastAsia"/>
                <w:sz w:val="24"/>
                <w:szCs w:val="24"/>
              </w:rPr>
              <w:t>Questions</w:t>
            </w:r>
          </w:p>
        </w:tc>
        <w:tc>
          <w:tcPr>
            <w:tcW w:w="8505" w:type="dxa"/>
            <w:tcBorders>
              <w:bottom w:val="thinThickSmallGap" w:sz="24" w:space="0" w:color="auto"/>
            </w:tcBorders>
          </w:tcPr>
          <w:p w:rsidR="0058726B" w:rsidRPr="0058726B" w:rsidRDefault="00484EEF" w:rsidP="00484EEF">
            <w:pPr>
              <w:rPr>
                <w:rFonts w:ascii="Times New Roman" w:hAnsi="Times New Roman" w:cs="Times New Roman"/>
                <w:sz w:val="24"/>
                <w:szCs w:val="24"/>
              </w:rPr>
            </w:pPr>
            <w:r>
              <w:rPr>
                <w:rFonts w:ascii="Times New Roman" w:hAnsi="Times New Roman" w:cs="Times New Roman" w:hint="eastAsia"/>
                <w:sz w:val="24"/>
                <w:szCs w:val="24"/>
              </w:rPr>
              <w:t>Answers</w:t>
            </w:r>
          </w:p>
        </w:tc>
      </w:tr>
      <w:tr w:rsidR="0058726B" w:rsidTr="001F26FB">
        <w:trPr>
          <w:trHeight w:val="1473"/>
        </w:trPr>
        <w:tc>
          <w:tcPr>
            <w:tcW w:w="6487" w:type="dxa"/>
            <w:tcBorders>
              <w:top w:val="thinThickSmallGap" w:sz="24" w:space="0" w:color="auto"/>
            </w:tcBorders>
            <w:vAlign w:val="center"/>
          </w:tcPr>
          <w:p w:rsidR="0058726B" w:rsidRPr="000D0858" w:rsidRDefault="0058726B" w:rsidP="001F26FB">
            <w:pPr>
              <w:rPr>
                <w:rFonts w:ascii="Times New Roman" w:hAnsi="Times New Roman" w:cs="Times New Roman"/>
                <w:sz w:val="24"/>
                <w:szCs w:val="24"/>
              </w:rPr>
            </w:pPr>
            <w:r w:rsidRPr="000D0858">
              <w:rPr>
                <w:rFonts w:ascii="Times New Roman" w:hAnsi="Times New Roman" w:cs="Times New Roman" w:hint="eastAsia"/>
                <w:sz w:val="24"/>
                <w:szCs w:val="24"/>
              </w:rPr>
              <w:t xml:space="preserve">Q1: From the political point of view, would such concept as </w:t>
            </w:r>
            <w:r w:rsidRPr="000D0858">
              <w:rPr>
                <w:rFonts w:ascii="Times New Roman" w:hAnsi="Times New Roman" w:cs="Times New Roman"/>
                <w:sz w:val="24"/>
                <w:szCs w:val="24"/>
              </w:rPr>
              <w:t>“</w:t>
            </w:r>
            <w:r w:rsidRPr="000D0858">
              <w:rPr>
                <w:rFonts w:ascii="Times New Roman" w:hAnsi="Times New Roman" w:cs="Times New Roman" w:hint="eastAsia"/>
                <w:sz w:val="24"/>
                <w:szCs w:val="24"/>
              </w:rPr>
              <w:t>Attestation</w:t>
            </w:r>
            <w:r w:rsidRPr="000D0858">
              <w:rPr>
                <w:rFonts w:ascii="Times New Roman" w:hAnsi="Times New Roman" w:cs="Times New Roman"/>
                <w:sz w:val="24"/>
                <w:szCs w:val="24"/>
              </w:rPr>
              <w:t>”</w:t>
            </w:r>
            <w:r w:rsidRPr="000D0858">
              <w:rPr>
                <w:rFonts w:ascii="Times New Roman" w:hAnsi="Times New Roman" w:cs="Times New Roman" w:hint="eastAsia"/>
                <w:sz w:val="24"/>
                <w:szCs w:val="24"/>
              </w:rPr>
              <w:t xml:space="preserve">, </w:t>
            </w:r>
            <w:r w:rsidRPr="000D0858">
              <w:rPr>
                <w:rFonts w:ascii="Times New Roman" w:hAnsi="Times New Roman" w:cs="Times New Roman"/>
                <w:sz w:val="24"/>
                <w:szCs w:val="24"/>
              </w:rPr>
              <w:t>“</w:t>
            </w:r>
            <w:r w:rsidRPr="000D0858">
              <w:rPr>
                <w:rFonts w:ascii="Times New Roman" w:hAnsi="Times New Roman" w:cs="Times New Roman" w:hint="eastAsia"/>
                <w:sz w:val="24"/>
                <w:szCs w:val="24"/>
              </w:rPr>
              <w:t>limited type approval</w:t>
            </w:r>
            <w:r w:rsidRPr="000D0858">
              <w:rPr>
                <w:rFonts w:ascii="Times New Roman" w:hAnsi="Times New Roman" w:cs="Times New Roman"/>
                <w:sz w:val="24"/>
                <w:szCs w:val="24"/>
              </w:rPr>
              <w:t>”</w:t>
            </w:r>
            <w:r w:rsidRPr="000D0858">
              <w:rPr>
                <w:rFonts w:ascii="Times New Roman" w:hAnsi="Times New Roman" w:cs="Times New Roman" w:hint="eastAsia"/>
                <w:sz w:val="24"/>
                <w:szCs w:val="24"/>
              </w:rPr>
              <w:t xml:space="preserve">, </w:t>
            </w:r>
            <w:r w:rsidRPr="000D0858">
              <w:rPr>
                <w:rFonts w:ascii="Times New Roman" w:hAnsi="Times New Roman" w:cs="Times New Roman"/>
                <w:sz w:val="24"/>
                <w:szCs w:val="24"/>
              </w:rPr>
              <w:t>“</w:t>
            </w:r>
            <w:r w:rsidRPr="000D0858">
              <w:rPr>
                <w:rFonts w:ascii="Times New Roman" w:hAnsi="Times New Roman" w:cs="Times New Roman" w:hint="eastAsia"/>
                <w:sz w:val="24"/>
                <w:szCs w:val="24"/>
              </w:rPr>
              <w:t>special provisions</w:t>
            </w:r>
            <w:r w:rsidRPr="000D0858">
              <w:rPr>
                <w:rFonts w:ascii="Times New Roman" w:hAnsi="Times New Roman" w:cs="Times New Roman"/>
                <w:sz w:val="24"/>
                <w:szCs w:val="24"/>
              </w:rPr>
              <w:t>”</w:t>
            </w:r>
            <w:r w:rsidRPr="000D0858">
              <w:rPr>
                <w:rFonts w:ascii="Times New Roman" w:hAnsi="Times New Roman" w:cs="Times New Roman" w:hint="eastAsia"/>
                <w:sz w:val="24"/>
                <w:szCs w:val="24"/>
              </w:rPr>
              <w:t xml:space="preserve"> or whatever called which allows the compliance with most but not all of the technical requirements of the relevant UN Regulation be really necessary?</w:t>
            </w:r>
          </w:p>
        </w:tc>
        <w:tc>
          <w:tcPr>
            <w:tcW w:w="8505" w:type="dxa"/>
            <w:tcBorders>
              <w:top w:val="thinThickSmallGap" w:sz="24" w:space="0" w:color="auto"/>
            </w:tcBorders>
          </w:tcPr>
          <w:p w:rsidR="009B3D8B" w:rsidRPr="00815AB9" w:rsidRDefault="0058726B" w:rsidP="00A72CC1">
            <w:pPr>
              <w:rPr>
                <w:rFonts w:ascii="Times New Roman" w:hAnsi="Times New Roman" w:cs="Times New Roman"/>
                <w:snapToGrid w:val="0"/>
                <w:sz w:val="24"/>
              </w:rPr>
            </w:pPr>
            <w:r w:rsidRPr="000D0858">
              <w:rPr>
                <w:rFonts w:ascii="Times New Roman" w:hAnsi="Times New Roman" w:cs="Times New Roman" w:hint="eastAsia"/>
                <w:sz w:val="24"/>
                <w:szCs w:val="24"/>
              </w:rPr>
              <w:t xml:space="preserve">A1: </w:t>
            </w:r>
            <w:r w:rsidR="00815AB9">
              <w:rPr>
                <w:rFonts w:ascii="Times New Roman" w:hAnsi="Times New Roman" w:cs="Times New Roman"/>
                <w:snapToGrid w:val="0"/>
                <w:sz w:val="24"/>
              </w:rPr>
              <w:t xml:space="preserve"> </w:t>
            </w:r>
            <w:r w:rsidR="00815AB9" w:rsidRPr="00815AB9">
              <w:rPr>
                <w:rFonts w:ascii="Times New Roman" w:hAnsi="Times New Roman" w:cs="Times New Roman"/>
                <w:snapToGrid w:val="0"/>
                <w:color w:val="1F497D" w:themeColor="text2"/>
                <w:sz w:val="24"/>
              </w:rPr>
              <w:t xml:space="preserve">The European Commission has some doubts regarding the practical benefit of this concept. In fact, under the current (and revised) rules in the 1958 Agreement, only UNECE type-approvals granted in accordance with the latest version of the Regulation </w:t>
            </w:r>
            <w:r w:rsidR="00A72CC1">
              <w:rPr>
                <w:rFonts w:ascii="Times New Roman" w:hAnsi="Times New Roman" w:cs="Times New Roman"/>
                <w:snapToGrid w:val="0"/>
                <w:color w:val="1F497D" w:themeColor="text2"/>
                <w:sz w:val="24"/>
              </w:rPr>
              <w:t>will</w:t>
            </w:r>
            <w:r w:rsidR="00815AB9" w:rsidRPr="00815AB9">
              <w:rPr>
                <w:rFonts w:ascii="Times New Roman" w:hAnsi="Times New Roman" w:cs="Times New Roman"/>
                <w:snapToGrid w:val="0"/>
                <w:color w:val="1F497D" w:themeColor="text2"/>
                <w:sz w:val="24"/>
              </w:rPr>
              <w:t xml:space="preserve"> be recognized (Article 12). Therefore, only these approvals may benefit from the mutual recognition principle of the Agreement. </w:t>
            </w:r>
            <w:r w:rsidR="00815AB9">
              <w:rPr>
                <w:rFonts w:ascii="Times New Roman" w:hAnsi="Times New Roman" w:cs="Times New Roman"/>
                <w:snapToGrid w:val="0"/>
                <w:color w:val="1F497D" w:themeColor="text2"/>
                <w:sz w:val="24"/>
              </w:rPr>
              <w:t>Furthermore, t</w:t>
            </w:r>
            <w:r w:rsidR="00815AB9" w:rsidRPr="00815AB9">
              <w:rPr>
                <w:rFonts w:ascii="Times New Roman" w:hAnsi="Times New Roman" w:cs="Times New Roman"/>
                <w:snapToGrid w:val="0"/>
                <w:color w:val="1F497D" w:themeColor="text2"/>
                <w:sz w:val="24"/>
              </w:rPr>
              <w:t xml:space="preserve">he EU plans to use only </w:t>
            </w:r>
            <w:r w:rsidR="00815AB9">
              <w:rPr>
                <w:rFonts w:ascii="Times New Roman" w:hAnsi="Times New Roman" w:cs="Times New Roman"/>
                <w:snapToGrid w:val="0"/>
                <w:color w:val="1F497D" w:themeColor="text2"/>
                <w:sz w:val="24"/>
              </w:rPr>
              <w:t>such</w:t>
            </w:r>
            <w:r w:rsidR="00815AB9" w:rsidRPr="00815AB9">
              <w:rPr>
                <w:rFonts w:ascii="Times New Roman" w:hAnsi="Times New Roman" w:cs="Times New Roman"/>
                <w:snapToGrid w:val="0"/>
                <w:color w:val="1F497D" w:themeColor="text2"/>
                <w:sz w:val="24"/>
              </w:rPr>
              <w:t xml:space="preserve"> approvals for the purposes of EU type-approval and therefore Attestations would have no legal effect in the EU. </w:t>
            </w:r>
          </w:p>
        </w:tc>
      </w:tr>
      <w:tr w:rsidR="0058726B" w:rsidTr="001F26FB">
        <w:trPr>
          <w:trHeight w:val="1264"/>
        </w:trPr>
        <w:tc>
          <w:tcPr>
            <w:tcW w:w="6487" w:type="dxa"/>
            <w:vAlign w:val="center"/>
          </w:tcPr>
          <w:p w:rsidR="0058726B" w:rsidRPr="000D0858" w:rsidRDefault="0058726B" w:rsidP="001F26FB">
            <w:pPr>
              <w:rPr>
                <w:rFonts w:ascii="Times New Roman" w:hAnsi="Times New Roman" w:cs="Times New Roman"/>
                <w:sz w:val="24"/>
                <w:szCs w:val="24"/>
              </w:rPr>
            </w:pPr>
            <w:r w:rsidRPr="000D0858">
              <w:rPr>
                <w:rFonts w:ascii="Times New Roman" w:hAnsi="Times New Roman" w:cs="Times New Roman" w:hint="eastAsia"/>
                <w:sz w:val="24"/>
                <w:szCs w:val="24"/>
              </w:rPr>
              <w:t xml:space="preserve">Q2: Assuming that </w:t>
            </w:r>
            <w:r w:rsidRPr="000D0858">
              <w:rPr>
                <w:rFonts w:ascii="Times New Roman" w:hAnsi="Times New Roman" w:cs="Times New Roman"/>
                <w:sz w:val="24"/>
                <w:szCs w:val="24"/>
              </w:rPr>
              <w:t>“</w:t>
            </w:r>
            <w:r w:rsidRPr="000D0858">
              <w:rPr>
                <w:rFonts w:ascii="Times New Roman" w:hAnsi="Times New Roman" w:cs="Times New Roman" w:hint="eastAsia"/>
                <w:sz w:val="24"/>
                <w:szCs w:val="24"/>
              </w:rPr>
              <w:t>Attestation concept</w:t>
            </w:r>
            <w:r w:rsidRPr="000D0858">
              <w:rPr>
                <w:rFonts w:ascii="Times New Roman" w:hAnsi="Times New Roman" w:cs="Times New Roman"/>
                <w:sz w:val="24"/>
                <w:szCs w:val="24"/>
              </w:rPr>
              <w:t>”</w:t>
            </w:r>
            <w:r w:rsidRPr="000D0858">
              <w:rPr>
                <w:rFonts w:ascii="Times New Roman" w:hAnsi="Times New Roman" w:cs="Times New Roman" w:hint="eastAsia"/>
                <w:sz w:val="24"/>
                <w:szCs w:val="24"/>
              </w:rPr>
              <w:t xml:space="preserve"> would be really necessary, from the legal point of </w:t>
            </w:r>
            <w:proofErr w:type="gramStart"/>
            <w:r w:rsidRPr="000D0858">
              <w:rPr>
                <w:rFonts w:ascii="Times New Roman" w:hAnsi="Times New Roman" w:cs="Times New Roman" w:hint="eastAsia"/>
                <w:sz w:val="24"/>
                <w:szCs w:val="24"/>
              </w:rPr>
              <w:t>view,</w:t>
            </w:r>
            <w:proofErr w:type="gramEnd"/>
            <w:r w:rsidRPr="000D0858">
              <w:rPr>
                <w:rFonts w:ascii="Times New Roman" w:hAnsi="Times New Roman" w:cs="Times New Roman" w:hint="eastAsia"/>
                <w:sz w:val="24"/>
                <w:szCs w:val="24"/>
              </w:rPr>
              <w:t xml:space="preserve"> could Schedule 9 </w:t>
            </w:r>
            <w:r w:rsidRPr="000D0858">
              <w:rPr>
                <w:rFonts w:ascii="Times New Roman" w:hAnsi="Times New Roman" w:cs="Times New Roman"/>
                <w:sz w:val="24"/>
                <w:szCs w:val="24"/>
              </w:rPr>
              <w:t>“</w:t>
            </w:r>
            <w:r w:rsidRPr="000D0858">
              <w:rPr>
                <w:rFonts w:ascii="Times New Roman" w:hAnsi="Times New Roman" w:cs="Times New Roman" w:hint="eastAsia"/>
                <w:sz w:val="24"/>
                <w:szCs w:val="24"/>
              </w:rPr>
              <w:t>Attestations</w:t>
            </w:r>
            <w:r w:rsidRPr="000D0858">
              <w:rPr>
                <w:rFonts w:ascii="Times New Roman" w:hAnsi="Times New Roman" w:cs="Times New Roman"/>
                <w:sz w:val="24"/>
                <w:szCs w:val="24"/>
              </w:rPr>
              <w:t>”</w:t>
            </w:r>
            <w:r w:rsidRPr="000D0858">
              <w:rPr>
                <w:rFonts w:ascii="Times New Roman" w:hAnsi="Times New Roman" w:cs="Times New Roman" w:hint="eastAsia"/>
                <w:sz w:val="24"/>
                <w:szCs w:val="24"/>
              </w:rPr>
              <w:t xml:space="preserve"> be added without reference to the main text of the Revision 3 of the 1958 Agreement?</w:t>
            </w:r>
          </w:p>
        </w:tc>
        <w:tc>
          <w:tcPr>
            <w:tcW w:w="8505" w:type="dxa"/>
          </w:tcPr>
          <w:p w:rsidR="0058726B" w:rsidRPr="009727CB" w:rsidRDefault="0058726B" w:rsidP="00A72CC1">
            <w:pPr>
              <w:rPr>
                <w:rFonts w:ascii="Times New Roman" w:hAnsi="Times New Roman" w:cs="Times New Roman"/>
                <w:color w:val="1F497D" w:themeColor="text2"/>
                <w:sz w:val="24"/>
                <w:szCs w:val="24"/>
              </w:rPr>
            </w:pPr>
            <w:r w:rsidRPr="009727CB">
              <w:rPr>
                <w:rFonts w:ascii="Times New Roman" w:hAnsi="Times New Roman" w:cs="Times New Roman" w:hint="eastAsia"/>
                <w:color w:val="1F497D" w:themeColor="text2"/>
                <w:sz w:val="24"/>
                <w:szCs w:val="24"/>
              </w:rPr>
              <w:t xml:space="preserve">A2. </w:t>
            </w:r>
            <w:r w:rsidR="00815AB9" w:rsidRPr="009727CB">
              <w:rPr>
                <w:rFonts w:ascii="Times New Roman" w:hAnsi="Times New Roman" w:cs="Times New Roman"/>
                <w:color w:val="1F497D" w:themeColor="text2"/>
                <w:sz w:val="24"/>
                <w:szCs w:val="24"/>
              </w:rPr>
              <w:t xml:space="preserve"> </w:t>
            </w:r>
            <w:r w:rsidR="00815AB9" w:rsidRPr="00815AB9">
              <w:rPr>
                <w:rFonts w:ascii="Times New Roman" w:hAnsi="Times New Roman" w:cs="Times New Roman"/>
                <w:color w:val="1F497D" w:themeColor="text2"/>
                <w:sz w:val="24"/>
                <w:szCs w:val="24"/>
              </w:rPr>
              <w:t>The concept of Attestation is a new one, which is not covered by the 1958 Agreement.</w:t>
            </w:r>
            <w:r w:rsidR="00815AB9" w:rsidRPr="009727CB">
              <w:rPr>
                <w:rFonts w:ascii="Times New Roman" w:hAnsi="Times New Roman" w:cs="Times New Roman"/>
                <w:color w:val="1F497D" w:themeColor="text2"/>
                <w:sz w:val="24"/>
                <w:szCs w:val="24"/>
              </w:rPr>
              <w:t xml:space="preserve"> </w:t>
            </w:r>
            <w:r w:rsidR="00815AB9" w:rsidRPr="009B3D8B">
              <w:rPr>
                <w:rFonts w:ascii="Times New Roman" w:hAnsi="Times New Roman" w:cs="Times New Roman"/>
                <w:color w:val="1F497D" w:themeColor="text2"/>
                <w:sz w:val="24"/>
                <w:szCs w:val="24"/>
              </w:rPr>
              <w:t xml:space="preserve">Therefore, a </w:t>
            </w:r>
            <w:r w:rsidR="00815AB9" w:rsidRPr="00815AB9">
              <w:rPr>
                <w:rFonts w:ascii="Times New Roman" w:hAnsi="Times New Roman" w:cs="Times New Roman"/>
                <w:color w:val="1F497D" w:themeColor="text2"/>
                <w:sz w:val="24"/>
                <w:szCs w:val="24"/>
              </w:rPr>
              <w:t>further Revision of the 1958 Agreement would be needed</w:t>
            </w:r>
            <w:r w:rsidR="009B3D8B">
              <w:rPr>
                <w:rFonts w:ascii="Times New Roman" w:hAnsi="Times New Roman" w:cs="Times New Roman"/>
                <w:color w:val="1F497D" w:themeColor="text2"/>
                <w:sz w:val="24"/>
                <w:szCs w:val="24"/>
              </w:rPr>
              <w:t xml:space="preserve"> in order to introduce this concept</w:t>
            </w:r>
            <w:r w:rsidR="00A72CC1">
              <w:rPr>
                <w:rFonts w:ascii="Times New Roman" w:hAnsi="Times New Roman" w:cs="Times New Roman"/>
                <w:color w:val="1F497D" w:themeColor="text2"/>
                <w:sz w:val="24"/>
                <w:szCs w:val="24"/>
              </w:rPr>
              <w:t xml:space="preserve"> </w:t>
            </w:r>
            <w:r w:rsidR="00A72CC1" w:rsidRPr="009727CB">
              <w:rPr>
                <w:rFonts w:ascii="Times New Roman" w:hAnsi="Times New Roman" w:cs="Times New Roman"/>
                <w:color w:val="1F497D" w:themeColor="text2"/>
                <w:sz w:val="24"/>
                <w:szCs w:val="24"/>
              </w:rPr>
              <w:t>in the core provisions of the Revised 1958 Agreement. A new Schedule on a new concept cannot be added autonomously.</w:t>
            </w:r>
          </w:p>
        </w:tc>
      </w:tr>
      <w:tr w:rsidR="0058726B" w:rsidTr="001F26FB">
        <w:trPr>
          <w:trHeight w:val="982"/>
        </w:trPr>
        <w:tc>
          <w:tcPr>
            <w:tcW w:w="6487" w:type="dxa"/>
            <w:vAlign w:val="center"/>
          </w:tcPr>
          <w:p w:rsidR="0058726B" w:rsidRPr="000D0858" w:rsidRDefault="0058726B" w:rsidP="001F26FB">
            <w:pPr>
              <w:rPr>
                <w:rFonts w:ascii="Times New Roman" w:hAnsi="Times New Roman" w:cs="Times New Roman"/>
                <w:sz w:val="24"/>
                <w:szCs w:val="24"/>
              </w:rPr>
            </w:pPr>
            <w:r w:rsidRPr="000D0858">
              <w:rPr>
                <w:rFonts w:ascii="Times New Roman" w:hAnsi="Times New Roman" w:cs="Times New Roman" w:hint="eastAsia"/>
                <w:sz w:val="24"/>
                <w:szCs w:val="24"/>
              </w:rPr>
              <w:t xml:space="preserve">Q3: Would it be a practicable approach for Contracting Parties to amend the main text and/or Schedule of the 1958 Agreement in order to introduce </w:t>
            </w:r>
            <w:r w:rsidRPr="000D0858">
              <w:rPr>
                <w:rFonts w:ascii="Times New Roman" w:hAnsi="Times New Roman" w:cs="Times New Roman"/>
                <w:sz w:val="24"/>
                <w:szCs w:val="24"/>
              </w:rPr>
              <w:t>“</w:t>
            </w:r>
            <w:r w:rsidRPr="000D0858">
              <w:rPr>
                <w:rFonts w:ascii="Times New Roman" w:hAnsi="Times New Roman" w:cs="Times New Roman" w:hint="eastAsia"/>
                <w:sz w:val="24"/>
                <w:szCs w:val="24"/>
              </w:rPr>
              <w:t>Attestation concept</w:t>
            </w:r>
            <w:r w:rsidRPr="000D0858">
              <w:rPr>
                <w:rFonts w:ascii="Times New Roman" w:hAnsi="Times New Roman" w:cs="Times New Roman"/>
                <w:sz w:val="24"/>
                <w:szCs w:val="24"/>
              </w:rPr>
              <w:t>”</w:t>
            </w:r>
            <w:r w:rsidRPr="000D0858">
              <w:rPr>
                <w:rFonts w:ascii="Times New Roman" w:hAnsi="Times New Roman" w:cs="Times New Roman" w:hint="eastAsia"/>
                <w:sz w:val="24"/>
                <w:szCs w:val="24"/>
              </w:rPr>
              <w:t>?</w:t>
            </w:r>
          </w:p>
        </w:tc>
        <w:tc>
          <w:tcPr>
            <w:tcW w:w="8505" w:type="dxa"/>
          </w:tcPr>
          <w:p w:rsidR="0058726B" w:rsidRPr="009727CB" w:rsidRDefault="0058726B" w:rsidP="000D6F9E">
            <w:pPr>
              <w:rPr>
                <w:rFonts w:ascii="Times New Roman" w:hAnsi="Times New Roman" w:cs="Times New Roman"/>
                <w:color w:val="1F497D" w:themeColor="text2"/>
                <w:sz w:val="24"/>
                <w:szCs w:val="24"/>
              </w:rPr>
            </w:pPr>
            <w:r w:rsidRPr="009727CB">
              <w:rPr>
                <w:rFonts w:ascii="Times New Roman" w:hAnsi="Times New Roman" w:cs="Times New Roman" w:hint="eastAsia"/>
                <w:color w:val="1F497D" w:themeColor="text2"/>
                <w:sz w:val="24"/>
                <w:szCs w:val="24"/>
              </w:rPr>
              <w:t>A3.</w:t>
            </w:r>
            <w:r w:rsidRPr="00815AB9">
              <w:rPr>
                <w:rFonts w:ascii="Times New Roman" w:hAnsi="Times New Roman" w:cs="Times New Roman" w:hint="eastAsia"/>
                <w:color w:val="1F497D" w:themeColor="text2"/>
                <w:sz w:val="24"/>
                <w:szCs w:val="24"/>
              </w:rPr>
              <w:t xml:space="preserve"> </w:t>
            </w:r>
            <w:r w:rsidR="00815AB9" w:rsidRPr="00815AB9">
              <w:rPr>
                <w:rFonts w:ascii="Times New Roman" w:hAnsi="Times New Roman" w:cs="Times New Roman"/>
                <w:color w:val="1F497D" w:themeColor="text2"/>
                <w:sz w:val="24"/>
                <w:szCs w:val="24"/>
              </w:rPr>
              <w:t>As stated in A1, we do not believe this change is necessary</w:t>
            </w:r>
            <w:r w:rsidR="000D6F9E">
              <w:rPr>
                <w:rFonts w:ascii="Times New Roman" w:hAnsi="Times New Roman" w:cs="Times New Roman"/>
                <w:color w:val="1F497D" w:themeColor="text2"/>
                <w:sz w:val="24"/>
                <w:szCs w:val="24"/>
              </w:rPr>
              <w:t xml:space="preserve">, </w:t>
            </w:r>
            <w:r w:rsidR="000D6F9E" w:rsidRPr="009727CB">
              <w:rPr>
                <w:rFonts w:ascii="Times New Roman" w:hAnsi="Times New Roman" w:cs="Times New Roman"/>
                <w:color w:val="1F497D" w:themeColor="text2"/>
                <w:sz w:val="24"/>
                <w:szCs w:val="24"/>
              </w:rPr>
              <w:t>useful</w:t>
            </w:r>
            <w:r w:rsidR="00815AB9" w:rsidRPr="009727CB">
              <w:rPr>
                <w:rFonts w:ascii="Times New Roman" w:hAnsi="Times New Roman" w:cs="Times New Roman"/>
                <w:color w:val="1F497D" w:themeColor="text2"/>
                <w:sz w:val="24"/>
                <w:szCs w:val="24"/>
              </w:rPr>
              <w:t xml:space="preserve"> </w:t>
            </w:r>
            <w:r w:rsidR="00815AB9" w:rsidRPr="00815AB9">
              <w:rPr>
                <w:rFonts w:ascii="Times New Roman" w:hAnsi="Times New Roman" w:cs="Times New Roman"/>
                <w:color w:val="1F497D" w:themeColor="text2"/>
                <w:sz w:val="24"/>
                <w:szCs w:val="24"/>
              </w:rPr>
              <w:t xml:space="preserve">or even desirable and therefore </w:t>
            </w:r>
            <w:r w:rsidR="00815AB9">
              <w:rPr>
                <w:rFonts w:ascii="Times New Roman" w:hAnsi="Times New Roman" w:cs="Times New Roman"/>
                <w:color w:val="1F497D" w:themeColor="text2"/>
                <w:sz w:val="24"/>
                <w:szCs w:val="24"/>
              </w:rPr>
              <w:t>such an</w:t>
            </w:r>
            <w:r w:rsidR="00815AB9" w:rsidRPr="00815AB9">
              <w:rPr>
                <w:rFonts w:ascii="Times New Roman" w:hAnsi="Times New Roman" w:cs="Times New Roman"/>
                <w:color w:val="1F497D" w:themeColor="text2"/>
                <w:sz w:val="24"/>
                <w:szCs w:val="24"/>
              </w:rPr>
              <w:t xml:space="preserve"> exercise </w:t>
            </w:r>
            <w:r w:rsidR="00815AB9">
              <w:rPr>
                <w:rFonts w:ascii="Times New Roman" w:hAnsi="Times New Roman" w:cs="Times New Roman"/>
                <w:color w:val="1F497D" w:themeColor="text2"/>
                <w:sz w:val="24"/>
                <w:szCs w:val="24"/>
              </w:rPr>
              <w:t>does</w:t>
            </w:r>
            <w:r w:rsidR="00815AB9" w:rsidRPr="00815AB9">
              <w:rPr>
                <w:rFonts w:ascii="Times New Roman" w:hAnsi="Times New Roman" w:cs="Times New Roman"/>
                <w:color w:val="1F497D" w:themeColor="text2"/>
                <w:sz w:val="24"/>
                <w:szCs w:val="24"/>
              </w:rPr>
              <w:t xml:space="preserve"> not seem </w:t>
            </w:r>
            <w:r w:rsidR="000D6F9E" w:rsidRPr="009727CB">
              <w:rPr>
                <w:rFonts w:ascii="Times New Roman" w:hAnsi="Times New Roman" w:cs="Times New Roman"/>
                <w:color w:val="1F497D" w:themeColor="text2"/>
                <w:sz w:val="24"/>
                <w:szCs w:val="24"/>
              </w:rPr>
              <w:t>politically</w:t>
            </w:r>
            <w:r w:rsidR="000D6F9E">
              <w:rPr>
                <w:rFonts w:ascii="Times New Roman" w:hAnsi="Times New Roman" w:cs="Times New Roman"/>
                <w:color w:val="1F497D" w:themeColor="text2"/>
                <w:sz w:val="24"/>
                <w:szCs w:val="24"/>
              </w:rPr>
              <w:t xml:space="preserve"> </w:t>
            </w:r>
            <w:r w:rsidR="000D6F9E" w:rsidRPr="009727CB">
              <w:rPr>
                <w:rFonts w:ascii="Times New Roman" w:hAnsi="Times New Roman" w:cs="Times New Roman"/>
                <w:color w:val="1F497D" w:themeColor="text2"/>
                <w:sz w:val="24"/>
                <w:szCs w:val="24"/>
              </w:rPr>
              <w:t>appropriate</w:t>
            </w:r>
            <w:r w:rsidR="009B3D8B">
              <w:rPr>
                <w:rFonts w:ascii="Times New Roman" w:hAnsi="Times New Roman" w:cs="Times New Roman"/>
                <w:color w:val="1F497D" w:themeColor="text2"/>
                <w:sz w:val="24"/>
                <w:szCs w:val="24"/>
              </w:rPr>
              <w:t xml:space="preserve">, especially at this stage, when we </w:t>
            </w:r>
            <w:r w:rsidR="000D6F9E">
              <w:rPr>
                <w:rFonts w:ascii="Times New Roman" w:hAnsi="Times New Roman" w:cs="Times New Roman"/>
                <w:color w:val="1F497D" w:themeColor="text2"/>
                <w:sz w:val="24"/>
                <w:szCs w:val="24"/>
              </w:rPr>
              <w:t>have just finalized</w:t>
            </w:r>
            <w:r w:rsidR="009B3D8B">
              <w:rPr>
                <w:rFonts w:ascii="Times New Roman" w:hAnsi="Times New Roman" w:cs="Times New Roman"/>
                <w:color w:val="1F497D" w:themeColor="text2"/>
                <w:sz w:val="24"/>
                <w:szCs w:val="24"/>
              </w:rPr>
              <w:t xml:space="preserve"> Revision 3</w:t>
            </w:r>
            <w:r w:rsidR="000D6F9E">
              <w:rPr>
                <w:rFonts w:ascii="Times New Roman" w:hAnsi="Times New Roman" w:cs="Times New Roman"/>
                <w:color w:val="1F497D" w:themeColor="text2"/>
                <w:sz w:val="24"/>
                <w:szCs w:val="24"/>
              </w:rPr>
              <w:t xml:space="preserve"> </w:t>
            </w:r>
            <w:r w:rsidR="000D6F9E" w:rsidRPr="009727CB">
              <w:rPr>
                <w:rFonts w:ascii="Times New Roman" w:hAnsi="Times New Roman" w:cs="Times New Roman"/>
                <w:color w:val="1F497D" w:themeColor="text2"/>
                <w:sz w:val="24"/>
                <w:szCs w:val="24"/>
              </w:rPr>
              <w:t>and launched its notification and accession procedure</w:t>
            </w:r>
            <w:r w:rsidR="00815AB9" w:rsidRPr="00815AB9">
              <w:rPr>
                <w:rFonts w:ascii="Times New Roman" w:hAnsi="Times New Roman" w:cs="Times New Roman"/>
                <w:color w:val="1F497D" w:themeColor="text2"/>
                <w:sz w:val="24"/>
                <w:szCs w:val="24"/>
              </w:rPr>
              <w:t xml:space="preserve">. </w:t>
            </w:r>
          </w:p>
        </w:tc>
      </w:tr>
    </w:tbl>
    <w:p w:rsidR="0058726B" w:rsidRPr="0058726B" w:rsidRDefault="0058726B" w:rsidP="0058726B">
      <w:pPr>
        <w:rPr>
          <w:rFonts w:ascii="Times New Roman" w:hAnsi="Times New Roman" w:cs="Times New Roman"/>
          <w:sz w:val="24"/>
          <w:szCs w:val="24"/>
        </w:rPr>
      </w:pPr>
      <w:r w:rsidRPr="0058726B">
        <w:rPr>
          <w:rFonts w:ascii="Times New Roman" w:hAnsi="Times New Roman" w:cs="Times New Roman" w:hint="eastAsia"/>
          <w:sz w:val="24"/>
          <w:szCs w:val="24"/>
        </w:rPr>
        <w:t xml:space="preserve">1. Attestation concept (refer to Action item 3 in document IWVTA-SG58-22-01 </w:t>
      </w:r>
      <w:r w:rsidRPr="0058726B">
        <w:rPr>
          <w:rFonts w:ascii="Times New Roman" w:hAnsi="Times New Roman" w:cs="Times New Roman"/>
          <w:sz w:val="24"/>
          <w:szCs w:val="24"/>
        </w:rPr>
        <w:t>“</w:t>
      </w:r>
      <w:r w:rsidRPr="0058726B">
        <w:rPr>
          <w:rFonts w:ascii="Times New Roman" w:hAnsi="Times New Roman" w:cs="Times New Roman" w:hint="eastAsia"/>
          <w:sz w:val="24"/>
          <w:szCs w:val="24"/>
        </w:rPr>
        <w:t>Major results and Action items of the 21</w:t>
      </w:r>
      <w:r w:rsidRPr="0058726B">
        <w:rPr>
          <w:rFonts w:ascii="Times New Roman" w:hAnsi="Times New Roman" w:cs="Times New Roman" w:hint="eastAsia"/>
          <w:sz w:val="24"/>
          <w:szCs w:val="24"/>
          <w:vertAlign w:val="superscript"/>
        </w:rPr>
        <w:t>st</w:t>
      </w:r>
      <w:r w:rsidRPr="0058726B">
        <w:rPr>
          <w:rFonts w:ascii="Times New Roman" w:hAnsi="Times New Roman" w:cs="Times New Roman" w:hint="eastAsia"/>
          <w:sz w:val="24"/>
          <w:szCs w:val="24"/>
        </w:rPr>
        <w:t xml:space="preserve"> SG58 meeting)</w:t>
      </w:r>
    </w:p>
    <w:p w:rsidR="0058726B" w:rsidRPr="0058726B" w:rsidRDefault="0058726B">
      <w:pPr>
        <w:rPr>
          <w:rFonts w:ascii="Times New Roman" w:hAnsi="Times New Roman" w:cs="Times New Roman"/>
          <w:sz w:val="20"/>
          <w:szCs w:val="20"/>
        </w:rPr>
      </w:pPr>
    </w:p>
    <w:p w:rsidR="00101C14" w:rsidRDefault="0058726B">
      <w:pPr>
        <w:rPr>
          <w:rFonts w:ascii="Times New Roman" w:hAnsi="Times New Roman" w:cs="Times New Roman"/>
          <w:sz w:val="24"/>
          <w:szCs w:val="24"/>
        </w:rPr>
      </w:pPr>
      <w:r>
        <w:rPr>
          <w:rFonts w:ascii="Times New Roman" w:hAnsi="Times New Roman" w:cs="Times New Roman" w:hint="eastAsia"/>
          <w:sz w:val="24"/>
          <w:szCs w:val="24"/>
        </w:rPr>
        <w:t>2</w:t>
      </w:r>
      <w:r w:rsidR="00101C14" w:rsidRPr="00101C14">
        <w:rPr>
          <w:rFonts w:ascii="Times New Roman" w:hAnsi="Times New Roman" w:cs="Times New Roman" w:hint="eastAsia"/>
          <w:sz w:val="24"/>
          <w:szCs w:val="24"/>
        </w:rPr>
        <w:t xml:space="preserve">. </w:t>
      </w:r>
      <w:r>
        <w:rPr>
          <w:rFonts w:ascii="Times New Roman" w:hAnsi="Times New Roman" w:cs="Times New Roman" w:hint="eastAsia"/>
          <w:sz w:val="24"/>
          <w:szCs w:val="24"/>
        </w:rPr>
        <w:t>Diversity of manufacturers</w:t>
      </w:r>
      <w:r w:rsidR="00101C14" w:rsidRPr="00101C14">
        <w:rPr>
          <w:rFonts w:ascii="Times New Roman" w:hAnsi="Times New Roman" w:cs="Times New Roman" w:hint="eastAsia"/>
          <w:sz w:val="24"/>
          <w:szCs w:val="24"/>
        </w:rPr>
        <w:t xml:space="preserve"> (refer to Action item </w:t>
      </w:r>
      <w:r>
        <w:rPr>
          <w:rFonts w:ascii="Times New Roman" w:hAnsi="Times New Roman" w:cs="Times New Roman" w:hint="eastAsia"/>
          <w:sz w:val="24"/>
          <w:szCs w:val="24"/>
        </w:rPr>
        <w:t>1 in document IWVTA-SG</w:t>
      </w:r>
      <w:r w:rsidR="00A82E57">
        <w:rPr>
          <w:rFonts w:ascii="Times New Roman" w:hAnsi="Times New Roman" w:cs="Times New Roman" w:hint="eastAsia"/>
          <w:sz w:val="24"/>
          <w:szCs w:val="24"/>
        </w:rPr>
        <w:t>R0</w:t>
      </w:r>
      <w:r>
        <w:rPr>
          <w:rFonts w:ascii="Times New Roman" w:hAnsi="Times New Roman" w:cs="Times New Roman" w:hint="eastAsia"/>
          <w:sz w:val="24"/>
          <w:szCs w:val="24"/>
        </w:rPr>
        <w:t xml:space="preserve">-22-01 </w:t>
      </w:r>
      <w:r>
        <w:rPr>
          <w:rFonts w:ascii="Times New Roman" w:hAnsi="Times New Roman" w:cs="Times New Roman"/>
          <w:sz w:val="24"/>
          <w:szCs w:val="24"/>
        </w:rPr>
        <w:t>“</w:t>
      </w:r>
      <w:r>
        <w:rPr>
          <w:rFonts w:ascii="Times New Roman" w:hAnsi="Times New Roman" w:cs="Times New Roman" w:hint="eastAsia"/>
          <w:sz w:val="24"/>
          <w:szCs w:val="24"/>
        </w:rPr>
        <w:t>Major results and Action items of the 21</w:t>
      </w:r>
      <w:r w:rsidRPr="0058726B">
        <w:rPr>
          <w:rFonts w:ascii="Times New Roman" w:hAnsi="Times New Roman" w:cs="Times New Roman" w:hint="eastAsia"/>
          <w:sz w:val="24"/>
          <w:szCs w:val="24"/>
          <w:vertAlign w:val="superscript"/>
        </w:rPr>
        <w:t>st</w:t>
      </w:r>
      <w:r>
        <w:rPr>
          <w:rFonts w:ascii="Times New Roman" w:hAnsi="Times New Roman" w:cs="Times New Roman" w:hint="eastAsia"/>
          <w:sz w:val="24"/>
          <w:szCs w:val="24"/>
        </w:rPr>
        <w:t xml:space="preserve"> SG</w:t>
      </w:r>
      <w:r w:rsidR="00A82E57">
        <w:rPr>
          <w:rFonts w:ascii="Times New Roman" w:hAnsi="Times New Roman" w:cs="Times New Roman" w:hint="eastAsia"/>
          <w:sz w:val="24"/>
          <w:szCs w:val="24"/>
        </w:rPr>
        <w:t>R0</w:t>
      </w:r>
      <w:r>
        <w:rPr>
          <w:rFonts w:ascii="Times New Roman" w:hAnsi="Times New Roman" w:cs="Times New Roman" w:hint="eastAsia"/>
          <w:sz w:val="24"/>
          <w:szCs w:val="24"/>
        </w:rPr>
        <w:t xml:space="preserve"> meeting)</w:t>
      </w:r>
    </w:p>
    <w:p w:rsidR="00DA4ECC" w:rsidRPr="00DA4ECC" w:rsidRDefault="00DA4ECC">
      <w:pPr>
        <w:rPr>
          <w:rFonts w:ascii="Times New Roman" w:hAnsi="Times New Roman" w:cs="Times New Roman"/>
          <w:sz w:val="16"/>
          <w:szCs w:val="16"/>
        </w:rPr>
      </w:pPr>
    </w:p>
    <w:tbl>
      <w:tblPr>
        <w:tblStyle w:val="a3"/>
        <w:tblW w:w="0" w:type="auto"/>
        <w:tblLook w:val="04A0" w:firstRow="1" w:lastRow="0" w:firstColumn="1" w:lastColumn="0" w:noHBand="0" w:noVBand="1"/>
      </w:tblPr>
      <w:tblGrid>
        <w:gridCol w:w="6487"/>
        <w:gridCol w:w="8679"/>
      </w:tblGrid>
      <w:tr w:rsidR="00484EEF" w:rsidTr="001F26FB">
        <w:trPr>
          <w:trHeight w:val="648"/>
        </w:trPr>
        <w:tc>
          <w:tcPr>
            <w:tcW w:w="6487" w:type="dxa"/>
            <w:tcBorders>
              <w:bottom w:val="thinThickSmallGap" w:sz="24" w:space="0" w:color="auto"/>
            </w:tcBorders>
            <w:vAlign w:val="center"/>
          </w:tcPr>
          <w:p w:rsidR="00484EEF" w:rsidRDefault="00484EEF" w:rsidP="001F26FB">
            <w:pPr>
              <w:rPr>
                <w:rFonts w:ascii="Times New Roman" w:hAnsi="Times New Roman" w:cs="Times New Roman"/>
                <w:sz w:val="24"/>
                <w:szCs w:val="24"/>
              </w:rPr>
            </w:pPr>
            <w:r>
              <w:rPr>
                <w:rFonts w:ascii="Times New Roman" w:hAnsi="Times New Roman" w:cs="Times New Roman" w:hint="eastAsia"/>
                <w:sz w:val="24"/>
                <w:szCs w:val="24"/>
              </w:rPr>
              <w:t>Questions</w:t>
            </w:r>
            <w:r w:rsidR="00316C3A">
              <w:rPr>
                <w:rFonts w:ascii="Times New Roman" w:hAnsi="Times New Roman" w:cs="Times New Roman" w:hint="eastAsia"/>
                <w:sz w:val="24"/>
                <w:szCs w:val="24"/>
              </w:rPr>
              <w:t>:</w:t>
            </w:r>
            <w:r w:rsidR="00316C3A" w:rsidRPr="00316C3A">
              <w:rPr>
                <w:rFonts w:ascii="Times New Roman" w:eastAsia="ＭＳ 明朝" w:hAnsi="Times New Roman" w:cs="Times New Roman" w:hint="eastAsia"/>
                <w:sz w:val="24"/>
                <w:szCs w:val="24"/>
              </w:rPr>
              <w:t xml:space="preserve"> </w:t>
            </w:r>
            <w:r w:rsidR="00316C3A">
              <w:rPr>
                <w:rFonts w:ascii="Times New Roman" w:eastAsia="ＭＳ 明朝" w:hAnsi="Times New Roman" w:cs="Times New Roman" w:hint="eastAsia"/>
                <w:sz w:val="24"/>
                <w:szCs w:val="24"/>
              </w:rPr>
              <w:t>Is d</w:t>
            </w:r>
            <w:r w:rsidR="00316C3A" w:rsidRPr="00316C3A">
              <w:rPr>
                <w:rFonts w:ascii="Times New Roman" w:hAnsi="Times New Roman" w:cs="Times New Roman" w:hint="eastAsia"/>
                <w:sz w:val="24"/>
                <w:szCs w:val="24"/>
              </w:rPr>
              <w:t>iversity of manufacturers under IWVTA and individual type approvals allowed in the following cases</w:t>
            </w:r>
            <w:r w:rsidR="00316C3A">
              <w:rPr>
                <w:rFonts w:ascii="Times New Roman" w:hAnsi="Times New Roman" w:cs="Times New Roman" w:hint="eastAsia"/>
                <w:sz w:val="24"/>
                <w:szCs w:val="24"/>
              </w:rPr>
              <w:t>?</w:t>
            </w:r>
          </w:p>
        </w:tc>
        <w:tc>
          <w:tcPr>
            <w:tcW w:w="8679" w:type="dxa"/>
            <w:tcBorders>
              <w:bottom w:val="thinThickSmallGap" w:sz="24" w:space="0" w:color="auto"/>
            </w:tcBorders>
          </w:tcPr>
          <w:p w:rsidR="00484EEF" w:rsidRDefault="00484EEF">
            <w:pPr>
              <w:rPr>
                <w:rFonts w:ascii="Times New Roman" w:hAnsi="Times New Roman" w:cs="Times New Roman"/>
                <w:sz w:val="24"/>
                <w:szCs w:val="24"/>
              </w:rPr>
            </w:pPr>
            <w:r>
              <w:rPr>
                <w:rFonts w:ascii="Times New Roman" w:hAnsi="Times New Roman" w:cs="Times New Roman" w:hint="eastAsia"/>
                <w:sz w:val="24"/>
                <w:szCs w:val="24"/>
              </w:rPr>
              <w:t>Answers</w:t>
            </w:r>
          </w:p>
        </w:tc>
      </w:tr>
      <w:tr w:rsidR="00484EEF" w:rsidTr="001F26FB">
        <w:trPr>
          <w:trHeight w:val="718"/>
        </w:trPr>
        <w:tc>
          <w:tcPr>
            <w:tcW w:w="6487" w:type="dxa"/>
            <w:tcBorders>
              <w:top w:val="thinThickSmallGap" w:sz="24" w:space="0" w:color="auto"/>
            </w:tcBorders>
            <w:vAlign w:val="center"/>
          </w:tcPr>
          <w:p w:rsidR="00484EEF" w:rsidRDefault="00316C3A" w:rsidP="001F26FB">
            <w:pPr>
              <w:rPr>
                <w:rFonts w:ascii="Times New Roman" w:hAnsi="Times New Roman" w:cs="Times New Roman"/>
                <w:sz w:val="24"/>
                <w:szCs w:val="24"/>
              </w:rPr>
            </w:pPr>
            <w:r>
              <w:rPr>
                <w:rFonts w:ascii="Times New Roman" w:hAnsi="Times New Roman" w:cs="Times New Roman" w:hint="eastAsia"/>
                <w:sz w:val="24"/>
                <w:szCs w:val="24"/>
              </w:rPr>
              <w:t xml:space="preserve">Case </w:t>
            </w:r>
            <w:proofErr w:type="spellStart"/>
            <w:r w:rsidR="00484EEF">
              <w:rPr>
                <w:rFonts w:ascii="Times New Roman" w:hAnsi="Times New Roman" w:cs="Times New Roman" w:hint="eastAsia"/>
                <w:sz w:val="24"/>
                <w:szCs w:val="24"/>
              </w:rPr>
              <w:t>i</w:t>
            </w:r>
            <w:proofErr w:type="spellEnd"/>
            <w:r w:rsidR="00484EEF">
              <w:rPr>
                <w:rFonts w:ascii="Times New Roman" w:hAnsi="Times New Roman" w:cs="Times New Roman" w:hint="eastAsia"/>
                <w:sz w:val="24"/>
                <w:szCs w:val="24"/>
              </w:rPr>
              <w:t>)</w:t>
            </w:r>
            <w:r>
              <w:rPr>
                <w:rFonts w:ascii="Times New Roman" w:hAnsi="Times New Roman" w:cs="Times New Roman" w:hint="eastAsia"/>
                <w:sz w:val="24"/>
                <w:szCs w:val="24"/>
              </w:rPr>
              <w:t xml:space="preserve">: </w:t>
            </w:r>
            <w:r w:rsidRPr="00316C3A">
              <w:rPr>
                <w:rFonts w:ascii="Times New Roman" w:hAnsi="Times New Roman" w:cs="Times New Roman" w:hint="eastAsia"/>
                <w:sz w:val="24"/>
                <w:szCs w:val="24"/>
              </w:rPr>
              <w:t>IWVTA is applied by a vehicle manufacturer using type approval of components whose applicant is a supplier.</w:t>
            </w:r>
          </w:p>
        </w:tc>
        <w:tc>
          <w:tcPr>
            <w:tcW w:w="8679" w:type="dxa"/>
            <w:tcBorders>
              <w:top w:val="thinThickSmallGap" w:sz="24" w:space="0" w:color="auto"/>
            </w:tcBorders>
          </w:tcPr>
          <w:p w:rsidR="00484EEF" w:rsidRDefault="00484EEF">
            <w:pPr>
              <w:rPr>
                <w:rFonts w:ascii="Times New Roman" w:hAnsi="Times New Roman" w:cs="Times New Roman"/>
                <w:sz w:val="24"/>
                <w:szCs w:val="24"/>
              </w:rPr>
            </w:pPr>
            <w:r>
              <w:rPr>
                <w:rFonts w:ascii="Times New Roman" w:hAnsi="Times New Roman" w:cs="Times New Roman" w:hint="eastAsia"/>
                <w:sz w:val="24"/>
                <w:szCs w:val="24"/>
              </w:rPr>
              <w:t>A</w:t>
            </w:r>
            <w:r w:rsidR="001F26FB">
              <w:rPr>
                <w:rFonts w:ascii="Times New Roman" w:hAnsi="Times New Roman" w:cs="Times New Roman" w:hint="eastAsia"/>
                <w:sz w:val="24"/>
                <w:szCs w:val="24"/>
              </w:rPr>
              <w:t xml:space="preserve"> for case </w:t>
            </w:r>
            <w:proofErr w:type="spellStart"/>
            <w:r>
              <w:rPr>
                <w:rFonts w:ascii="Times New Roman" w:hAnsi="Times New Roman" w:cs="Times New Roman" w:hint="eastAsia"/>
                <w:sz w:val="24"/>
                <w:szCs w:val="24"/>
              </w:rPr>
              <w:t>i</w:t>
            </w:r>
            <w:proofErr w:type="spellEnd"/>
            <w:r>
              <w:rPr>
                <w:rFonts w:ascii="Times New Roman" w:hAnsi="Times New Roman" w:cs="Times New Roman" w:hint="eastAsia"/>
                <w:sz w:val="24"/>
                <w:szCs w:val="24"/>
              </w:rPr>
              <w:t>)</w:t>
            </w:r>
            <w:r w:rsidR="001F26FB">
              <w:rPr>
                <w:rFonts w:ascii="Times New Roman" w:hAnsi="Times New Roman" w:cs="Times New Roman" w:hint="eastAsia"/>
                <w:sz w:val="24"/>
                <w:szCs w:val="24"/>
              </w:rPr>
              <w:t>:</w:t>
            </w:r>
            <w:r w:rsidR="00815AB9">
              <w:rPr>
                <w:rFonts w:ascii="Times New Roman" w:hAnsi="Times New Roman" w:cs="Times New Roman"/>
                <w:sz w:val="24"/>
                <w:szCs w:val="24"/>
              </w:rPr>
              <w:t xml:space="preserve"> </w:t>
            </w:r>
            <w:r w:rsidR="009B3D8B" w:rsidRPr="009B3D8B">
              <w:rPr>
                <w:rFonts w:ascii="Times New Roman" w:hAnsi="Times New Roman" w:cs="Times New Roman"/>
                <w:color w:val="1F497D" w:themeColor="text2"/>
                <w:sz w:val="24"/>
                <w:szCs w:val="24"/>
              </w:rPr>
              <w:t>Yes</w:t>
            </w:r>
          </w:p>
        </w:tc>
      </w:tr>
      <w:tr w:rsidR="00484EEF" w:rsidTr="001F26FB">
        <w:trPr>
          <w:trHeight w:val="981"/>
        </w:trPr>
        <w:tc>
          <w:tcPr>
            <w:tcW w:w="6487" w:type="dxa"/>
            <w:vAlign w:val="center"/>
          </w:tcPr>
          <w:p w:rsidR="00484EEF" w:rsidRDefault="00316C3A" w:rsidP="001F26FB">
            <w:pPr>
              <w:rPr>
                <w:rFonts w:ascii="Times New Roman" w:hAnsi="Times New Roman" w:cs="Times New Roman"/>
                <w:sz w:val="24"/>
                <w:szCs w:val="24"/>
              </w:rPr>
            </w:pPr>
            <w:r>
              <w:rPr>
                <w:rFonts w:ascii="Times New Roman" w:hAnsi="Times New Roman" w:cs="Times New Roman" w:hint="eastAsia"/>
                <w:sz w:val="24"/>
                <w:szCs w:val="24"/>
              </w:rPr>
              <w:t xml:space="preserve">Case </w:t>
            </w:r>
            <w:r w:rsidR="00484EEF">
              <w:rPr>
                <w:rFonts w:ascii="Times New Roman" w:hAnsi="Times New Roman" w:cs="Times New Roman" w:hint="eastAsia"/>
                <w:sz w:val="24"/>
                <w:szCs w:val="24"/>
              </w:rPr>
              <w:t>ii)</w:t>
            </w:r>
            <w:r>
              <w:rPr>
                <w:rFonts w:ascii="Times New Roman" w:hAnsi="Times New Roman" w:cs="Times New Roman" w:hint="eastAsia"/>
                <w:sz w:val="24"/>
                <w:szCs w:val="24"/>
              </w:rPr>
              <w:t xml:space="preserve"> </w:t>
            </w:r>
            <w:r w:rsidRPr="00316C3A">
              <w:rPr>
                <w:rFonts w:ascii="Times New Roman" w:hAnsi="Times New Roman" w:cs="Times New Roman" w:hint="eastAsia"/>
                <w:sz w:val="24"/>
                <w:szCs w:val="24"/>
              </w:rPr>
              <w:t>IWVTA is applied by a vehicle manufacturer using type approval of a vehicle system whose applicant is its subsidiary company, and vice versa.</w:t>
            </w:r>
          </w:p>
        </w:tc>
        <w:tc>
          <w:tcPr>
            <w:tcW w:w="8679" w:type="dxa"/>
          </w:tcPr>
          <w:p w:rsidR="00484EEF" w:rsidRDefault="00484EEF">
            <w:pPr>
              <w:rPr>
                <w:rFonts w:ascii="Times New Roman" w:hAnsi="Times New Roman" w:cs="Times New Roman"/>
                <w:sz w:val="24"/>
                <w:szCs w:val="24"/>
              </w:rPr>
            </w:pPr>
            <w:r>
              <w:rPr>
                <w:rFonts w:ascii="Times New Roman" w:hAnsi="Times New Roman" w:cs="Times New Roman" w:hint="eastAsia"/>
                <w:sz w:val="24"/>
                <w:szCs w:val="24"/>
              </w:rPr>
              <w:t>A</w:t>
            </w:r>
            <w:r w:rsidR="001F26FB">
              <w:rPr>
                <w:rFonts w:ascii="Times New Roman" w:hAnsi="Times New Roman" w:cs="Times New Roman" w:hint="eastAsia"/>
                <w:sz w:val="24"/>
                <w:szCs w:val="24"/>
              </w:rPr>
              <w:t xml:space="preserve"> for case </w:t>
            </w:r>
            <w:r>
              <w:rPr>
                <w:rFonts w:ascii="Times New Roman" w:hAnsi="Times New Roman" w:cs="Times New Roman" w:hint="eastAsia"/>
                <w:sz w:val="24"/>
                <w:szCs w:val="24"/>
              </w:rPr>
              <w:t>ii)</w:t>
            </w:r>
            <w:r w:rsidR="001F26FB">
              <w:rPr>
                <w:rFonts w:ascii="Times New Roman" w:hAnsi="Times New Roman" w:cs="Times New Roman" w:hint="eastAsia"/>
                <w:sz w:val="24"/>
                <w:szCs w:val="24"/>
              </w:rPr>
              <w:t>:</w:t>
            </w:r>
            <w:r w:rsidR="009B3D8B">
              <w:rPr>
                <w:rFonts w:ascii="Times New Roman" w:hAnsi="Times New Roman" w:cs="Times New Roman"/>
                <w:sz w:val="24"/>
                <w:szCs w:val="24"/>
              </w:rPr>
              <w:t xml:space="preserve"> </w:t>
            </w:r>
            <w:r w:rsidR="009B3D8B" w:rsidRPr="009B3D8B">
              <w:rPr>
                <w:rFonts w:ascii="Times New Roman" w:hAnsi="Times New Roman" w:cs="Times New Roman"/>
                <w:color w:val="1F497D" w:themeColor="text2"/>
                <w:sz w:val="24"/>
                <w:szCs w:val="24"/>
              </w:rPr>
              <w:t>Systems are closely linked to a specific vehicle and</w:t>
            </w:r>
            <w:r w:rsidR="009B3D8B">
              <w:rPr>
                <w:rFonts w:ascii="Times New Roman" w:hAnsi="Times New Roman" w:cs="Times New Roman"/>
                <w:color w:val="1F497D" w:themeColor="text2"/>
                <w:sz w:val="24"/>
                <w:szCs w:val="24"/>
              </w:rPr>
              <w:t xml:space="preserve"> therefore the manufacturer should be the same for both.</w:t>
            </w:r>
            <w:r w:rsidR="009B3D8B" w:rsidRPr="009B3D8B">
              <w:rPr>
                <w:rFonts w:ascii="Times New Roman" w:hAnsi="Times New Roman" w:cs="Times New Roman"/>
                <w:sz w:val="24"/>
                <w:szCs w:val="24"/>
              </w:rPr>
              <w:t xml:space="preserve"> </w:t>
            </w:r>
          </w:p>
        </w:tc>
      </w:tr>
      <w:tr w:rsidR="00484EEF" w:rsidTr="001F26FB">
        <w:trPr>
          <w:trHeight w:val="1264"/>
        </w:trPr>
        <w:tc>
          <w:tcPr>
            <w:tcW w:w="6487" w:type="dxa"/>
            <w:vAlign w:val="center"/>
          </w:tcPr>
          <w:p w:rsidR="00484EEF" w:rsidRPr="00316C3A" w:rsidRDefault="00316C3A" w:rsidP="001F26FB">
            <w:pPr>
              <w:rPr>
                <w:rFonts w:ascii="Times New Roman" w:hAnsi="Times New Roman" w:cs="Times New Roman"/>
                <w:sz w:val="24"/>
                <w:szCs w:val="24"/>
              </w:rPr>
            </w:pPr>
            <w:bookmarkStart w:id="0" w:name="_GoBack"/>
            <w:bookmarkEnd w:id="0"/>
            <w:r>
              <w:rPr>
                <w:rFonts w:ascii="Times New Roman" w:hAnsi="Times New Roman" w:cs="Times New Roman" w:hint="eastAsia"/>
                <w:sz w:val="24"/>
                <w:szCs w:val="24"/>
              </w:rPr>
              <w:lastRenderedPageBreak/>
              <w:t xml:space="preserve">Case </w:t>
            </w:r>
            <w:r w:rsidR="00484EEF">
              <w:rPr>
                <w:rFonts w:ascii="Times New Roman" w:hAnsi="Times New Roman" w:cs="Times New Roman" w:hint="eastAsia"/>
                <w:sz w:val="24"/>
                <w:szCs w:val="24"/>
              </w:rPr>
              <w:t>iii)</w:t>
            </w:r>
            <w:r>
              <w:rPr>
                <w:rFonts w:ascii="Times New Roman" w:hAnsi="Times New Roman" w:cs="Times New Roman" w:hint="eastAsia"/>
                <w:sz w:val="24"/>
                <w:szCs w:val="24"/>
              </w:rPr>
              <w:t xml:space="preserve"> </w:t>
            </w:r>
            <w:r w:rsidRPr="00316C3A">
              <w:rPr>
                <w:rFonts w:ascii="Times New Roman" w:hAnsi="Times New Roman" w:cs="Times New Roman" w:hint="eastAsia"/>
                <w:sz w:val="24"/>
                <w:szCs w:val="24"/>
              </w:rPr>
              <w:t>IWVTA is applied by vehicle Manufacturer A using type approval of a vehicle system whose applicant is Manufacturer B. Manufacturers A and B jointly developed the system.</w:t>
            </w:r>
          </w:p>
        </w:tc>
        <w:tc>
          <w:tcPr>
            <w:tcW w:w="8679" w:type="dxa"/>
          </w:tcPr>
          <w:p w:rsidR="00484EEF" w:rsidRDefault="00484EEF" w:rsidP="00454DEE">
            <w:pPr>
              <w:rPr>
                <w:rFonts w:ascii="Times New Roman" w:hAnsi="Times New Roman" w:cs="Times New Roman"/>
                <w:sz w:val="24"/>
                <w:szCs w:val="24"/>
              </w:rPr>
            </w:pPr>
            <w:r>
              <w:rPr>
                <w:rFonts w:ascii="Times New Roman" w:hAnsi="Times New Roman" w:cs="Times New Roman" w:hint="eastAsia"/>
                <w:sz w:val="24"/>
                <w:szCs w:val="24"/>
              </w:rPr>
              <w:t>A</w:t>
            </w:r>
            <w:r w:rsidR="001F26FB">
              <w:rPr>
                <w:rFonts w:ascii="Times New Roman" w:hAnsi="Times New Roman" w:cs="Times New Roman" w:hint="eastAsia"/>
                <w:sz w:val="24"/>
                <w:szCs w:val="24"/>
              </w:rPr>
              <w:t xml:space="preserve"> for case </w:t>
            </w:r>
            <w:r>
              <w:rPr>
                <w:rFonts w:ascii="Times New Roman" w:hAnsi="Times New Roman" w:cs="Times New Roman" w:hint="eastAsia"/>
                <w:sz w:val="24"/>
                <w:szCs w:val="24"/>
              </w:rPr>
              <w:t>iii)</w:t>
            </w:r>
            <w:r w:rsidR="001F26FB">
              <w:rPr>
                <w:rFonts w:ascii="Times New Roman" w:hAnsi="Times New Roman" w:cs="Times New Roman" w:hint="eastAsia"/>
                <w:sz w:val="24"/>
                <w:szCs w:val="24"/>
              </w:rPr>
              <w:t>:</w:t>
            </w:r>
            <w:r w:rsidR="009B3D8B">
              <w:rPr>
                <w:rFonts w:ascii="Times New Roman" w:hAnsi="Times New Roman" w:cs="Times New Roman"/>
                <w:sz w:val="24"/>
                <w:szCs w:val="24"/>
              </w:rPr>
              <w:t xml:space="preserve"> </w:t>
            </w:r>
            <w:r w:rsidR="00454DEE" w:rsidRPr="00454DEE">
              <w:rPr>
                <w:rFonts w:ascii="Times New Roman" w:hAnsi="Times New Roman" w:cs="Times New Roman"/>
                <w:color w:val="1F497D" w:themeColor="text2"/>
                <w:sz w:val="24"/>
                <w:szCs w:val="24"/>
              </w:rPr>
              <w:t xml:space="preserve">Also here, it is important to ensure that the vehicle manufacturer is responsible for the whole vehicle and therefore it is preferable that the manufacturer remains the same. This would also ensure clarity when applying Conformity of Production rules.  </w:t>
            </w:r>
          </w:p>
        </w:tc>
      </w:tr>
    </w:tbl>
    <w:p w:rsidR="00A82E57" w:rsidRPr="00101C14" w:rsidRDefault="00A82E57">
      <w:pPr>
        <w:rPr>
          <w:rFonts w:ascii="Times New Roman" w:hAnsi="Times New Roman" w:cs="Times New Roman"/>
          <w:sz w:val="24"/>
          <w:szCs w:val="24"/>
        </w:rPr>
      </w:pPr>
    </w:p>
    <w:sectPr w:rsidR="00A82E57" w:rsidRPr="00101C14" w:rsidSect="0058726B">
      <w:headerReference w:type="first" r:id="rId7"/>
      <w:pgSz w:w="16840" w:h="11907" w:orient="landscape" w:code="9"/>
      <w:pgMar w:top="1134" w:right="851" w:bottom="680" w:left="1021" w:header="851" w:footer="1701" w:gutter="0"/>
      <w:cols w:space="425"/>
      <w:titlePg/>
      <w:docGrid w:linePitch="33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5CFF" w:rsidRDefault="008E5CFF" w:rsidP="00451BE0">
      <w:r>
        <w:separator/>
      </w:r>
    </w:p>
  </w:endnote>
  <w:endnote w:type="continuationSeparator" w:id="0">
    <w:p w:rsidR="008E5CFF" w:rsidRDefault="008E5CFF" w:rsidP="00451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5CFF" w:rsidRDefault="008E5CFF" w:rsidP="00451BE0">
      <w:r>
        <w:separator/>
      </w:r>
    </w:p>
  </w:footnote>
  <w:footnote w:type="continuationSeparator" w:id="0">
    <w:p w:rsidR="008E5CFF" w:rsidRDefault="008E5CFF" w:rsidP="00451B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BE0" w:rsidRDefault="00451BE0">
    <w:pPr>
      <w:pStyle w:val="a4"/>
    </w:pPr>
    <w:r>
      <w:t>T</w:t>
    </w:r>
    <w:r>
      <w:rPr>
        <w:rFonts w:hint="eastAsia"/>
      </w:rPr>
      <w:t>ransmitted by the expert of EC                                                                                    document SG58-22-12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840"/>
  <w:drawingGridHorizontalSpacing w:val="105"/>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0D0858"/>
    <w:rsid w:val="00002EE2"/>
    <w:rsid w:val="00004E6D"/>
    <w:rsid w:val="0003300C"/>
    <w:rsid w:val="00044D09"/>
    <w:rsid w:val="0006245A"/>
    <w:rsid w:val="0007718C"/>
    <w:rsid w:val="00085FC6"/>
    <w:rsid w:val="000A0486"/>
    <w:rsid w:val="000A07C7"/>
    <w:rsid w:val="000A1DB6"/>
    <w:rsid w:val="000A2B2E"/>
    <w:rsid w:val="000B01FB"/>
    <w:rsid w:val="000B30A9"/>
    <w:rsid w:val="000C357A"/>
    <w:rsid w:val="000D0858"/>
    <w:rsid w:val="000D6F9E"/>
    <w:rsid w:val="000D709A"/>
    <w:rsid w:val="000E39F0"/>
    <w:rsid w:val="000F0FC4"/>
    <w:rsid w:val="000F2FDD"/>
    <w:rsid w:val="000F3AD0"/>
    <w:rsid w:val="000F4B51"/>
    <w:rsid w:val="00101C14"/>
    <w:rsid w:val="00115111"/>
    <w:rsid w:val="00122F08"/>
    <w:rsid w:val="00134378"/>
    <w:rsid w:val="00143DAA"/>
    <w:rsid w:val="00173ED8"/>
    <w:rsid w:val="001842A9"/>
    <w:rsid w:val="00195ECE"/>
    <w:rsid w:val="001A0464"/>
    <w:rsid w:val="001A206F"/>
    <w:rsid w:val="001A293E"/>
    <w:rsid w:val="001B4E92"/>
    <w:rsid w:val="001C2373"/>
    <w:rsid w:val="001E2B18"/>
    <w:rsid w:val="001F0ED9"/>
    <w:rsid w:val="001F26FB"/>
    <w:rsid w:val="00200188"/>
    <w:rsid w:val="0023618C"/>
    <w:rsid w:val="0025086E"/>
    <w:rsid w:val="00253EE1"/>
    <w:rsid w:val="002552D2"/>
    <w:rsid w:val="002703D0"/>
    <w:rsid w:val="002A0A34"/>
    <w:rsid w:val="002A65C6"/>
    <w:rsid w:val="002C275B"/>
    <w:rsid w:val="002C4A25"/>
    <w:rsid w:val="002D6F27"/>
    <w:rsid w:val="002E12BD"/>
    <w:rsid w:val="002E4FAD"/>
    <w:rsid w:val="002F4023"/>
    <w:rsid w:val="002F5033"/>
    <w:rsid w:val="002F6058"/>
    <w:rsid w:val="00306E0B"/>
    <w:rsid w:val="00316C3A"/>
    <w:rsid w:val="00340D25"/>
    <w:rsid w:val="0035676B"/>
    <w:rsid w:val="00365C88"/>
    <w:rsid w:val="00373A6F"/>
    <w:rsid w:val="00393B17"/>
    <w:rsid w:val="00397109"/>
    <w:rsid w:val="003979D4"/>
    <w:rsid w:val="003A3A8A"/>
    <w:rsid w:val="003B59D0"/>
    <w:rsid w:val="003C02DC"/>
    <w:rsid w:val="003D1EA5"/>
    <w:rsid w:val="003D44D7"/>
    <w:rsid w:val="003E3F63"/>
    <w:rsid w:val="003E4DA3"/>
    <w:rsid w:val="003F3051"/>
    <w:rsid w:val="003F44F6"/>
    <w:rsid w:val="00411CDC"/>
    <w:rsid w:val="00417D48"/>
    <w:rsid w:val="0043753B"/>
    <w:rsid w:val="00441492"/>
    <w:rsid w:val="00444125"/>
    <w:rsid w:val="00447256"/>
    <w:rsid w:val="00451BE0"/>
    <w:rsid w:val="00454DEE"/>
    <w:rsid w:val="00455964"/>
    <w:rsid w:val="004615B2"/>
    <w:rsid w:val="00473EAD"/>
    <w:rsid w:val="00473FBB"/>
    <w:rsid w:val="004768BC"/>
    <w:rsid w:val="00484EEF"/>
    <w:rsid w:val="004A4D6B"/>
    <w:rsid w:val="004B5317"/>
    <w:rsid w:val="004B649E"/>
    <w:rsid w:val="004B6861"/>
    <w:rsid w:val="004B7172"/>
    <w:rsid w:val="004C71BD"/>
    <w:rsid w:val="004E22FE"/>
    <w:rsid w:val="004E3A50"/>
    <w:rsid w:val="00510B12"/>
    <w:rsid w:val="0051792E"/>
    <w:rsid w:val="00522F28"/>
    <w:rsid w:val="005238A4"/>
    <w:rsid w:val="00526E05"/>
    <w:rsid w:val="00530F53"/>
    <w:rsid w:val="00532DC4"/>
    <w:rsid w:val="00534522"/>
    <w:rsid w:val="005360E6"/>
    <w:rsid w:val="005365EF"/>
    <w:rsid w:val="0054101C"/>
    <w:rsid w:val="005469E7"/>
    <w:rsid w:val="00547F16"/>
    <w:rsid w:val="00552C65"/>
    <w:rsid w:val="005542D7"/>
    <w:rsid w:val="00557607"/>
    <w:rsid w:val="00570AF8"/>
    <w:rsid w:val="00580A9F"/>
    <w:rsid w:val="00581154"/>
    <w:rsid w:val="0058726B"/>
    <w:rsid w:val="005910CE"/>
    <w:rsid w:val="005A0FE4"/>
    <w:rsid w:val="005B1952"/>
    <w:rsid w:val="005B48A6"/>
    <w:rsid w:val="005C3BA2"/>
    <w:rsid w:val="005C3F4E"/>
    <w:rsid w:val="005E154C"/>
    <w:rsid w:val="005F27FF"/>
    <w:rsid w:val="00602AD2"/>
    <w:rsid w:val="00612A89"/>
    <w:rsid w:val="0062015F"/>
    <w:rsid w:val="00621269"/>
    <w:rsid w:val="00630208"/>
    <w:rsid w:val="00631D8A"/>
    <w:rsid w:val="006346E5"/>
    <w:rsid w:val="00636279"/>
    <w:rsid w:val="0064768D"/>
    <w:rsid w:val="00650ECA"/>
    <w:rsid w:val="0065124C"/>
    <w:rsid w:val="00652FAB"/>
    <w:rsid w:val="00661A69"/>
    <w:rsid w:val="00665564"/>
    <w:rsid w:val="00671EC2"/>
    <w:rsid w:val="0067603F"/>
    <w:rsid w:val="00677F32"/>
    <w:rsid w:val="00683BEE"/>
    <w:rsid w:val="006A5EF9"/>
    <w:rsid w:val="006C0F7D"/>
    <w:rsid w:val="006C7469"/>
    <w:rsid w:val="006D6026"/>
    <w:rsid w:val="006E0484"/>
    <w:rsid w:val="006E28E6"/>
    <w:rsid w:val="006E4E3E"/>
    <w:rsid w:val="006F79B1"/>
    <w:rsid w:val="00702356"/>
    <w:rsid w:val="00703FC1"/>
    <w:rsid w:val="00711D6F"/>
    <w:rsid w:val="00717397"/>
    <w:rsid w:val="0072689B"/>
    <w:rsid w:val="007651FD"/>
    <w:rsid w:val="00772752"/>
    <w:rsid w:val="00783569"/>
    <w:rsid w:val="007977C4"/>
    <w:rsid w:val="007A07E5"/>
    <w:rsid w:val="007B1E78"/>
    <w:rsid w:val="007C2C26"/>
    <w:rsid w:val="007D3DB9"/>
    <w:rsid w:val="007E33EB"/>
    <w:rsid w:val="0081078B"/>
    <w:rsid w:val="008108B3"/>
    <w:rsid w:val="008122B9"/>
    <w:rsid w:val="00815AB9"/>
    <w:rsid w:val="0082531D"/>
    <w:rsid w:val="00825A63"/>
    <w:rsid w:val="00831AEB"/>
    <w:rsid w:val="0083380C"/>
    <w:rsid w:val="00836BF7"/>
    <w:rsid w:val="00840C48"/>
    <w:rsid w:val="00855118"/>
    <w:rsid w:val="00862C6A"/>
    <w:rsid w:val="00865C9E"/>
    <w:rsid w:val="008754AB"/>
    <w:rsid w:val="00882D3E"/>
    <w:rsid w:val="00883519"/>
    <w:rsid w:val="00892EED"/>
    <w:rsid w:val="00893A8A"/>
    <w:rsid w:val="0089630E"/>
    <w:rsid w:val="008C722F"/>
    <w:rsid w:val="008E1281"/>
    <w:rsid w:val="008E5CFF"/>
    <w:rsid w:val="008F3588"/>
    <w:rsid w:val="008F4D5C"/>
    <w:rsid w:val="008F71C8"/>
    <w:rsid w:val="008F7F6D"/>
    <w:rsid w:val="00902776"/>
    <w:rsid w:val="0092419D"/>
    <w:rsid w:val="009248C1"/>
    <w:rsid w:val="009311A6"/>
    <w:rsid w:val="0093157C"/>
    <w:rsid w:val="0093467C"/>
    <w:rsid w:val="0095306C"/>
    <w:rsid w:val="009609B6"/>
    <w:rsid w:val="0096336D"/>
    <w:rsid w:val="009727CB"/>
    <w:rsid w:val="00972E76"/>
    <w:rsid w:val="0097566B"/>
    <w:rsid w:val="009775BC"/>
    <w:rsid w:val="00985F52"/>
    <w:rsid w:val="00994899"/>
    <w:rsid w:val="009A0DA7"/>
    <w:rsid w:val="009A102D"/>
    <w:rsid w:val="009A49F0"/>
    <w:rsid w:val="009B3D8B"/>
    <w:rsid w:val="009C2827"/>
    <w:rsid w:val="009D71EA"/>
    <w:rsid w:val="009E0D5B"/>
    <w:rsid w:val="009E3E72"/>
    <w:rsid w:val="009E4FDB"/>
    <w:rsid w:val="009E5832"/>
    <w:rsid w:val="009F47E1"/>
    <w:rsid w:val="00A009C7"/>
    <w:rsid w:val="00A12F62"/>
    <w:rsid w:val="00A12FE2"/>
    <w:rsid w:val="00A153D9"/>
    <w:rsid w:val="00A24FAE"/>
    <w:rsid w:val="00A31623"/>
    <w:rsid w:val="00A346AA"/>
    <w:rsid w:val="00A36AD7"/>
    <w:rsid w:val="00A53760"/>
    <w:rsid w:val="00A72CC1"/>
    <w:rsid w:val="00A82E57"/>
    <w:rsid w:val="00A8520A"/>
    <w:rsid w:val="00A87782"/>
    <w:rsid w:val="00A90ADE"/>
    <w:rsid w:val="00A93771"/>
    <w:rsid w:val="00A95382"/>
    <w:rsid w:val="00A96FE0"/>
    <w:rsid w:val="00AA47A3"/>
    <w:rsid w:val="00AA4CBD"/>
    <w:rsid w:val="00AC2188"/>
    <w:rsid w:val="00AC3ACC"/>
    <w:rsid w:val="00AD0934"/>
    <w:rsid w:val="00AD458D"/>
    <w:rsid w:val="00AE4B09"/>
    <w:rsid w:val="00AE72CD"/>
    <w:rsid w:val="00B073F1"/>
    <w:rsid w:val="00B464B2"/>
    <w:rsid w:val="00B518EB"/>
    <w:rsid w:val="00B60C60"/>
    <w:rsid w:val="00B64653"/>
    <w:rsid w:val="00B84C8D"/>
    <w:rsid w:val="00B961B6"/>
    <w:rsid w:val="00BB20C8"/>
    <w:rsid w:val="00BB3A68"/>
    <w:rsid w:val="00BB7913"/>
    <w:rsid w:val="00BC207B"/>
    <w:rsid w:val="00BC2453"/>
    <w:rsid w:val="00BC2928"/>
    <w:rsid w:val="00BE264C"/>
    <w:rsid w:val="00BF0437"/>
    <w:rsid w:val="00BF55A9"/>
    <w:rsid w:val="00C0074E"/>
    <w:rsid w:val="00C04FAC"/>
    <w:rsid w:val="00C0644D"/>
    <w:rsid w:val="00C12C8D"/>
    <w:rsid w:val="00C14F49"/>
    <w:rsid w:val="00C211D2"/>
    <w:rsid w:val="00C24626"/>
    <w:rsid w:val="00C31CB8"/>
    <w:rsid w:val="00C3247B"/>
    <w:rsid w:val="00C35EAC"/>
    <w:rsid w:val="00C36EAF"/>
    <w:rsid w:val="00C41C5D"/>
    <w:rsid w:val="00C44F06"/>
    <w:rsid w:val="00C50A4D"/>
    <w:rsid w:val="00C55C08"/>
    <w:rsid w:val="00C574E3"/>
    <w:rsid w:val="00C57FF6"/>
    <w:rsid w:val="00C6403A"/>
    <w:rsid w:val="00C64A24"/>
    <w:rsid w:val="00C657B6"/>
    <w:rsid w:val="00C66AB9"/>
    <w:rsid w:val="00C711F9"/>
    <w:rsid w:val="00C829B3"/>
    <w:rsid w:val="00C85B82"/>
    <w:rsid w:val="00C85C7A"/>
    <w:rsid w:val="00C90070"/>
    <w:rsid w:val="00C912EA"/>
    <w:rsid w:val="00CA2381"/>
    <w:rsid w:val="00CA6CF4"/>
    <w:rsid w:val="00CC391F"/>
    <w:rsid w:val="00CC3C65"/>
    <w:rsid w:val="00CD3730"/>
    <w:rsid w:val="00CE31F7"/>
    <w:rsid w:val="00CF6FB6"/>
    <w:rsid w:val="00D0137A"/>
    <w:rsid w:val="00D153C0"/>
    <w:rsid w:val="00D33F49"/>
    <w:rsid w:val="00D37AE9"/>
    <w:rsid w:val="00D44C02"/>
    <w:rsid w:val="00D569AE"/>
    <w:rsid w:val="00D65DFF"/>
    <w:rsid w:val="00D730CC"/>
    <w:rsid w:val="00D87E19"/>
    <w:rsid w:val="00D93478"/>
    <w:rsid w:val="00DA3846"/>
    <w:rsid w:val="00DA4ECC"/>
    <w:rsid w:val="00DA5DB2"/>
    <w:rsid w:val="00DA74B8"/>
    <w:rsid w:val="00DB27FD"/>
    <w:rsid w:val="00DB75E7"/>
    <w:rsid w:val="00DC21B3"/>
    <w:rsid w:val="00DC3E36"/>
    <w:rsid w:val="00DC7D54"/>
    <w:rsid w:val="00DE04BA"/>
    <w:rsid w:val="00DF0569"/>
    <w:rsid w:val="00E10A42"/>
    <w:rsid w:val="00E37C39"/>
    <w:rsid w:val="00E57F5A"/>
    <w:rsid w:val="00E71556"/>
    <w:rsid w:val="00E7439C"/>
    <w:rsid w:val="00E7543C"/>
    <w:rsid w:val="00EA134D"/>
    <w:rsid w:val="00EB0F93"/>
    <w:rsid w:val="00EB4501"/>
    <w:rsid w:val="00EB4515"/>
    <w:rsid w:val="00EB4A35"/>
    <w:rsid w:val="00EB5376"/>
    <w:rsid w:val="00EC58C9"/>
    <w:rsid w:val="00ED275A"/>
    <w:rsid w:val="00ED3A98"/>
    <w:rsid w:val="00ED638D"/>
    <w:rsid w:val="00ED6554"/>
    <w:rsid w:val="00EE0BC0"/>
    <w:rsid w:val="00F07149"/>
    <w:rsid w:val="00F14CE0"/>
    <w:rsid w:val="00F35E14"/>
    <w:rsid w:val="00F4063A"/>
    <w:rsid w:val="00F40F17"/>
    <w:rsid w:val="00F42270"/>
    <w:rsid w:val="00F75EC1"/>
    <w:rsid w:val="00FA1065"/>
    <w:rsid w:val="00FB2817"/>
    <w:rsid w:val="00FC0523"/>
    <w:rsid w:val="00FC2195"/>
    <w:rsid w:val="00FC2903"/>
    <w:rsid w:val="00FD2FEF"/>
    <w:rsid w:val="00FD4D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E5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D08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451BE0"/>
    <w:pPr>
      <w:tabs>
        <w:tab w:val="center" w:pos="4252"/>
        <w:tab w:val="right" w:pos="8504"/>
      </w:tabs>
      <w:snapToGrid w:val="0"/>
    </w:pPr>
  </w:style>
  <w:style w:type="character" w:customStyle="1" w:styleId="a5">
    <w:name w:val="ヘッダー (文字)"/>
    <w:basedOn w:val="a0"/>
    <w:link w:val="a4"/>
    <w:uiPriority w:val="99"/>
    <w:rsid w:val="00451BE0"/>
  </w:style>
  <w:style w:type="paragraph" w:styleId="a6">
    <w:name w:val="footer"/>
    <w:basedOn w:val="a"/>
    <w:link w:val="a7"/>
    <w:uiPriority w:val="99"/>
    <w:unhideWhenUsed/>
    <w:rsid w:val="00451BE0"/>
    <w:pPr>
      <w:tabs>
        <w:tab w:val="center" w:pos="4252"/>
        <w:tab w:val="right" w:pos="8504"/>
      </w:tabs>
      <w:snapToGrid w:val="0"/>
    </w:pPr>
  </w:style>
  <w:style w:type="character" w:customStyle="1" w:styleId="a7">
    <w:name w:val="フッター (文字)"/>
    <w:basedOn w:val="a0"/>
    <w:link w:val="a6"/>
    <w:uiPriority w:val="99"/>
    <w:rsid w:val="00451B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E5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D08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451BE0"/>
    <w:pPr>
      <w:tabs>
        <w:tab w:val="center" w:pos="4252"/>
        <w:tab w:val="right" w:pos="8504"/>
      </w:tabs>
      <w:snapToGrid w:val="0"/>
    </w:pPr>
  </w:style>
  <w:style w:type="character" w:customStyle="1" w:styleId="a5">
    <w:name w:val="ヘッダー (文字)"/>
    <w:basedOn w:val="a0"/>
    <w:link w:val="a4"/>
    <w:uiPriority w:val="99"/>
    <w:rsid w:val="00451BE0"/>
  </w:style>
  <w:style w:type="paragraph" w:styleId="a6">
    <w:name w:val="footer"/>
    <w:basedOn w:val="a"/>
    <w:link w:val="a7"/>
    <w:uiPriority w:val="99"/>
    <w:unhideWhenUsed/>
    <w:rsid w:val="00451BE0"/>
    <w:pPr>
      <w:tabs>
        <w:tab w:val="center" w:pos="4252"/>
        <w:tab w:val="right" w:pos="8504"/>
      </w:tabs>
      <w:snapToGrid w:val="0"/>
    </w:pPr>
  </w:style>
  <w:style w:type="character" w:customStyle="1" w:styleId="a7">
    <w:name w:val="フッター (文字)"/>
    <w:basedOn w:val="a0"/>
    <w:link w:val="a6"/>
    <w:uiPriority w:val="99"/>
    <w:rsid w:val="00451B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757177">
      <w:bodyDiv w:val="1"/>
      <w:marLeft w:val="0"/>
      <w:marRight w:val="0"/>
      <w:marTop w:val="0"/>
      <w:marBottom w:val="0"/>
      <w:divBdr>
        <w:top w:val="none" w:sz="0" w:space="0" w:color="auto"/>
        <w:left w:val="none" w:sz="0" w:space="0" w:color="auto"/>
        <w:bottom w:val="none" w:sz="0" w:space="0" w:color="auto"/>
        <w:right w:val="none" w:sz="0" w:space="0" w:color="auto"/>
      </w:divBdr>
    </w:div>
    <w:div w:id="804273187">
      <w:bodyDiv w:val="1"/>
      <w:marLeft w:val="0"/>
      <w:marRight w:val="0"/>
      <w:marTop w:val="0"/>
      <w:marBottom w:val="0"/>
      <w:divBdr>
        <w:top w:val="none" w:sz="0" w:space="0" w:color="auto"/>
        <w:left w:val="none" w:sz="0" w:space="0" w:color="auto"/>
        <w:bottom w:val="none" w:sz="0" w:space="0" w:color="auto"/>
        <w:right w:val="none" w:sz="0" w:space="0" w:color="auto"/>
      </w:divBdr>
    </w:div>
    <w:div w:id="908074883">
      <w:bodyDiv w:val="1"/>
      <w:marLeft w:val="0"/>
      <w:marRight w:val="0"/>
      <w:marTop w:val="0"/>
      <w:marBottom w:val="0"/>
      <w:divBdr>
        <w:top w:val="none" w:sz="0" w:space="0" w:color="auto"/>
        <w:left w:val="none" w:sz="0" w:space="0" w:color="auto"/>
        <w:bottom w:val="none" w:sz="0" w:space="0" w:color="auto"/>
        <w:right w:val="none" w:sz="0" w:space="0" w:color="auto"/>
      </w:divBdr>
    </w:div>
    <w:div w:id="1130171299">
      <w:bodyDiv w:val="1"/>
      <w:marLeft w:val="0"/>
      <w:marRight w:val="0"/>
      <w:marTop w:val="0"/>
      <w:marBottom w:val="0"/>
      <w:divBdr>
        <w:top w:val="none" w:sz="0" w:space="0" w:color="auto"/>
        <w:left w:val="none" w:sz="0" w:space="0" w:color="auto"/>
        <w:bottom w:val="none" w:sz="0" w:space="0" w:color="auto"/>
        <w:right w:val="none" w:sz="0" w:space="0" w:color="auto"/>
      </w:divBdr>
    </w:div>
    <w:div w:id="1380662324">
      <w:bodyDiv w:val="1"/>
      <w:marLeft w:val="0"/>
      <w:marRight w:val="0"/>
      <w:marTop w:val="0"/>
      <w:marBottom w:val="0"/>
      <w:divBdr>
        <w:top w:val="none" w:sz="0" w:space="0" w:color="auto"/>
        <w:left w:val="none" w:sz="0" w:space="0" w:color="auto"/>
        <w:bottom w:val="none" w:sz="0" w:space="0" w:color="auto"/>
        <w:right w:val="none" w:sz="0" w:space="0" w:color="auto"/>
      </w:divBdr>
    </w:div>
    <w:div w:id="1607733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485</Words>
  <Characters>2767</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トヨタ自動車</Company>
  <LinksUpToDate>false</LinksUpToDate>
  <CharactersWithSpaces>3246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トヨタ自動車</dc:creator>
  <cp:lastModifiedBy>mobile</cp:lastModifiedBy>
  <cp:revision>3</cp:revision>
  <cp:lastPrinted>2016-10-06T02:20:00Z</cp:lastPrinted>
  <dcterms:created xsi:type="dcterms:W3CDTF">2016-11-09T08:55:00Z</dcterms:created>
  <dcterms:modified xsi:type="dcterms:W3CDTF">2016-11-09T10:13:00Z</dcterms:modified>
</cp:coreProperties>
</file>