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4" w:rsidRDefault="00084BA4" w:rsidP="00084BA4"/>
    <w:p w:rsidR="00084BA4" w:rsidRDefault="00084BA4" w:rsidP="00084BA4"/>
    <w:p w:rsidR="00084BA4" w:rsidRPr="001A1A8C" w:rsidRDefault="00084BA4" w:rsidP="00084BA4">
      <w:pPr>
        <w:tabs>
          <w:tab w:val="right" w:leader="dot" w:pos="8505"/>
        </w:tabs>
        <w:spacing w:before="120" w:after="1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                                                                                                            2017</w:t>
      </w:r>
      <w:r w:rsidRPr="001A1A8C">
        <w:rPr>
          <w:sz w:val="24"/>
          <w:szCs w:val="24"/>
          <w:lang w:eastAsia="ja-JP"/>
        </w:rPr>
        <w:t xml:space="preserve">, January </w:t>
      </w:r>
      <w:r>
        <w:rPr>
          <w:sz w:val="24"/>
          <w:szCs w:val="24"/>
          <w:lang w:eastAsia="ja-JP"/>
        </w:rPr>
        <w:t>26</w:t>
      </w:r>
      <w:r>
        <w:rPr>
          <w:sz w:val="24"/>
          <w:szCs w:val="24"/>
          <w:vertAlign w:val="superscript"/>
          <w:lang w:eastAsia="ja-JP"/>
        </w:rPr>
        <w:t>th</w:t>
      </w:r>
      <w:r>
        <w:rPr>
          <w:sz w:val="24"/>
          <w:szCs w:val="24"/>
          <w:lang w:eastAsia="ja-JP"/>
        </w:rPr>
        <w:t xml:space="preserve"> </w:t>
      </w:r>
    </w:p>
    <w:p w:rsidR="00084BA4" w:rsidRPr="001A1A8C" w:rsidRDefault="00084BA4" w:rsidP="00084BA4">
      <w:pPr>
        <w:tabs>
          <w:tab w:val="right" w:leader="dot" w:pos="8505"/>
        </w:tabs>
        <w:spacing w:before="120" w:after="120"/>
        <w:rPr>
          <w:b/>
          <w:sz w:val="24"/>
          <w:szCs w:val="24"/>
          <w:lang w:eastAsia="ja-JP"/>
        </w:rPr>
      </w:pPr>
    </w:p>
    <w:p w:rsidR="00084BA4" w:rsidRPr="001A1A8C" w:rsidRDefault="00084BA4" w:rsidP="00084BA4">
      <w:pPr>
        <w:tabs>
          <w:tab w:val="right" w:leader="dot" w:pos="8505"/>
        </w:tabs>
        <w:spacing w:before="120" w:after="120"/>
        <w:rPr>
          <w:rFonts w:asciiTheme="minorHAnsi" w:hAnsiTheme="minorHAnsi" w:cstheme="minorHAnsi"/>
          <w:sz w:val="24"/>
          <w:szCs w:val="24"/>
          <w:lang w:eastAsia="ja-JP"/>
        </w:rPr>
      </w:pPr>
      <w:r w:rsidRPr="001A1A8C">
        <w:rPr>
          <w:rFonts w:asciiTheme="minorHAnsi" w:hAnsiTheme="minorHAnsi" w:cstheme="minorHAnsi"/>
          <w:b/>
          <w:sz w:val="24"/>
          <w:szCs w:val="24"/>
          <w:lang w:eastAsia="ja-JP"/>
        </w:rPr>
        <w:t xml:space="preserve">Submitted by the </w:t>
      </w:r>
      <w:r>
        <w:rPr>
          <w:rFonts w:asciiTheme="minorHAnsi" w:hAnsiTheme="minorHAnsi" w:cstheme="minorHAnsi"/>
          <w:b/>
          <w:sz w:val="24"/>
          <w:szCs w:val="24"/>
          <w:lang w:eastAsia="ja-JP"/>
        </w:rPr>
        <w:t xml:space="preserve">UTAC </w:t>
      </w:r>
      <w:r w:rsidRPr="001A1A8C">
        <w:rPr>
          <w:rFonts w:asciiTheme="minorHAnsi" w:hAnsiTheme="minorHAnsi" w:cstheme="minorHAnsi"/>
          <w:b/>
          <w:sz w:val="24"/>
          <w:szCs w:val="24"/>
          <w:lang w:eastAsia="ja-JP"/>
        </w:rPr>
        <w:t xml:space="preserve">expert from France </w:t>
      </w:r>
    </w:p>
    <w:p w:rsidR="00084BA4" w:rsidRPr="001A1A8C" w:rsidRDefault="00084BA4" w:rsidP="00084BA4">
      <w:pPr>
        <w:tabs>
          <w:tab w:val="right" w:leader="dot" w:pos="8505"/>
        </w:tabs>
        <w:spacing w:before="120" w:after="120"/>
        <w:rPr>
          <w:rFonts w:asciiTheme="minorHAnsi" w:hAnsiTheme="minorHAnsi" w:cstheme="minorHAnsi"/>
          <w:sz w:val="24"/>
          <w:szCs w:val="24"/>
          <w:lang w:eastAsia="ja-JP"/>
        </w:rPr>
      </w:pPr>
    </w:p>
    <w:p w:rsidR="00084BA4" w:rsidRPr="00B230EE" w:rsidRDefault="00084BA4" w:rsidP="00084BA4">
      <w:pPr>
        <w:tabs>
          <w:tab w:val="right" w:leader="dot" w:pos="8505"/>
        </w:tabs>
        <w:spacing w:before="120" w:after="120"/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</w:pP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 xml:space="preserve">Comments on </w:t>
      </w:r>
      <w:r w:rsidR="001F6F89"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document:</w:t>
      </w: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 xml:space="preserve"> </w:t>
      </w:r>
      <w:r w:rsid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“</w:t>
      </w: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TF-EMC-04-02-(OICA)-R10.05_Consolidated_and_amendments</w:t>
      </w:r>
      <w:r w:rsid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”</w:t>
      </w:r>
    </w:p>
    <w:p w:rsidR="00084BA4" w:rsidRDefault="00084BA4" w:rsidP="00084BA4">
      <w:pPr>
        <w:tabs>
          <w:tab w:val="right" w:leader="dot" w:pos="8505"/>
        </w:tabs>
        <w:spacing w:before="120" w:after="120"/>
        <w:rPr>
          <w:rFonts w:asciiTheme="minorHAnsi" w:hAnsiTheme="minorHAnsi" w:cstheme="minorHAnsi"/>
          <w:b/>
          <w:sz w:val="24"/>
          <w:szCs w:val="24"/>
          <w:lang w:eastAsia="ja-JP"/>
        </w:rPr>
      </w:pPr>
    </w:p>
    <w:p w:rsidR="00606F21" w:rsidRPr="001A1A8C" w:rsidRDefault="00606F21" w:rsidP="00084BA4">
      <w:pPr>
        <w:tabs>
          <w:tab w:val="right" w:leader="dot" w:pos="8505"/>
        </w:tabs>
        <w:spacing w:before="120" w:after="120"/>
        <w:rPr>
          <w:rFonts w:asciiTheme="minorHAnsi" w:hAnsiTheme="minorHAnsi" w:cstheme="minorHAnsi"/>
          <w:b/>
          <w:sz w:val="24"/>
          <w:szCs w:val="24"/>
          <w:lang w:eastAsia="ja-JP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218"/>
        <w:gridCol w:w="7513"/>
      </w:tblGrid>
      <w:tr w:rsidR="00C63478" w:rsidRPr="00C63478" w:rsidTr="00BC04A8">
        <w:trPr>
          <w:trHeight w:val="450"/>
        </w:trPr>
        <w:tc>
          <w:tcPr>
            <w:tcW w:w="1065" w:type="dxa"/>
            <w:shd w:val="clear" w:color="auto" w:fill="auto"/>
            <w:vAlign w:val="center"/>
          </w:tcPr>
          <w:p w:rsidR="00C63478" w:rsidRPr="00BC04A8" w:rsidRDefault="00C63478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Reference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3478" w:rsidRPr="00BC04A8" w:rsidRDefault="00C63478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C63478" w:rsidRPr="00BC04A8" w:rsidRDefault="00C63478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Comments</w:t>
            </w:r>
            <w:proofErr w:type="spellEnd"/>
          </w:p>
        </w:tc>
      </w:tr>
      <w:tr w:rsidR="00C63478" w:rsidRPr="00C63478" w:rsidTr="00BC04A8">
        <w:trPr>
          <w:trHeight w:val="450"/>
        </w:trPr>
        <w:tc>
          <w:tcPr>
            <w:tcW w:w="1065" w:type="dxa"/>
            <w:shd w:val="clear" w:color="auto" w:fill="auto"/>
            <w:vAlign w:val="center"/>
            <w:hideMark/>
          </w:tcPr>
          <w:p w:rsidR="00C63478" w:rsidRPr="00BC04A8" w:rsidRDefault="00C63478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3478" w:rsidRPr="00BC04A8" w:rsidRDefault="00C63478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Scope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63478" w:rsidRPr="00BC04A8" w:rsidRDefault="00C63478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Scope of R10 (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1)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should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updated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category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</w:t>
            </w:r>
            <w:r w:rsidR="00DE483D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. </w:t>
            </w:r>
          </w:p>
          <w:p w:rsidR="00DE483D" w:rsidRPr="00BC04A8" w:rsidRDefault="00B81099" w:rsidP="00B81099">
            <w:pPr>
              <w:pStyle w:val="Default"/>
              <w:rPr>
                <w:rFonts w:ascii="Calibri" w:hAnsi="Calibri"/>
                <w:sz w:val="22"/>
                <w:szCs w:val="22"/>
                <w:lang w:eastAsia="fr-FR"/>
              </w:rPr>
            </w:pPr>
            <w:proofErr w:type="spellStart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>Whereas</w:t>
            </w:r>
            <w:proofErr w:type="spellEnd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 xml:space="preserve"> the Commission </w:t>
            </w:r>
            <w:proofErr w:type="spellStart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>delegated</w:t>
            </w:r>
            <w:proofErr w:type="spellEnd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>regulation</w:t>
            </w:r>
            <w:proofErr w:type="spellEnd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 xml:space="preserve"> (EU)</w:t>
            </w:r>
            <w:r w:rsidR="00DE483D" w:rsidRPr="00BC04A8">
              <w:rPr>
                <w:rFonts w:ascii="Calibri" w:hAnsi="Calibri"/>
                <w:sz w:val="22"/>
                <w:szCs w:val="22"/>
                <w:lang w:eastAsia="fr-FR"/>
              </w:rPr>
              <w:t xml:space="preserve"> 2015/208 </w:t>
            </w:r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>« </w:t>
            </w:r>
            <w:proofErr w:type="spellStart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>supplementing</w:t>
            </w:r>
            <w:proofErr w:type="spellEnd"/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 xml:space="preserve"> Regulation (EU) No 167/2013 of the European Parliament and of the Council with regard to vehicle functional safety requirements for the approval of agricultural and forestry vehicles </w:t>
            </w:r>
            <w:r w:rsidRPr="00BC04A8">
              <w:rPr>
                <w:rFonts w:ascii="Calibri" w:hAnsi="Calibri"/>
                <w:sz w:val="22"/>
                <w:szCs w:val="22"/>
                <w:lang w:eastAsia="fr-FR"/>
              </w:rPr>
              <w:t xml:space="preserve">“ </w:t>
            </w:r>
            <w:proofErr w:type="spellStart"/>
            <w:r w:rsidR="00DE483D" w:rsidRPr="00BC04A8">
              <w:rPr>
                <w:rFonts w:ascii="Calibri" w:hAnsi="Calibri"/>
                <w:b/>
                <w:sz w:val="22"/>
                <w:szCs w:val="22"/>
                <w:lang w:eastAsia="fr-FR"/>
              </w:rPr>
              <w:t>Annex</w:t>
            </w:r>
            <w:proofErr w:type="spellEnd"/>
            <w:r w:rsidR="00DE483D" w:rsidRPr="00BC04A8">
              <w:rPr>
                <w:rFonts w:ascii="Calibri" w:hAnsi="Calibri"/>
                <w:b/>
                <w:sz w:val="22"/>
                <w:szCs w:val="22"/>
                <w:lang w:eastAsia="fr-FR"/>
              </w:rPr>
              <w:t xml:space="preserve"> 15 part 9 </w:t>
            </w:r>
            <w:proofErr w:type="spellStart"/>
            <w:r w:rsidR="00DE483D" w:rsidRPr="00BC04A8">
              <w:rPr>
                <w:rFonts w:ascii="Calibri" w:hAnsi="Calibri"/>
                <w:b/>
                <w:sz w:val="22"/>
                <w:szCs w:val="22"/>
                <w:lang w:eastAsia="fr-FR"/>
              </w:rPr>
              <w:t>refer</w:t>
            </w:r>
            <w:proofErr w:type="spellEnd"/>
            <w:r w:rsidR="00DE483D" w:rsidRPr="00BC04A8">
              <w:rPr>
                <w:rFonts w:ascii="Calibri" w:hAnsi="Calibri"/>
                <w:b/>
                <w:sz w:val="22"/>
                <w:szCs w:val="22"/>
                <w:lang w:eastAsia="fr-FR"/>
              </w:rPr>
              <w:t xml:space="preserve"> to R10</w:t>
            </w:r>
          </w:p>
        </w:tc>
      </w:tr>
      <w:tr w:rsidR="00606F21" w:rsidRPr="00C63478" w:rsidTr="00BC04A8">
        <w:trPr>
          <w:trHeight w:val="1043"/>
        </w:trPr>
        <w:tc>
          <w:tcPr>
            <w:tcW w:w="1065" w:type="dxa"/>
            <w:shd w:val="clear" w:color="auto" w:fill="auto"/>
            <w:vAlign w:val="center"/>
          </w:tcPr>
          <w:p w:rsidR="00606F21" w:rsidRPr="00BC04A8" w:rsidRDefault="00606F21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06F21" w:rsidRPr="00BC04A8" w:rsidRDefault="00606F21" w:rsidP="00606F21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3.1.9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F21" w:rsidRPr="00BC04A8" w:rsidRDefault="0078745F" w:rsidP="0078745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Why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have been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deleted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3.1.9.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while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modification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not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referred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excel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file TF-EMC-04-03</w:t>
            </w:r>
            <w:r w:rsidR="00DB4006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-(OICA</w:t>
            </w:r>
            <w:proofErr w:type="gramStart"/>
            <w:r w:rsidR="00DB4006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)_</w:t>
            </w:r>
            <w:proofErr w:type="gramEnd"/>
            <w:r w:rsidR="00DB4006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R10_Amendments</w:t>
            </w:r>
            <w:r w:rsidR="00DB4006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  <w:p w:rsidR="0078745F" w:rsidRPr="00BC04A8" w:rsidRDefault="0078745F" w:rsidP="0078745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propose to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kept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  <w:r w:rsidR="00DE483D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</w:tr>
      <w:tr w:rsidR="00606F21" w:rsidRPr="00C63478" w:rsidTr="00BC04A8">
        <w:trPr>
          <w:trHeight w:val="2203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3.2.9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This clause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sates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that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"Components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sold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as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aftermarket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equipment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and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intended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for the installation in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motor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vehicles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need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no type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approval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if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they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are not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related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immunity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related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functions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(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see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2.12.). In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case a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declaration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issued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by the manufacturer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that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ESA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fulfils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requirements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of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Regulation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and in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particular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limits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defined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6.5., 6.6., 6.7., 6.8. and 6.9. of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Regulation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."</w:t>
            </w:r>
          </w:p>
          <w:p w:rsidR="00606F21" w:rsidRPr="00BC04A8" w:rsidRDefault="002F76F7" w:rsidP="00B230EE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W</w:t>
            </w:r>
            <w:r w:rsidR="00606F21"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hen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clause 6.10.3 states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that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"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ESAs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no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immunity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related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functions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need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not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tested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for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immunity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radiated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disturbances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and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deemed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comply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6.8. and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9 to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this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Regulation</w:t>
            </w:r>
            <w:proofErr w:type="spellEnd"/>
            <w:r w:rsidR="00606F21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."</w:t>
            </w:r>
          </w:p>
          <w:p w:rsidR="00606F21" w:rsidRPr="00BC04A8" w:rsidRDefault="00606F21" w:rsidP="00B230EE">
            <w:pPr>
              <w:suppressAutoHyphens w:val="0"/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This </w:t>
            </w: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seems</w:t>
            </w:r>
            <w:proofErr w:type="spellEnd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inconsitent</w:t>
            </w:r>
            <w:proofErr w:type="spellEnd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</w:tr>
      <w:tr w:rsidR="00606F21" w:rsidRPr="00C63478" w:rsidTr="00BC04A8">
        <w:trPr>
          <w:trHeight w:val="720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6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br/>
              <w:t>Clause 3.3.5 and 5.1.3</w:t>
            </w:r>
          </w:p>
        </w:tc>
        <w:tc>
          <w:tcPr>
            <w:tcW w:w="7513" w:type="dxa"/>
            <w:shd w:val="clear" w:color="000000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180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should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replaced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by </w:t>
            </w:r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180°</w:t>
            </w:r>
          </w:p>
        </w:tc>
      </w:tr>
      <w:tr w:rsidR="00606F21" w:rsidRPr="00C63478" w:rsidTr="00BC04A8">
        <w:trPr>
          <w:trHeight w:val="720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6, figure 4c, 4d, 4g, 4h</w:t>
            </w:r>
          </w:p>
        </w:tc>
        <w:tc>
          <w:tcPr>
            <w:tcW w:w="7513" w:type="dxa"/>
            <w:shd w:val="clear" w:color="000000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Figure 4c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updated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because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plug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located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in front</w:t>
            </w:r>
          </w:p>
        </w:tc>
      </w:tr>
    </w:tbl>
    <w:p w:rsidR="00DB4006" w:rsidRDefault="00DB4006">
      <w:r>
        <w:br w:type="page"/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219"/>
        <w:gridCol w:w="7512"/>
      </w:tblGrid>
      <w:tr w:rsidR="00DB4006" w:rsidRPr="00BC04A8" w:rsidTr="00BC04A8">
        <w:trPr>
          <w:trHeight w:val="450"/>
        </w:trPr>
        <w:tc>
          <w:tcPr>
            <w:tcW w:w="1065" w:type="dxa"/>
            <w:shd w:val="clear" w:color="auto" w:fill="auto"/>
            <w:vAlign w:val="center"/>
          </w:tcPr>
          <w:p w:rsidR="00DB4006" w:rsidRPr="00BC04A8" w:rsidRDefault="00DB4006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lastRenderedPageBreak/>
              <w:t>Reference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B4006" w:rsidRPr="00BC04A8" w:rsidRDefault="00DB4006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:rsidR="00DB4006" w:rsidRPr="00BC04A8" w:rsidRDefault="00DB4006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Comments</w:t>
            </w:r>
            <w:proofErr w:type="spellEnd"/>
          </w:p>
        </w:tc>
      </w:tr>
      <w:tr w:rsidR="00BC04A8" w:rsidRPr="00BC04A8" w:rsidTr="00BC04A8">
        <w:trPr>
          <w:trHeight w:val="971"/>
        </w:trPr>
        <w:tc>
          <w:tcPr>
            <w:tcW w:w="1065" w:type="dxa"/>
            <w:shd w:val="clear" w:color="auto" w:fill="auto"/>
            <w:vAlign w:val="center"/>
          </w:tcPr>
          <w:p w:rsidR="00BC04A8" w:rsidRPr="00BC04A8" w:rsidRDefault="00BC04A8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 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C04A8" w:rsidRPr="00BC04A8" w:rsidRDefault="00BC04A8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9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9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appendix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4 figure :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only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one probe position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shown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br/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Paragraph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4.3.2 of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9 states :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"The test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performed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according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ISO 11452-4 on a test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bench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. As an alternative the ESA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may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tested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while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installed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in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vehicle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according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ISO 11451-4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following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characteristics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(a) The injection probe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positioned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150 mm distance to the ESA to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tested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;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(b)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reference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method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shall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used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to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calculate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injected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currents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forward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power;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(c)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frequency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range of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method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limited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by the injection probe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specification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." 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In ISO 11452-4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there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are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two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test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methodologies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: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a first one in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closed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loop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method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injection probe at 900 mm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connector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and a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measuring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probe at 50 mm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connector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and a second one in substitution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method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3 positions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(150 mm, 450 mm and 750 mm) 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of injection probe.</w:t>
            </w:r>
          </w:p>
          <w:p w:rsidR="00BC04A8" w:rsidRPr="00BC04A8" w:rsidRDefault="00BC04A8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  <w:p w:rsidR="00BC04A8" w:rsidRPr="00BC04A8" w:rsidRDefault="00BC04A8" w:rsidP="0021636F">
            <w:pPr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The figure  and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wording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in ECE R1O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9 are not consistent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ISO 11452-4 : 2005 for the ESA test on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bench</w:t>
            </w:r>
            <w:proofErr w:type="spellEnd"/>
          </w:p>
        </w:tc>
      </w:tr>
      <w:tr w:rsidR="00606F21" w:rsidRPr="00BC04A8" w:rsidTr="00BC04A8">
        <w:trPr>
          <w:trHeight w:val="971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Annexes 11, 12,15 and 16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F21" w:rsidRPr="00BC04A8" w:rsidRDefault="00606F21" w:rsidP="001F6F89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Annexes 11, 12, 15 and 16 :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there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are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some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views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and not top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views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which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are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seems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necessary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because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of the Z-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folded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cable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not visible on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views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  <w:p w:rsidR="00606F21" w:rsidRPr="00BC04A8" w:rsidRDefault="00606F21" w:rsidP="001F6F89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Furthermore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figures are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only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for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plugs; figures are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missing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for front/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rear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plugs</w:t>
            </w:r>
          </w:p>
        </w:tc>
      </w:tr>
      <w:tr w:rsidR="00606F21" w:rsidRPr="00BC04A8" w:rsidTr="00BC04A8">
        <w:trPr>
          <w:trHeight w:val="960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14,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appendix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1, figures 1c, 1d, 2c, 2d</w:t>
            </w:r>
          </w:p>
        </w:tc>
        <w:tc>
          <w:tcPr>
            <w:tcW w:w="7512" w:type="dxa"/>
            <w:shd w:val="clear" w:color="000000" w:fill="auto"/>
            <w:vAlign w:val="center"/>
            <w:hideMark/>
          </w:tcPr>
          <w:p w:rsidR="00606F21" w:rsidRPr="00BC04A8" w:rsidRDefault="00606F21" w:rsidP="0021636F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Proposal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in figure 2a and 2c to </w:t>
            </w:r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change the line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box 11 to </w:t>
            </w:r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a </w:t>
            </w:r>
            <w:proofErr w:type="spellStart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dash</w:t>
            </w:r>
            <w:proofErr w:type="spellEnd"/>
            <w:r w:rsidRPr="00BC04A8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-line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as in figures 2b and 2d</w:t>
            </w:r>
          </w:p>
        </w:tc>
      </w:tr>
      <w:tr w:rsidR="00606F21" w:rsidRPr="00BC04A8" w:rsidTr="00BC04A8">
        <w:trPr>
          <w:trHeight w:val="715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15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15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Appendix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 figure 1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should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modified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800 </w:t>
            </w:r>
            <w:r w:rsidR="00DB4006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m distance 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vehicle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instead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plug (for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left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part) and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"CDN"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instead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of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cable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(for the right part)</w:t>
            </w:r>
          </w:p>
        </w:tc>
      </w:tr>
      <w:tr w:rsidR="00606F21" w:rsidRPr="00BC04A8" w:rsidTr="00BC04A8">
        <w:trPr>
          <w:trHeight w:val="1035"/>
        </w:trPr>
        <w:tc>
          <w:tcPr>
            <w:tcW w:w="1065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UTAC</w:t>
            </w:r>
            <w:r w:rsidR="002F76F7" w:rsidRPr="00BC04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16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606F21" w:rsidRPr="00BC04A8" w:rsidRDefault="00606F21" w:rsidP="00C63478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Annex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16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Appendix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 figures 1 to 4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should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be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modified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800 </w:t>
            </w:r>
            <w:r w:rsidR="00DB4006"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</w:t>
            </w:r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m distance 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vehicle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instead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the plug (for the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left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part) and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from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"CDN"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side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instead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of </w:t>
            </w:r>
            <w:proofErr w:type="spellStart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cable</w:t>
            </w:r>
            <w:proofErr w:type="spellEnd"/>
            <w:r w:rsidRPr="00BC04A8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(for the right part)</w:t>
            </w:r>
          </w:p>
        </w:tc>
      </w:tr>
    </w:tbl>
    <w:p w:rsidR="00C63478" w:rsidRDefault="00C63478"/>
    <w:p w:rsidR="00DB4006" w:rsidRPr="00BC04A8" w:rsidRDefault="00DB4006">
      <w:pPr>
        <w:rPr>
          <w:color w:val="000000" w:themeColor="text1"/>
        </w:rPr>
      </w:pPr>
    </w:p>
    <w:p w:rsidR="002B410B" w:rsidRDefault="00BC04A8" w:rsidP="002B410B">
      <w:pPr>
        <w:tabs>
          <w:tab w:val="right" w:leader="dot" w:pos="8505"/>
        </w:tabs>
        <w:spacing w:before="120" w:after="120"/>
        <w:rPr>
          <w:rFonts w:asciiTheme="minorHAnsi" w:hAnsiTheme="minorHAnsi" w:cstheme="minorHAnsi"/>
          <w:b/>
          <w:sz w:val="24"/>
          <w:szCs w:val="24"/>
          <w:lang w:eastAsia="ja-JP"/>
        </w:rPr>
      </w:pP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 xml:space="preserve">Comments on </w:t>
      </w:r>
      <w:r w:rsidR="00A42E78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 xml:space="preserve">excel </w:t>
      </w:r>
      <w:proofErr w:type="gramStart"/>
      <w:r w:rsidR="00A42E78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 xml:space="preserve">file </w:t>
      </w: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:</w:t>
      </w:r>
      <w:proofErr w:type="gramEnd"/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“</w:t>
      </w: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TF-EMC-04-0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3-(OICA)_</w:t>
      </w:r>
      <w:r w:rsidRPr="00B230EE"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R10.05_amendments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ja-JP"/>
        </w:rPr>
        <w:t>”</w:t>
      </w:r>
    </w:p>
    <w:p w:rsidR="002B410B" w:rsidRDefault="002B410B"/>
    <w:p w:rsidR="00BC04A8" w:rsidRPr="00DB4006" w:rsidRDefault="00BC04A8" w:rsidP="00BC04A8">
      <w:pPr>
        <w:tabs>
          <w:tab w:val="right" w:leader="dot" w:pos="850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DB4006">
        <w:rPr>
          <w:rFonts w:asciiTheme="minorHAnsi" w:hAnsiTheme="minorHAnsi" w:cstheme="minorHAnsi"/>
          <w:sz w:val="22"/>
          <w:szCs w:val="22"/>
          <w:lang w:eastAsia="ja-JP"/>
        </w:rPr>
        <w:t xml:space="preserve">The UTAC expert </w:t>
      </w:r>
      <w:r w:rsidR="004F6110">
        <w:rPr>
          <w:rFonts w:asciiTheme="minorHAnsi" w:hAnsiTheme="minorHAnsi" w:cstheme="minorHAnsi"/>
          <w:sz w:val="22"/>
          <w:szCs w:val="22"/>
          <w:lang w:eastAsia="ja-JP"/>
        </w:rPr>
        <w:t>is</w:t>
      </w:r>
      <w:r w:rsidRPr="00DB4006">
        <w:rPr>
          <w:rFonts w:asciiTheme="minorHAnsi" w:hAnsiTheme="minorHAnsi" w:cstheme="minorHAnsi"/>
          <w:sz w:val="22"/>
          <w:szCs w:val="22"/>
          <w:lang w:eastAsia="ja-JP"/>
        </w:rPr>
        <w:t xml:space="preserve"> agreed with </w:t>
      </w:r>
      <w:r w:rsidR="004F6110">
        <w:rPr>
          <w:rFonts w:asciiTheme="minorHAnsi" w:hAnsiTheme="minorHAnsi" w:cstheme="minorHAnsi"/>
          <w:sz w:val="22"/>
          <w:szCs w:val="22"/>
          <w:lang w:eastAsia="ja-JP"/>
        </w:rPr>
        <w:t>most of OICA</w:t>
      </w:r>
      <w:r w:rsidRPr="00DB4006">
        <w:rPr>
          <w:rFonts w:asciiTheme="minorHAnsi" w:hAnsiTheme="minorHAnsi" w:cstheme="minorHAnsi"/>
          <w:sz w:val="22"/>
          <w:szCs w:val="22"/>
          <w:lang w:eastAsia="ja-JP"/>
        </w:rPr>
        <w:t xml:space="preserve"> propositions</w:t>
      </w:r>
      <w:bookmarkStart w:id="0" w:name="_GoBack"/>
      <w:bookmarkEnd w:id="0"/>
      <w:r w:rsidR="00A42E78">
        <w:rPr>
          <w:rFonts w:asciiTheme="minorHAnsi" w:hAnsiTheme="minorHAnsi" w:cstheme="minorHAnsi"/>
          <w:sz w:val="22"/>
          <w:szCs w:val="22"/>
          <w:lang w:eastAsia="ja-JP"/>
        </w:rPr>
        <w:t xml:space="preserve"> (</w:t>
      </w:r>
      <w:r w:rsidR="00A42E78" w:rsidRPr="00DB4006">
        <w:rPr>
          <w:rFonts w:asciiTheme="minorHAnsi" w:hAnsiTheme="minorHAnsi" w:cstheme="minorHAnsi"/>
          <w:b/>
          <w:sz w:val="22"/>
          <w:szCs w:val="22"/>
          <w:lang w:eastAsia="ja-JP"/>
        </w:rPr>
        <w:t>excepted</w:t>
      </w:r>
      <w:r w:rsidR="00A42E78" w:rsidRPr="00DB4006">
        <w:rPr>
          <w:rFonts w:asciiTheme="minorHAnsi" w:hAnsiTheme="minorHAnsi" w:cstheme="minorHAnsi"/>
          <w:sz w:val="22"/>
          <w:szCs w:val="22"/>
          <w:lang w:eastAsia="ja-JP"/>
        </w:rPr>
        <w:t xml:space="preserve"> OICA 27 and 38</w:t>
      </w:r>
      <w:r w:rsidR="00A42E78">
        <w:rPr>
          <w:rFonts w:asciiTheme="minorHAnsi" w:hAnsiTheme="minorHAnsi" w:cstheme="minorHAnsi"/>
          <w:sz w:val="22"/>
          <w:szCs w:val="22"/>
          <w:lang w:eastAsia="ja-JP"/>
        </w:rPr>
        <w:t xml:space="preserve"> under discussion)</w:t>
      </w:r>
      <w:r w:rsidRPr="00DB4006">
        <w:rPr>
          <w:rFonts w:asciiTheme="minorHAnsi" w:hAnsiTheme="minorHAnsi" w:cstheme="minorHAnsi"/>
          <w:sz w:val="22"/>
          <w:szCs w:val="22"/>
          <w:lang w:eastAsia="ja-JP"/>
        </w:rPr>
        <w:t>, China 1, China 2 and IMMA 1</w:t>
      </w:r>
      <w:r w:rsidR="00A42E78">
        <w:rPr>
          <w:rFonts w:asciiTheme="minorHAnsi" w:hAnsiTheme="minorHAnsi" w:cstheme="minorHAnsi"/>
          <w:sz w:val="22"/>
          <w:szCs w:val="22"/>
          <w:lang w:eastAsia="ja-JP"/>
        </w:rPr>
        <w:t xml:space="preserve"> introduced in excel file referenced </w:t>
      </w:r>
      <w:r w:rsidR="00A42E78" w:rsidRPr="00A42E78">
        <w:rPr>
          <w:rFonts w:asciiTheme="minorHAnsi" w:hAnsiTheme="minorHAnsi" w:cstheme="minorHAnsi"/>
          <w:sz w:val="22"/>
          <w:szCs w:val="22"/>
          <w:lang w:eastAsia="ja-JP"/>
        </w:rPr>
        <w:t>TF-EMC-04-03-(OICA)_R10.05_amendments</w:t>
      </w:r>
      <w:r w:rsidR="00A42E78">
        <w:rPr>
          <w:rFonts w:asciiTheme="minorHAnsi" w:hAnsiTheme="minorHAnsi" w:cstheme="minorHAnsi"/>
          <w:sz w:val="22"/>
          <w:szCs w:val="22"/>
          <w:lang w:eastAsia="ja-JP"/>
        </w:rPr>
        <w:t>.</w:t>
      </w:r>
    </w:p>
    <w:p w:rsidR="002B410B" w:rsidRDefault="002B410B"/>
    <w:sectPr w:rsidR="002B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4"/>
    <w:rsid w:val="00084BA4"/>
    <w:rsid w:val="001F6F89"/>
    <w:rsid w:val="002B410B"/>
    <w:rsid w:val="002F76F7"/>
    <w:rsid w:val="004F6110"/>
    <w:rsid w:val="00606F21"/>
    <w:rsid w:val="007740D7"/>
    <w:rsid w:val="0078745F"/>
    <w:rsid w:val="00A42E78"/>
    <w:rsid w:val="00B230EE"/>
    <w:rsid w:val="00B81099"/>
    <w:rsid w:val="00BC04A8"/>
    <w:rsid w:val="00C63478"/>
    <w:rsid w:val="00D00B0D"/>
    <w:rsid w:val="00DB4006"/>
    <w:rsid w:val="00D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A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F89"/>
    <w:pPr>
      <w:ind w:left="720"/>
      <w:contextualSpacing/>
    </w:pPr>
  </w:style>
  <w:style w:type="paragraph" w:customStyle="1" w:styleId="Default">
    <w:name w:val="Default"/>
    <w:rsid w:val="00B8109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810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8109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A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F89"/>
    <w:pPr>
      <w:ind w:left="720"/>
      <w:contextualSpacing/>
    </w:pPr>
  </w:style>
  <w:style w:type="paragraph" w:customStyle="1" w:styleId="Default">
    <w:name w:val="Default"/>
    <w:rsid w:val="00B8109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810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810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UTAC SAS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blanc</cp:lastModifiedBy>
  <cp:revision>7</cp:revision>
  <cp:lastPrinted>2017-01-26T13:06:00Z</cp:lastPrinted>
  <dcterms:created xsi:type="dcterms:W3CDTF">2017-01-26T09:31:00Z</dcterms:created>
  <dcterms:modified xsi:type="dcterms:W3CDTF">2017-01-26T13:49:00Z</dcterms:modified>
</cp:coreProperties>
</file>