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3" w:rsidRDefault="00B4304D" w:rsidP="00AA34D1">
      <w:pPr>
        <w:pStyle w:val="HChG"/>
        <w:ind w:firstLine="0"/>
        <w:jc w:val="center"/>
      </w:pPr>
      <w:r>
        <w:t xml:space="preserve">Draft minutes </w:t>
      </w:r>
      <w:r w:rsidR="00D6469C" w:rsidRPr="00475325">
        <w:t xml:space="preserve">for the </w:t>
      </w:r>
      <w:r w:rsidR="00732B04">
        <w:t>second</w:t>
      </w:r>
      <w:r w:rsidR="00D6469C">
        <w:t xml:space="preserve"> </w:t>
      </w:r>
      <w:r w:rsidR="00400B6D">
        <w:t>session</w:t>
      </w:r>
      <w:r w:rsidR="00D6469C" w:rsidRPr="00475325">
        <w:t xml:space="preserve"> of</w:t>
      </w:r>
    </w:p>
    <w:p w:rsidR="009935A8" w:rsidRPr="00583488" w:rsidRDefault="00D6469C" w:rsidP="00AA34D1">
      <w:pPr>
        <w:pStyle w:val="HChG"/>
        <w:ind w:firstLine="0"/>
        <w:jc w:val="center"/>
      </w:pPr>
      <w:proofErr w:type="gramStart"/>
      <w:r w:rsidRPr="00475325">
        <w:t>the</w:t>
      </w:r>
      <w:proofErr w:type="gramEnd"/>
      <w:r w:rsidRPr="00475325">
        <w:t xml:space="preserve"> </w:t>
      </w:r>
      <w:r w:rsidR="00400B6D">
        <w:t>UN Task Force on Cyber Security and OTA issues</w:t>
      </w:r>
    </w:p>
    <w:p w:rsidR="009935A8" w:rsidRPr="00583488" w:rsidRDefault="009935A8" w:rsidP="00AA34D1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9935A8" w:rsidRDefault="00732B04" w:rsidP="00AA34D1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1</w:t>
      </w:r>
      <w:r w:rsidRPr="00732B04">
        <w:rPr>
          <w:rFonts w:ascii="Times New Roman" w:hAnsi="Times New Roman"/>
          <w:b/>
          <w:color w:val="000000"/>
          <w:kern w:val="0"/>
          <w:sz w:val="24"/>
          <w:vertAlign w:val="superscript"/>
        </w:rPr>
        <w:t>st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February 2017, 12:00-14:00 GMT</w:t>
      </w:r>
    </w:p>
    <w:p w:rsidR="005F093D" w:rsidRDefault="00E900F5" w:rsidP="00AA34D1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Virtual meeting</w:t>
      </w:r>
    </w:p>
    <w:p w:rsidR="007A29B1" w:rsidRPr="00AA34D1" w:rsidRDefault="00400B6D" w:rsidP="00AA34D1">
      <w:pPr>
        <w:pStyle w:val="HChG"/>
        <w:ind w:right="567" w:firstLine="0"/>
      </w:pPr>
      <w:r w:rsidRPr="00AA34D1">
        <w:t>I.</w:t>
      </w:r>
      <w:r w:rsidR="00653066" w:rsidRPr="00AA34D1">
        <w:tab/>
      </w:r>
      <w:r w:rsidR="00D6469C" w:rsidRPr="00AA34D1">
        <w:t>Adoption of the Agenda</w:t>
      </w:r>
    </w:p>
    <w:p w:rsidR="009C5FCE" w:rsidRPr="00AA34D1" w:rsidRDefault="00AA34D1" w:rsidP="00AA34D1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="00400B6D" w:rsidRPr="00AA34D1">
        <w:rPr>
          <w:lang w:val="en-US"/>
        </w:rPr>
        <w:t>The Task Force may wish to adopt the provisional agenda.</w:t>
      </w:r>
    </w:p>
    <w:p w:rsidR="00400B6D" w:rsidRDefault="00400B6D" w:rsidP="00AA34D1">
      <w:pPr>
        <w:pStyle w:val="SingleTxtG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97181A">
        <w:rPr>
          <w:lang w:val="en-US"/>
        </w:rPr>
        <w:t>TFSC</w:t>
      </w:r>
      <w:r w:rsidRPr="00AA34D1">
        <w:rPr>
          <w:lang w:val="en-US"/>
        </w:rPr>
        <w:t>-0</w:t>
      </w:r>
      <w:r w:rsidR="00E900F5">
        <w:rPr>
          <w:lang w:val="en-US"/>
        </w:rPr>
        <w:t>2</w:t>
      </w:r>
      <w:r w:rsidRPr="00AA34D1">
        <w:rPr>
          <w:lang w:val="en-US"/>
        </w:rPr>
        <w:t>-01</w:t>
      </w:r>
      <w:r w:rsidR="00E900F5">
        <w:rPr>
          <w:lang w:val="en-US"/>
        </w:rPr>
        <w:t>e</w:t>
      </w:r>
      <w:r w:rsidR="0097181A">
        <w:rPr>
          <w:lang w:val="en-US"/>
        </w:rPr>
        <w:t xml:space="preserve"> Agenda</w:t>
      </w:r>
    </w:p>
    <w:p w:rsidR="005604D5" w:rsidRPr="005604D5" w:rsidRDefault="005604D5" w:rsidP="005604D5">
      <w:pPr>
        <w:pStyle w:val="SingleTxtG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Agenda adopted without changes.</w:t>
      </w:r>
    </w:p>
    <w:p w:rsidR="00F174C6" w:rsidRPr="00E900F5" w:rsidRDefault="00F174C6" w:rsidP="00E900F5">
      <w:pPr>
        <w:pStyle w:val="HChG"/>
        <w:ind w:right="567" w:firstLine="0"/>
        <w:rPr>
          <w:lang w:val="en-US"/>
        </w:rPr>
      </w:pPr>
      <w:r>
        <w:t>II.</w:t>
      </w:r>
      <w:r w:rsidR="00E900F5">
        <w:tab/>
      </w:r>
      <w:r w:rsidRPr="00AA34D1">
        <w:t>Review of the draft Terms of Reference for the group</w:t>
      </w:r>
    </w:p>
    <w:p w:rsidR="00F174C6" w:rsidRPr="00AA34D1" w:rsidRDefault="00F174C6" w:rsidP="00F174C6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Task Force may wish to review the proposed Terms of Reference for the group. When the </w:t>
      </w:r>
      <w:proofErr w:type="spellStart"/>
      <w:r w:rsidRPr="00AA34D1">
        <w:rPr>
          <w:lang w:val="en-US"/>
        </w:rPr>
        <w:t>ToR</w:t>
      </w:r>
      <w:proofErr w:type="spellEnd"/>
      <w:r w:rsidRPr="00AA34D1">
        <w:rPr>
          <w:lang w:val="en-US"/>
        </w:rPr>
        <w:t xml:space="preserve"> would be agreed by the TF, they would be endorsed by the IWG on ITS/AD and adopted by WP.29</w:t>
      </w:r>
    </w:p>
    <w:p w:rsidR="0097181A" w:rsidRDefault="00F174C6" w:rsidP="0097181A">
      <w:pPr>
        <w:pStyle w:val="SingleTxtG"/>
        <w:spacing w:after="0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>
        <w:rPr>
          <w:lang w:val="en-US"/>
        </w:rPr>
        <w:tab/>
        <w:t>TFS</w:t>
      </w:r>
      <w:r w:rsidR="0097181A">
        <w:rPr>
          <w:lang w:val="en-US"/>
        </w:rPr>
        <w:t>C</w:t>
      </w:r>
      <w:r>
        <w:rPr>
          <w:lang w:val="en-US"/>
        </w:rPr>
        <w:t>-0</w:t>
      </w:r>
      <w:r w:rsidR="00E900F5">
        <w:rPr>
          <w:lang w:val="en-US"/>
        </w:rPr>
        <w:t>2</w:t>
      </w:r>
      <w:r>
        <w:rPr>
          <w:lang w:val="en-US"/>
        </w:rPr>
        <w:t>-02</w:t>
      </w:r>
      <w:r w:rsidR="005F1F94">
        <w:rPr>
          <w:lang w:val="en-US"/>
        </w:rPr>
        <w:t xml:space="preserve">e </w:t>
      </w:r>
      <w:r w:rsidR="00E900F5">
        <w:rPr>
          <w:lang w:val="en-US"/>
        </w:rPr>
        <w:t>Updated</w:t>
      </w:r>
      <w:r w:rsidR="005F1F94">
        <w:rPr>
          <w:lang w:val="en-US"/>
        </w:rPr>
        <w:t xml:space="preserve"> Terms of Reference</w:t>
      </w:r>
      <w:r w:rsidR="0097181A">
        <w:rPr>
          <w:lang w:val="en-US"/>
        </w:rPr>
        <w:tab/>
      </w:r>
    </w:p>
    <w:p w:rsidR="005604D5" w:rsidRDefault="005604D5" w:rsidP="005604D5">
      <w:pPr>
        <w:pStyle w:val="SingleTxtG"/>
        <w:spacing w:after="0"/>
        <w:ind w:right="567"/>
        <w:jc w:val="left"/>
        <w:rPr>
          <w:lang w:val="en-US"/>
        </w:rPr>
      </w:pPr>
    </w:p>
    <w:p w:rsidR="005604D5" w:rsidRDefault="005604D5" w:rsidP="005604D5">
      <w:pPr>
        <w:pStyle w:val="SingleTxtG"/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Document TFSC-02-02e had been reviewed in detail. Amendments are reproduced in TFCS-02-02e-Rev1e</w:t>
      </w:r>
      <w:r w:rsidR="006713BA">
        <w:rPr>
          <w:color w:val="0000FF"/>
          <w:lang w:val="en-US"/>
        </w:rPr>
        <w:t>.</w:t>
      </w:r>
    </w:p>
    <w:p w:rsidR="006713BA" w:rsidRDefault="006713BA" w:rsidP="005604D5">
      <w:pPr>
        <w:pStyle w:val="SingleTxtG"/>
        <w:spacing w:after="0"/>
        <w:ind w:right="567"/>
        <w:jc w:val="left"/>
        <w:rPr>
          <w:color w:val="0000FF"/>
          <w:lang w:val="en-US"/>
        </w:rPr>
      </w:pPr>
    </w:p>
    <w:p w:rsidR="006713BA" w:rsidRDefault="006713BA" w:rsidP="006713BA">
      <w:pPr>
        <w:pStyle w:val="SingleTxtG"/>
        <w:numPr>
          <w:ilvl w:val="0"/>
          <w:numId w:val="7"/>
        </w:numPr>
        <w:spacing w:after="0"/>
        <w:ind w:left="1800" w:right="567" w:hanging="306"/>
        <w:jc w:val="left"/>
        <w:rPr>
          <w:color w:val="0000FF"/>
          <w:lang w:val="en-US"/>
        </w:rPr>
      </w:pPr>
      <w:r>
        <w:rPr>
          <w:color w:val="0000FF"/>
          <w:lang w:val="en-US"/>
        </w:rPr>
        <w:t>Discussion on part ‘A. Terms of Reference’:</w:t>
      </w:r>
    </w:p>
    <w:p w:rsidR="007331C8" w:rsidRDefault="007331C8" w:rsidP="007331C8">
      <w:pPr>
        <w:pStyle w:val="SingleTxtG"/>
        <w:numPr>
          <w:ilvl w:val="0"/>
          <w:numId w:val="11"/>
        </w:numPr>
        <w:spacing w:after="0"/>
        <w:ind w:left="2160" w:right="567" w:hanging="270"/>
        <w:jc w:val="left"/>
        <w:rPr>
          <w:color w:val="0000FF"/>
          <w:lang w:val="en-US"/>
        </w:rPr>
      </w:pPr>
      <w:r>
        <w:rPr>
          <w:color w:val="0000FF"/>
          <w:lang w:val="en-US"/>
        </w:rPr>
        <w:t>Regarding Cyber Security</w:t>
      </w:r>
    </w:p>
    <w:p w:rsidR="004E1DE3" w:rsidRDefault="006713BA" w:rsidP="007331C8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</w:pP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Definition for “Automotive Industry”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br/>
        <w:t xml:space="preserve">It was noted, that the current definition is very broad and encompasses a wide range of stakeholders, usually not identified as part of the automotive industry. </w:t>
      </w:r>
      <w:r w:rsidR="00064832"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The intention of the very broad definition is not to exclude stakeholders potentially having an impact on vehicle’s cyber security right from the beginning. 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Depending on the further proceedings, the group may need to </w:t>
      </w:r>
      <w:r w:rsidR="00064832"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refine and clarify this definition further</w:t>
      </w:r>
      <w:r w:rsidR="004E1DE3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, especially </w:t>
      </w:r>
      <w:r w:rsid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regarding its applicability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, for example </w:t>
      </w:r>
      <w:r w:rsid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to whom a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n action may be directed</w:t>
      </w:r>
      <w:r w:rsidR="004E1DE3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 (OEM, 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suppliers</w:t>
      </w:r>
      <w:r w:rsidR="004E1DE3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, etc.)</w:t>
      </w:r>
      <w:r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.</w:t>
      </w:r>
    </w:p>
    <w:p w:rsidR="006713BA" w:rsidRPr="00064832" w:rsidRDefault="004E1DE3" w:rsidP="007331C8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An additional text had been added to clarify </w:t>
      </w:r>
      <w:proofErr w:type="gramStart"/>
      <w:r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that measures</w:t>
      </w:r>
      <w:proofErr w:type="gramEnd"/>
      <w:r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 to assure vehicle safety in case of cyber-attacks shall be defined and agreed on.  </w:t>
      </w:r>
      <w:r w:rsidR="006713BA" w:rsidRPr="00064832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 xml:space="preserve"> </w:t>
      </w:r>
    </w:p>
    <w:p w:rsidR="006713BA" w:rsidRDefault="00EF15E1" w:rsidP="007331C8">
      <w:pPr>
        <w:pStyle w:val="SingleTxtG"/>
        <w:numPr>
          <w:ilvl w:val="0"/>
          <w:numId w:val="12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lastRenderedPageBreak/>
        <w:t>Japan proposed to insert a new bullet point to ensure taking into account the “Guideline on cyber security and data protection”, developed by WP.29 IWG ITS/AD, in order to avoid duplication of work</w:t>
      </w:r>
    </w:p>
    <w:p w:rsidR="00EF15E1" w:rsidRDefault="00EF15E1" w:rsidP="007331C8">
      <w:pPr>
        <w:pStyle w:val="SingleTxtG"/>
        <w:numPr>
          <w:ilvl w:val="0"/>
          <w:numId w:val="12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Regarding consideration of practices and legislation, standards had been added, as well as the clarification that also currently </w:t>
      </w:r>
      <w:r>
        <w:rPr>
          <w:color w:val="0000FF"/>
          <w:lang w:val="en-US"/>
        </w:rPr>
        <w:t xml:space="preserve">developing </w:t>
      </w:r>
      <w:r>
        <w:rPr>
          <w:color w:val="0000FF"/>
          <w:lang w:val="en-US"/>
        </w:rPr>
        <w:t>activities shall be taken into account</w:t>
      </w:r>
    </w:p>
    <w:p w:rsidR="007331C8" w:rsidRPr="007331C8" w:rsidRDefault="00EF15E1" w:rsidP="007331C8">
      <w:pPr>
        <w:pStyle w:val="SingleTxtG"/>
        <w:numPr>
          <w:ilvl w:val="0"/>
          <w:numId w:val="12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The wording regarding reporting had been clarified, stating </w:t>
      </w:r>
      <w:r w:rsidR="007331C8">
        <w:rPr>
          <w:color w:val="0000FF"/>
          <w:lang w:val="en-US"/>
        </w:rPr>
        <w:t xml:space="preserve">now </w:t>
      </w:r>
      <w:r>
        <w:rPr>
          <w:color w:val="0000FF"/>
          <w:lang w:val="en-US"/>
        </w:rPr>
        <w:t xml:space="preserve">that TF-CS/OTA will report to </w:t>
      </w:r>
      <w:r w:rsidR="007331C8">
        <w:rPr>
          <w:color w:val="0000FF"/>
          <w:lang w:val="en-US"/>
        </w:rPr>
        <w:t>WP.29 Informal Working Group on ITS/AD</w:t>
      </w:r>
    </w:p>
    <w:p w:rsidR="007331C8" w:rsidRDefault="007331C8" w:rsidP="007331C8">
      <w:pPr>
        <w:pStyle w:val="SingleTxtG"/>
        <w:numPr>
          <w:ilvl w:val="0"/>
          <w:numId w:val="13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Regarding Data Protection</w:t>
      </w:r>
    </w:p>
    <w:p w:rsidR="00867F51" w:rsidRPr="007B03AB" w:rsidRDefault="007331C8" w:rsidP="007331C8">
      <w:pPr>
        <w:pStyle w:val="SingleTxtG"/>
        <w:numPr>
          <w:ilvl w:val="0"/>
          <w:numId w:val="9"/>
        </w:numPr>
        <w:spacing w:after="0"/>
        <w:ind w:right="567"/>
        <w:jc w:val="left"/>
        <w:rPr>
          <w:color w:val="0000FF"/>
          <w:lang w:val="en-US"/>
        </w:rPr>
      </w:pPr>
      <w:r w:rsidRPr="00867F51">
        <w:rPr>
          <w:color w:val="0000FF"/>
        </w:rPr>
        <w:t xml:space="preserve">The order of the bullet points was rearranged </w:t>
      </w:r>
      <w:r w:rsidR="00867F51" w:rsidRPr="00867F51">
        <w:rPr>
          <w:color w:val="0000FF"/>
        </w:rPr>
        <w:t xml:space="preserve">in order to better </w:t>
      </w:r>
      <w:r w:rsidRPr="00867F51">
        <w:rPr>
          <w:color w:val="0000FF"/>
        </w:rPr>
        <w:t>reflect</w:t>
      </w:r>
      <w:r w:rsidR="00867F51" w:rsidRPr="00867F51">
        <w:rPr>
          <w:color w:val="0000FF"/>
        </w:rPr>
        <w:t xml:space="preserve"> the work scope and further proceedings of the meeting, i.e. </w:t>
      </w:r>
      <w:r w:rsidRPr="00867F51">
        <w:rPr>
          <w:color w:val="0000FF"/>
        </w:rPr>
        <w:t>that the group will be looking to identify key risks and threats and develop recommendations or guidance on how to address them</w:t>
      </w:r>
    </w:p>
    <w:p w:rsidR="007B03AB" w:rsidRPr="00867F51" w:rsidRDefault="007B03AB" w:rsidP="007331C8">
      <w:pPr>
        <w:pStyle w:val="SingleTxtG"/>
        <w:numPr>
          <w:ilvl w:val="0"/>
          <w:numId w:val="9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</w:rPr>
        <w:t>It was confirmed that the group shall deal with technical aspects of data protection /privacy</w:t>
      </w:r>
    </w:p>
    <w:p w:rsidR="007331C8" w:rsidRDefault="00867F51" w:rsidP="007331C8">
      <w:pPr>
        <w:pStyle w:val="SingleTxtG"/>
        <w:numPr>
          <w:ilvl w:val="0"/>
          <w:numId w:val="9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Regarding consideration of practices and reporting same amendments as for Cyber Security</w:t>
      </w:r>
    </w:p>
    <w:p w:rsidR="00867F51" w:rsidRDefault="00867F51" w:rsidP="00867F51">
      <w:pPr>
        <w:pStyle w:val="SingleTxtG"/>
        <w:numPr>
          <w:ilvl w:val="0"/>
          <w:numId w:val="13"/>
        </w:numPr>
        <w:spacing w:after="0"/>
        <w:ind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Regarding </w:t>
      </w:r>
      <w:r>
        <w:rPr>
          <w:color w:val="0000FF"/>
          <w:lang w:val="en-US"/>
        </w:rPr>
        <w:t>Software updates</w:t>
      </w:r>
    </w:p>
    <w:p w:rsidR="007B03AB" w:rsidRDefault="007B03AB" w:rsidP="00867F51">
      <w:pPr>
        <w:pStyle w:val="SingleTxtG"/>
        <w:numPr>
          <w:ilvl w:val="0"/>
          <w:numId w:val="16"/>
        </w:numPr>
        <w:spacing w:after="0"/>
        <w:ind w:left="252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The members agreed to amend the focus regarding software updates by removing the limitation to “Over </w:t>
      </w:r>
      <w:proofErr w:type="gramStart"/>
      <w:r>
        <w:rPr>
          <w:color w:val="0000FF"/>
          <w:lang w:val="en-US"/>
        </w:rPr>
        <w:t>The</w:t>
      </w:r>
      <w:proofErr w:type="gramEnd"/>
      <w:r>
        <w:rPr>
          <w:color w:val="0000FF"/>
          <w:lang w:val="en-US"/>
        </w:rPr>
        <w:t xml:space="preserve"> Air” updates. Hence software updates in general will be considered.</w:t>
      </w:r>
    </w:p>
    <w:p w:rsidR="007B03AB" w:rsidRDefault="007B03AB" w:rsidP="00867F51">
      <w:pPr>
        <w:pStyle w:val="SingleTxtG"/>
        <w:numPr>
          <w:ilvl w:val="0"/>
          <w:numId w:val="16"/>
        </w:numPr>
        <w:spacing w:after="0"/>
        <w:ind w:left="252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A bullet point about considering and identifying risks and threats concerned with software updates had been added</w:t>
      </w:r>
    </w:p>
    <w:p w:rsidR="00867F51" w:rsidRPr="007F5E98" w:rsidRDefault="007B03AB" w:rsidP="007F5E98">
      <w:pPr>
        <w:pStyle w:val="ListParagraph"/>
        <w:numPr>
          <w:ilvl w:val="0"/>
          <w:numId w:val="16"/>
        </w:numPr>
        <w:ind w:left="2520"/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</w:pPr>
      <w:r w:rsidRPr="007B03AB">
        <w:rPr>
          <w:rFonts w:ascii="Times New Roman" w:eastAsia="Times New Roman" w:hAnsi="Times New Roman"/>
          <w:color w:val="0000FF"/>
          <w:kern w:val="0"/>
          <w:sz w:val="20"/>
          <w:szCs w:val="20"/>
          <w:lang w:eastAsia="en-US"/>
        </w:rPr>
        <w:t>Regarding consideration of practices and reporting same amendments as for Cyber Security</w:t>
      </w:r>
    </w:p>
    <w:p w:rsidR="007331C8" w:rsidRDefault="007331C8" w:rsidP="007331C8">
      <w:pPr>
        <w:pStyle w:val="SingleTxtG"/>
        <w:spacing w:after="0"/>
        <w:ind w:right="567"/>
        <w:jc w:val="left"/>
        <w:rPr>
          <w:color w:val="0000FF"/>
          <w:lang w:val="en-US"/>
        </w:rPr>
      </w:pPr>
    </w:p>
    <w:p w:rsidR="007B03AB" w:rsidRDefault="007B03AB" w:rsidP="007B03AB">
      <w:pPr>
        <w:pStyle w:val="SingleTxtG"/>
        <w:numPr>
          <w:ilvl w:val="0"/>
          <w:numId w:val="7"/>
        </w:numPr>
        <w:spacing w:after="0"/>
        <w:ind w:left="1800" w:right="567" w:hanging="306"/>
        <w:jc w:val="left"/>
        <w:rPr>
          <w:color w:val="0000FF"/>
          <w:lang w:val="en-US"/>
        </w:rPr>
      </w:pPr>
      <w:r>
        <w:rPr>
          <w:color w:val="0000FF"/>
          <w:lang w:val="en-US"/>
        </w:rPr>
        <w:t>Discussion on part ‘</w:t>
      </w:r>
      <w:r>
        <w:rPr>
          <w:color w:val="0000FF"/>
          <w:lang w:val="en-US"/>
        </w:rPr>
        <w:t>B</w:t>
      </w:r>
      <w:r>
        <w:rPr>
          <w:color w:val="0000FF"/>
          <w:lang w:val="en-US"/>
        </w:rPr>
        <w:t xml:space="preserve">. </w:t>
      </w:r>
      <w:r>
        <w:rPr>
          <w:color w:val="0000FF"/>
          <w:lang w:val="en-US"/>
        </w:rPr>
        <w:t>Rules of Procedure</w:t>
      </w:r>
      <w:r>
        <w:rPr>
          <w:color w:val="0000FF"/>
          <w:lang w:val="en-US"/>
        </w:rPr>
        <w:t>’:</w:t>
      </w:r>
    </w:p>
    <w:p w:rsidR="007B03AB" w:rsidRDefault="007B03AB" w:rsidP="007B03AB">
      <w:pPr>
        <w:pStyle w:val="SingleTxtG"/>
        <w:numPr>
          <w:ilvl w:val="1"/>
          <w:numId w:val="7"/>
        </w:numPr>
        <w:spacing w:after="0"/>
        <w:ind w:left="216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Japan voiced their interest in co-chairing the task force</w:t>
      </w:r>
    </w:p>
    <w:p w:rsidR="007B03AB" w:rsidRDefault="007B03AB" w:rsidP="007B03AB">
      <w:pPr>
        <w:pStyle w:val="SingleTxtG"/>
        <w:numPr>
          <w:ilvl w:val="1"/>
          <w:numId w:val="7"/>
        </w:numPr>
        <w:spacing w:after="0"/>
        <w:ind w:left="216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While the proposal was welcomed</w:t>
      </w:r>
      <w:r w:rsidR="007F5E98">
        <w:rPr>
          <w:color w:val="0000FF"/>
          <w:lang w:val="en-US"/>
        </w:rPr>
        <w:t xml:space="preserve"> a final decision shall be taken during the upcoming physical meeting in Paris (16-17 February 2017, OICA Office, Paris)</w:t>
      </w:r>
    </w:p>
    <w:p w:rsidR="007F5E98" w:rsidRDefault="007F5E98" w:rsidP="007F5E98">
      <w:pPr>
        <w:pStyle w:val="SingleTxtG"/>
        <w:spacing w:after="0"/>
        <w:ind w:left="1800" w:right="567"/>
        <w:jc w:val="left"/>
        <w:rPr>
          <w:color w:val="0000FF"/>
          <w:lang w:val="en-US"/>
        </w:rPr>
      </w:pPr>
    </w:p>
    <w:p w:rsidR="007F5E98" w:rsidRDefault="007F5E98" w:rsidP="007F5E98">
      <w:pPr>
        <w:pStyle w:val="SingleTxtG"/>
        <w:numPr>
          <w:ilvl w:val="0"/>
          <w:numId w:val="7"/>
        </w:numPr>
        <w:spacing w:after="0"/>
        <w:ind w:left="1800" w:right="567" w:hanging="306"/>
        <w:jc w:val="left"/>
        <w:rPr>
          <w:color w:val="0000FF"/>
          <w:lang w:val="en-US"/>
        </w:rPr>
      </w:pPr>
      <w:r>
        <w:rPr>
          <w:color w:val="0000FF"/>
          <w:lang w:val="en-US"/>
        </w:rPr>
        <w:t>Discussion on part ‘</w:t>
      </w:r>
      <w:r>
        <w:rPr>
          <w:color w:val="0000FF"/>
          <w:lang w:val="en-US"/>
        </w:rPr>
        <w:t>C</w:t>
      </w:r>
      <w:r>
        <w:rPr>
          <w:color w:val="0000FF"/>
          <w:lang w:val="en-US"/>
        </w:rPr>
        <w:t xml:space="preserve">. </w:t>
      </w:r>
      <w:r>
        <w:rPr>
          <w:color w:val="0000FF"/>
          <w:lang w:val="en-US"/>
        </w:rPr>
        <w:t>Timeline</w:t>
      </w:r>
      <w:r>
        <w:rPr>
          <w:color w:val="0000FF"/>
          <w:lang w:val="en-US"/>
        </w:rPr>
        <w:t>’:</w:t>
      </w:r>
    </w:p>
    <w:p w:rsidR="007F5E98" w:rsidRDefault="007F5E98" w:rsidP="007F5E98">
      <w:pPr>
        <w:pStyle w:val="SingleTxtG"/>
        <w:numPr>
          <w:ilvl w:val="1"/>
          <w:numId w:val="7"/>
        </w:numPr>
        <w:spacing w:after="0"/>
        <w:ind w:left="216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>The group decided to put some more concrete dates for delivering the task force out to WP.29 IWG ITS/AD</w:t>
      </w:r>
    </w:p>
    <w:p w:rsidR="007F5E98" w:rsidRDefault="007F5E98" w:rsidP="007F5E98">
      <w:pPr>
        <w:pStyle w:val="SingleTxtG"/>
        <w:numPr>
          <w:ilvl w:val="1"/>
          <w:numId w:val="7"/>
        </w:numPr>
        <w:spacing w:after="0"/>
        <w:ind w:left="2160" w:right="567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Furthermore, a paragraph had been added, that TF-CS shall decide on whether to continue or stop the work after the first full year of work. </w:t>
      </w:r>
    </w:p>
    <w:p w:rsidR="007F5E98" w:rsidRDefault="007F5E98" w:rsidP="007F5E98">
      <w:pPr>
        <w:pStyle w:val="SingleTxtG"/>
        <w:spacing w:after="0"/>
        <w:ind w:right="567"/>
        <w:jc w:val="left"/>
        <w:rPr>
          <w:color w:val="0000FF"/>
          <w:lang w:val="en-US"/>
        </w:rPr>
      </w:pPr>
    </w:p>
    <w:p w:rsidR="005604D5" w:rsidRDefault="005604D5" w:rsidP="0097181A">
      <w:pPr>
        <w:pStyle w:val="SingleTxtG"/>
        <w:spacing w:after="0"/>
        <w:ind w:right="567"/>
        <w:jc w:val="right"/>
        <w:rPr>
          <w:lang w:val="en-US"/>
        </w:rPr>
      </w:pPr>
    </w:p>
    <w:p w:rsidR="00AA34D1" w:rsidRDefault="00FC317A" w:rsidP="00AA34D1">
      <w:pPr>
        <w:pStyle w:val="HChG"/>
        <w:ind w:right="567" w:firstLine="0"/>
      </w:pPr>
      <w:r>
        <w:lastRenderedPageBreak/>
        <w:t>I</w:t>
      </w:r>
      <w:r w:rsidR="00A963E6">
        <w:t>II</w:t>
      </w:r>
      <w:r w:rsidR="008F34E9">
        <w:t>.</w:t>
      </w:r>
      <w:r w:rsidR="008F34E9">
        <w:tab/>
      </w:r>
      <w:r w:rsidR="00AA34D1">
        <w:t>Date and place of the next session</w:t>
      </w:r>
    </w:p>
    <w:p w:rsidR="00AA34D1" w:rsidRDefault="00AA34D1" w:rsidP="00AA34D1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Task Force </w:t>
      </w:r>
      <w:r>
        <w:rPr>
          <w:lang w:val="en-US"/>
        </w:rPr>
        <w:t>shall agree on the date and place of the second session.</w:t>
      </w:r>
    </w:p>
    <w:p w:rsidR="007F5E98" w:rsidRPr="007F5E98" w:rsidRDefault="007F5E98" w:rsidP="00E937F3">
      <w:pPr>
        <w:pStyle w:val="SingleTxtG"/>
        <w:numPr>
          <w:ilvl w:val="0"/>
          <w:numId w:val="17"/>
        </w:numPr>
        <w:ind w:right="567"/>
        <w:rPr>
          <w:color w:val="0000FF"/>
          <w:lang w:val="en-US"/>
        </w:rPr>
      </w:pPr>
      <w:bookmarkStart w:id="0" w:name="_GoBack"/>
      <w:r w:rsidRPr="007F5E98">
        <w:rPr>
          <w:color w:val="0000FF"/>
          <w:lang w:val="en-US"/>
        </w:rPr>
        <w:t>Following meeting dates had been confirmed:</w:t>
      </w:r>
    </w:p>
    <w:bookmarkEnd w:id="0"/>
    <w:p w:rsidR="007F5E98" w:rsidRDefault="007F5E98" w:rsidP="00E937F3">
      <w:pPr>
        <w:pStyle w:val="SingleTxtG"/>
        <w:ind w:left="1816" w:right="567"/>
        <w:rPr>
          <w:color w:val="0000FF"/>
          <w:lang w:val="en-US"/>
        </w:rPr>
      </w:pPr>
      <w:r w:rsidRPr="007F5E98">
        <w:rPr>
          <w:color w:val="0000FF"/>
          <w:lang w:val="en-US"/>
        </w:rPr>
        <w:t>TF-CS-03 (2</w:t>
      </w:r>
      <w:r w:rsidRPr="007F5E98">
        <w:rPr>
          <w:color w:val="0000FF"/>
          <w:vertAlign w:val="superscript"/>
          <w:lang w:val="en-US"/>
        </w:rPr>
        <w:t>nd</w:t>
      </w:r>
      <w:r w:rsidRPr="007F5E98">
        <w:rPr>
          <w:color w:val="0000FF"/>
          <w:lang w:val="en-US"/>
        </w:rPr>
        <w:t xml:space="preserve"> physical meeting):</w:t>
      </w:r>
      <w:r w:rsidRPr="007F5E98">
        <w:rPr>
          <w:color w:val="0000FF"/>
          <w:lang w:val="en-US"/>
        </w:rPr>
        <w:tab/>
      </w:r>
      <w:r w:rsidRPr="007F5E98">
        <w:rPr>
          <w:color w:val="0000FF"/>
          <w:lang w:val="en-US"/>
        </w:rPr>
        <w:tab/>
        <w:t>16-17 February 2017</w:t>
      </w:r>
      <w:r>
        <w:rPr>
          <w:color w:val="0000FF"/>
          <w:lang w:val="en-US"/>
        </w:rPr>
        <w:t xml:space="preserve"> @ OICA Office, Paris</w:t>
      </w:r>
      <w:r w:rsidR="00E937F3">
        <w:rPr>
          <w:color w:val="0000FF"/>
          <w:lang w:val="en-US"/>
        </w:rPr>
        <w:br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>
        <w:rPr>
          <w:color w:val="0000FF"/>
          <w:lang w:val="en-US"/>
        </w:rPr>
        <w:t>Start 1</w:t>
      </w:r>
      <w:r w:rsidRPr="007F5E98">
        <w:rPr>
          <w:color w:val="0000FF"/>
          <w:vertAlign w:val="superscript"/>
          <w:lang w:val="en-US"/>
        </w:rPr>
        <w:t>st</w:t>
      </w:r>
      <w:r>
        <w:rPr>
          <w:color w:val="0000FF"/>
          <w:lang w:val="en-US"/>
        </w:rPr>
        <w:t xml:space="preserve"> day: 10:00 am CET</w:t>
      </w:r>
      <w:r>
        <w:rPr>
          <w:color w:val="0000FF"/>
          <w:lang w:val="en-US"/>
        </w:rPr>
        <w:br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 w:rsidR="00E937F3">
        <w:rPr>
          <w:color w:val="0000FF"/>
          <w:lang w:val="en-US"/>
        </w:rPr>
        <w:tab/>
      </w:r>
      <w:r>
        <w:rPr>
          <w:color w:val="0000FF"/>
          <w:lang w:val="en-US"/>
        </w:rPr>
        <w:t>End 2</w:t>
      </w:r>
      <w:r w:rsidRPr="007F5E98">
        <w:rPr>
          <w:color w:val="0000FF"/>
          <w:vertAlign w:val="superscript"/>
          <w:lang w:val="en-US"/>
        </w:rPr>
        <w:t>nd</w:t>
      </w:r>
      <w:r>
        <w:rPr>
          <w:color w:val="0000FF"/>
          <w:lang w:val="en-US"/>
        </w:rPr>
        <w:t xml:space="preserve"> day: 04:00 pm CET</w:t>
      </w:r>
    </w:p>
    <w:p w:rsidR="00DA3067" w:rsidRDefault="00DA3067" w:rsidP="00E937F3">
      <w:pPr>
        <w:pStyle w:val="SingleTxtG"/>
        <w:ind w:left="1816" w:right="567"/>
        <w:rPr>
          <w:color w:val="0000FF"/>
          <w:lang w:val="en-US"/>
        </w:rPr>
      </w:pPr>
      <w:r>
        <w:rPr>
          <w:color w:val="0000FF"/>
          <w:lang w:val="en-US"/>
        </w:rPr>
        <w:t>TF-CS-04 (3</w:t>
      </w:r>
      <w:r w:rsidRPr="00DA3067">
        <w:rPr>
          <w:color w:val="0000FF"/>
          <w:vertAlign w:val="superscript"/>
          <w:lang w:val="en-US"/>
        </w:rPr>
        <w:t>rd</w:t>
      </w:r>
      <w:r>
        <w:rPr>
          <w:color w:val="0000FF"/>
          <w:lang w:val="en-US"/>
        </w:rPr>
        <w:t xml:space="preserve"> physical meetin</w:t>
      </w:r>
      <w:r w:rsidR="00490146">
        <w:rPr>
          <w:color w:val="0000FF"/>
          <w:lang w:val="en-US"/>
        </w:rPr>
        <w:t xml:space="preserve">g): </w:t>
      </w:r>
      <w:r w:rsidR="00490146">
        <w:rPr>
          <w:color w:val="0000FF"/>
          <w:lang w:val="en-US"/>
        </w:rPr>
        <w:tab/>
        <w:t>13-14 March 2017 @ ITU, Gen</w:t>
      </w:r>
      <w:r>
        <w:rPr>
          <w:color w:val="0000FF"/>
          <w:lang w:val="en-US"/>
        </w:rPr>
        <w:t>e</w:t>
      </w:r>
      <w:r w:rsidR="00490146">
        <w:rPr>
          <w:color w:val="0000FF"/>
          <w:lang w:val="en-US"/>
        </w:rPr>
        <w:t>v</w:t>
      </w:r>
      <w:r>
        <w:rPr>
          <w:color w:val="0000FF"/>
          <w:lang w:val="en-US"/>
        </w:rPr>
        <w:t>a</w:t>
      </w:r>
    </w:p>
    <w:p w:rsidR="00E937F3" w:rsidRDefault="00E937F3" w:rsidP="00E937F3">
      <w:pPr>
        <w:pStyle w:val="SingleTxtG"/>
        <w:numPr>
          <w:ilvl w:val="0"/>
          <w:numId w:val="17"/>
        </w:numPr>
        <w:ind w:right="567"/>
        <w:rPr>
          <w:color w:val="0000FF"/>
          <w:lang w:val="en-US"/>
        </w:rPr>
      </w:pPr>
      <w:r>
        <w:rPr>
          <w:color w:val="0000FF"/>
          <w:lang w:val="en-US"/>
        </w:rPr>
        <w:t>A following</w:t>
      </w:r>
      <w:r w:rsidR="008943CC">
        <w:rPr>
          <w:color w:val="0000FF"/>
          <w:lang w:val="en-US"/>
        </w:rPr>
        <w:t xml:space="preserve"> physical meeting </w:t>
      </w:r>
      <w:r>
        <w:rPr>
          <w:color w:val="0000FF"/>
          <w:lang w:val="en-US"/>
        </w:rPr>
        <w:t xml:space="preserve">may be </w:t>
      </w:r>
      <w:r w:rsidR="008943CC">
        <w:rPr>
          <w:color w:val="0000FF"/>
          <w:lang w:val="en-US"/>
        </w:rPr>
        <w:t xml:space="preserve">connected to the ESV Conference, which will take place in Detroit from 5-8 June 2017. </w:t>
      </w:r>
      <w:r>
        <w:rPr>
          <w:color w:val="0000FF"/>
          <w:lang w:val="en-US"/>
        </w:rPr>
        <w:t>The chair took an action to clarify until TF-CS-03 if this will be possible.</w:t>
      </w:r>
    </w:p>
    <w:p w:rsidR="00E937F3" w:rsidRPr="007F5E98" w:rsidRDefault="00E937F3" w:rsidP="00E937F3">
      <w:pPr>
        <w:pStyle w:val="SingleTxtG"/>
        <w:numPr>
          <w:ilvl w:val="0"/>
          <w:numId w:val="17"/>
        </w:numPr>
        <w:ind w:right="567"/>
        <w:rPr>
          <w:color w:val="0000FF"/>
          <w:lang w:val="en-US"/>
        </w:rPr>
      </w:pPr>
      <w:r>
        <w:rPr>
          <w:color w:val="0000FF"/>
          <w:lang w:val="en-US"/>
        </w:rPr>
        <w:t>In general it was noted that the meeting dates and venues should be decided carefully, since e.g. the TF-CS-04 in Geneva coincides with the Geneva Motor Show, resulting in limited hotel availability and higher cost. Such issues should preferably be avoided for future meetings.</w:t>
      </w:r>
    </w:p>
    <w:p w:rsidR="008B023D" w:rsidRPr="00AA34D1" w:rsidRDefault="00A963E6" w:rsidP="00AA34D1">
      <w:pPr>
        <w:pStyle w:val="HChG"/>
        <w:ind w:right="567" w:firstLine="0"/>
      </w:pPr>
      <w:r>
        <w:t>I</w:t>
      </w:r>
      <w:r w:rsidR="00400B6D" w:rsidRPr="00AA34D1">
        <w:t>V</w:t>
      </w:r>
      <w:r>
        <w:t>.</w:t>
      </w:r>
      <w:r w:rsidR="008B023D" w:rsidRPr="00AA34D1">
        <w:tab/>
      </w:r>
      <w:r w:rsidR="00400B6D" w:rsidRPr="00AA34D1">
        <w:t xml:space="preserve">Any Other </w:t>
      </w:r>
      <w:r w:rsidR="008B023D" w:rsidRPr="00AA34D1">
        <w:t>Business</w:t>
      </w:r>
    </w:p>
    <w:p w:rsidR="00AA34D1" w:rsidRDefault="00AA34D1" w:rsidP="001C2179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="00400B6D" w:rsidRPr="00AA34D1">
        <w:rPr>
          <w:lang w:val="en-US"/>
        </w:rPr>
        <w:t xml:space="preserve">The Task Force may wish to discuss any other item </w:t>
      </w:r>
      <w:r w:rsidRPr="00AA34D1">
        <w:rPr>
          <w:lang w:val="en-US"/>
        </w:rPr>
        <w:t>proposed</w:t>
      </w:r>
      <w:r w:rsidR="00400B6D" w:rsidRPr="00AA34D1">
        <w:rPr>
          <w:lang w:val="en-US"/>
        </w:rPr>
        <w:t>, if any.</w:t>
      </w:r>
    </w:p>
    <w:p w:rsidR="00E937F3" w:rsidRPr="00E937F3" w:rsidRDefault="00E937F3" w:rsidP="001C2179">
      <w:pPr>
        <w:pStyle w:val="SingleTxtG"/>
        <w:ind w:right="567"/>
        <w:rPr>
          <w:color w:val="0000FF"/>
          <w:u w:val="single"/>
          <w:lang w:val="en-US"/>
        </w:rPr>
      </w:pPr>
      <w:r w:rsidRPr="00E937F3">
        <w:rPr>
          <w:color w:val="0000FF"/>
          <w:lang w:val="en-US"/>
        </w:rPr>
        <w:t>No issues discussed</w:t>
      </w:r>
    </w:p>
    <w:p w:rsidR="005309CD" w:rsidRPr="005309CD" w:rsidRDefault="005309CD" w:rsidP="00A963E6">
      <w:pPr>
        <w:widowControl/>
      </w:pPr>
    </w:p>
    <w:sectPr w:rsidR="005309CD" w:rsidRPr="005309CD" w:rsidSect="00AA34D1">
      <w:headerReference w:type="default" r:id="rId8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4E" w:rsidRDefault="00D7364E">
      <w:r>
        <w:separator/>
      </w:r>
    </w:p>
  </w:endnote>
  <w:endnote w:type="continuationSeparator" w:id="0">
    <w:p w:rsidR="00D7364E" w:rsidRDefault="00D7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4E" w:rsidRDefault="00D7364E">
      <w:r>
        <w:separator/>
      </w:r>
    </w:p>
  </w:footnote>
  <w:footnote w:type="continuationSeparator" w:id="0">
    <w:p w:rsidR="00D7364E" w:rsidRDefault="00D7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56" w:rsidRPr="00400B6D" w:rsidRDefault="006E693F" w:rsidP="00400B6D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713BA">
      <w:rPr>
        <w:rFonts w:ascii="Times New Roman" w:hAnsi="Times New Roman"/>
        <w:b/>
        <w:kern w:val="0"/>
        <w:sz w:val="20"/>
        <w:szCs w:val="20"/>
      </w:rPr>
      <w:t>CS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6713BA">
      <w:rPr>
        <w:rFonts w:ascii="Times New Roman" w:hAnsi="Times New Roman"/>
        <w:b/>
        <w:kern w:val="0"/>
        <w:sz w:val="20"/>
        <w:szCs w:val="20"/>
      </w:rPr>
      <w:t>3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E937F3">
      <w:rPr>
        <w:rFonts w:ascii="Times New Roman" w:hAnsi="Times New Roman"/>
        <w:b/>
        <w:kern w:val="0"/>
        <w:sz w:val="20"/>
        <w:szCs w:val="20"/>
      </w:rPr>
      <w:t>3</w:t>
    </w:r>
    <w:r w:rsidR="00E900F5">
      <w:rPr>
        <w:rFonts w:ascii="Times New Roman" w:hAnsi="Times New Roman"/>
        <w:b/>
        <w:kern w:val="0"/>
        <w:sz w:val="20"/>
        <w:szCs w:val="20"/>
      </w:rPr>
      <w:t xml:space="preserve">e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>of the TF</w:t>
    </w:r>
    <w:r w:rsidR="00B4304D">
      <w:rPr>
        <w:rFonts w:ascii="Times New Roman" w:hAnsi="Times New Roman"/>
        <w:kern w:val="0"/>
        <w:sz w:val="20"/>
        <w:szCs w:val="20"/>
      </w:rPr>
      <w:t>-CS/OTA</w:t>
    </w:r>
    <w:r w:rsidR="00400B6D">
      <w:rPr>
        <w:rFonts w:ascii="Times New Roman" w:hAnsi="Times New Roman"/>
        <w:kern w:val="0"/>
        <w:sz w:val="20"/>
        <w:szCs w:val="20"/>
      </w:rPr>
      <w:tab/>
    </w:r>
    <w:r w:rsidR="00E900F5">
      <w:rPr>
        <w:rFonts w:ascii="Times New Roman" w:hAnsi="Times New Roman"/>
        <w:kern w:val="0"/>
        <w:sz w:val="20"/>
        <w:szCs w:val="20"/>
      </w:rPr>
      <w:t>2</w:t>
    </w:r>
    <w:r w:rsidR="00E900F5" w:rsidRPr="00E900F5">
      <w:rPr>
        <w:rFonts w:ascii="Times New Roman" w:hAnsi="Times New Roman"/>
        <w:kern w:val="0"/>
        <w:sz w:val="20"/>
        <w:szCs w:val="20"/>
        <w:vertAlign w:val="superscript"/>
      </w:rPr>
      <w:t>nd</w:t>
    </w:r>
    <w:r w:rsidR="00E900F5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TFSC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6B1472">
      <w:rPr>
        <w:rFonts w:ascii="Times New Roman" w:hAnsi="Times New Roman"/>
        <w:kern w:val="0"/>
        <w:sz w:val="20"/>
        <w:szCs w:val="20"/>
      </w:rPr>
      <w:t>01/02/17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</w:p>
  <w:p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438"/>
    <w:multiLevelType w:val="hybridMultilevel"/>
    <w:tmpl w:val="CB04D35E"/>
    <w:lvl w:ilvl="0" w:tplc="0409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">
    <w:nsid w:val="20E81B6F"/>
    <w:multiLevelType w:val="hybridMultilevel"/>
    <w:tmpl w:val="438E28C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2055E66"/>
    <w:multiLevelType w:val="hybridMultilevel"/>
    <w:tmpl w:val="55367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A9957EB"/>
    <w:multiLevelType w:val="hybridMultilevel"/>
    <w:tmpl w:val="7122C8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022"/>
    <w:multiLevelType w:val="hybridMultilevel"/>
    <w:tmpl w:val="0DD04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0F3AFA"/>
    <w:multiLevelType w:val="hybridMultilevel"/>
    <w:tmpl w:val="8FF05392"/>
    <w:lvl w:ilvl="0" w:tplc="0409000F">
      <w:start w:val="1"/>
      <w:numFmt w:val="decimal"/>
      <w:lvlText w:val="%1."/>
      <w:lvlJc w:val="left"/>
      <w:pPr>
        <w:ind w:left="21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7">
    <w:nsid w:val="357E6F46"/>
    <w:multiLevelType w:val="hybridMultilevel"/>
    <w:tmpl w:val="59D4A9CE"/>
    <w:lvl w:ilvl="0" w:tplc="0409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6" w:hanging="360"/>
      </w:pPr>
      <w:rPr>
        <w:rFonts w:ascii="Wingdings" w:hAnsi="Wingdings" w:hint="default"/>
      </w:rPr>
    </w:lvl>
  </w:abstractNum>
  <w:abstractNum w:abstractNumId="8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9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2C6A"/>
    <w:multiLevelType w:val="hybridMultilevel"/>
    <w:tmpl w:val="108E91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5143739"/>
    <w:multiLevelType w:val="hybridMultilevel"/>
    <w:tmpl w:val="39F848DA"/>
    <w:lvl w:ilvl="0" w:tplc="040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2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3">
    <w:nsid w:val="6D082606"/>
    <w:multiLevelType w:val="hybridMultilevel"/>
    <w:tmpl w:val="4754BDAE"/>
    <w:lvl w:ilvl="0" w:tplc="85FC791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DB7F39"/>
    <w:multiLevelType w:val="hybridMultilevel"/>
    <w:tmpl w:val="EABA993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1"/>
    <w:rsid w:val="000011FD"/>
    <w:rsid w:val="0000549E"/>
    <w:rsid w:val="00006EE9"/>
    <w:rsid w:val="0001099A"/>
    <w:rsid w:val="00044444"/>
    <w:rsid w:val="000456EA"/>
    <w:rsid w:val="00064832"/>
    <w:rsid w:val="00064B31"/>
    <w:rsid w:val="00065F5F"/>
    <w:rsid w:val="0007476B"/>
    <w:rsid w:val="000774F4"/>
    <w:rsid w:val="00086619"/>
    <w:rsid w:val="00095F40"/>
    <w:rsid w:val="00096675"/>
    <w:rsid w:val="000A429E"/>
    <w:rsid w:val="000A7B94"/>
    <w:rsid w:val="000C0166"/>
    <w:rsid w:val="000C4324"/>
    <w:rsid w:val="000E0070"/>
    <w:rsid w:val="000F0125"/>
    <w:rsid w:val="000F0AC0"/>
    <w:rsid w:val="000F75DE"/>
    <w:rsid w:val="00105B86"/>
    <w:rsid w:val="00124157"/>
    <w:rsid w:val="001244C6"/>
    <w:rsid w:val="00125D5C"/>
    <w:rsid w:val="00130141"/>
    <w:rsid w:val="00140C56"/>
    <w:rsid w:val="00143054"/>
    <w:rsid w:val="00144EDD"/>
    <w:rsid w:val="0015443F"/>
    <w:rsid w:val="0018158B"/>
    <w:rsid w:val="001C2179"/>
    <w:rsid w:val="001C5697"/>
    <w:rsid w:val="001D4469"/>
    <w:rsid w:val="001F02CA"/>
    <w:rsid w:val="00201DE5"/>
    <w:rsid w:val="00201F0F"/>
    <w:rsid w:val="00207932"/>
    <w:rsid w:val="0022620E"/>
    <w:rsid w:val="0024508D"/>
    <w:rsid w:val="0024785B"/>
    <w:rsid w:val="0026145C"/>
    <w:rsid w:val="00297251"/>
    <w:rsid w:val="002A2658"/>
    <w:rsid w:val="002B0F08"/>
    <w:rsid w:val="002B424E"/>
    <w:rsid w:val="002D7ACF"/>
    <w:rsid w:val="002F086D"/>
    <w:rsid w:val="00303247"/>
    <w:rsid w:val="00336D05"/>
    <w:rsid w:val="00350C14"/>
    <w:rsid w:val="00362B96"/>
    <w:rsid w:val="003658DC"/>
    <w:rsid w:val="0038669A"/>
    <w:rsid w:val="003A7340"/>
    <w:rsid w:val="003B1C4B"/>
    <w:rsid w:val="003B1D00"/>
    <w:rsid w:val="003B3C7B"/>
    <w:rsid w:val="003B5EF3"/>
    <w:rsid w:val="003B6D7B"/>
    <w:rsid w:val="003C1654"/>
    <w:rsid w:val="003C3E57"/>
    <w:rsid w:val="003E0C5F"/>
    <w:rsid w:val="003E3C6A"/>
    <w:rsid w:val="00400B6D"/>
    <w:rsid w:val="00403524"/>
    <w:rsid w:val="00430E41"/>
    <w:rsid w:val="00435534"/>
    <w:rsid w:val="00455802"/>
    <w:rsid w:val="00457035"/>
    <w:rsid w:val="0047041C"/>
    <w:rsid w:val="0047251B"/>
    <w:rsid w:val="00475325"/>
    <w:rsid w:val="00483050"/>
    <w:rsid w:val="00490146"/>
    <w:rsid w:val="004A56AA"/>
    <w:rsid w:val="004B123B"/>
    <w:rsid w:val="004B2AEC"/>
    <w:rsid w:val="004B301D"/>
    <w:rsid w:val="004D0F05"/>
    <w:rsid w:val="004D7742"/>
    <w:rsid w:val="004E1553"/>
    <w:rsid w:val="004E1DE3"/>
    <w:rsid w:val="004E2068"/>
    <w:rsid w:val="004E2E12"/>
    <w:rsid w:val="004F5062"/>
    <w:rsid w:val="004F7491"/>
    <w:rsid w:val="005024E5"/>
    <w:rsid w:val="00521B94"/>
    <w:rsid w:val="005309CD"/>
    <w:rsid w:val="005604D5"/>
    <w:rsid w:val="00581472"/>
    <w:rsid w:val="005821E6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F093D"/>
    <w:rsid w:val="005F1F94"/>
    <w:rsid w:val="00612E41"/>
    <w:rsid w:val="006169F7"/>
    <w:rsid w:val="0063689F"/>
    <w:rsid w:val="00653066"/>
    <w:rsid w:val="006713BA"/>
    <w:rsid w:val="00685323"/>
    <w:rsid w:val="0068659C"/>
    <w:rsid w:val="00687E50"/>
    <w:rsid w:val="006B1472"/>
    <w:rsid w:val="006B5C29"/>
    <w:rsid w:val="006C35AE"/>
    <w:rsid w:val="006D45E1"/>
    <w:rsid w:val="006D4601"/>
    <w:rsid w:val="006E693F"/>
    <w:rsid w:val="006F00D8"/>
    <w:rsid w:val="006F107B"/>
    <w:rsid w:val="006F22B0"/>
    <w:rsid w:val="007268A7"/>
    <w:rsid w:val="00732B04"/>
    <w:rsid w:val="007331C8"/>
    <w:rsid w:val="007339F9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B03AB"/>
    <w:rsid w:val="007B2FC4"/>
    <w:rsid w:val="007C113F"/>
    <w:rsid w:val="007C43D8"/>
    <w:rsid w:val="007E0C50"/>
    <w:rsid w:val="007E0E1E"/>
    <w:rsid w:val="007E2FCE"/>
    <w:rsid w:val="007E48A5"/>
    <w:rsid w:val="007E6B3E"/>
    <w:rsid w:val="007F4705"/>
    <w:rsid w:val="007F5E98"/>
    <w:rsid w:val="008018D0"/>
    <w:rsid w:val="00813C2B"/>
    <w:rsid w:val="00830DAB"/>
    <w:rsid w:val="00833850"/>
    <w:rsid w:val="00835E3D"/>
    <w:rsid w:val="0085695C"/>
    <w:rsid w:val="00861090"/>
    <w:rsid w:val="008637C9"/>
    <w:rsid w:val="00865F5F"/>
    <w:rsid w:val="00867F51"/>
    <w:rsid w:val="0087612E"/>
    <w:rsid w:val="008943CC"/>
    <w:rsid w:val="00895945"/>
    <w:rsid w:val="008A7788"/>
    <w:rsid w:val="008B023D"/>
    <w:rsid w:val="008B25A6"/>
    <w:rsid w:val="008B54A5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E5143"/>
    <w:rsid w:val="009F303B"/>
    <w:rsid w:val="009F7B5E"/>
    <w:rsid w:val="00A023B7"/>
    <w:rsid w:val="00A03976"/>
    <w:rsid w:val="00A069DE"/>
    <w:rsid w:val="00A17E70"/>
    <w:rsid w:val="00A35BA6"/>
    <w:rsid w:val="00A454DC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963E6"/>
    <w:rsid w:val="00AA34D1"/>
    <w:rsid w:val="00AB254F"/>
    <w:rsid w:val="00AB661B"/>
    <w:rsid w:val="00AC0ED3"/>
    <w:rsid w:val="00AC5B57"/>
    <w:rsid w:val="00AD5A19"/>
    <w:rsid w:val="00AD5CE9"/>
    <w:rsid w:val="00AD60A6"/>
    <w:rsid w:val="00AE31AF"/>
    <w:rsid w:val="00AF6322"/>
    <w:rsid w:val="00B2127D"/>
    <w:rsid w:val="00B4087F"/>
    <w:rsid w:val="00B42A9B"/>
    <w:rsid w:val="00B4304D"/>
    <w:rsid w:val="00B511C3"/>
    <w:rsid w:val="00B60CA8"/>
    <w:rsid w:val="00B7426E"/>
    <w:rsid w:val="00B9034C"/>
    <w:rsid w:val="00B929FC"/>
    <w:rsid w:val="00B937F2"/>
    <w:rsid w:val="00B949BA"/>
    <w:rsid w:val="00B96C80"/>
    <w:rsid w:val="00BC03CA"/>
    <w:rsid w:val="00BD0BD7"/>
    <w:rsid w:val="00BE4B47"/>
    <w:rsid w:val="00BE7623"/>
    <w:rsid w:val="00BF16CC"/>
    <w:rsid w:val="00C000EC"/>
    <w:rsid w:val="00C01C78"/>
    <w:rsid w:val="00C209E4"/>
    <w:rsid w:val="00C42C58"/>
    <w:rsid w:val="00C44020"/>
    <w:rsid w:val="00C450F3"/>
    <w:rsid w:val="00C6193B"/>
    <w:rsid w:val="00C74BB1"/>
    <w:rsid w:val="00C759F7"/>
    <w:rsid w:val="00C80660"/>
    <w:rsid w:val="00C906BD"/>
    <w:rsid w:val="00C94715"/>
    <w:rsid w:val="00CB0128"/>
    <w:rsid w:val="00CC4D2E"/>
    <w:rsid w:val="00CD0753"/>
    <w:rsid w:val="00CD6FFA"/>
    <w:rsid w:val="00CE2135"/>
    <w:rsid w:val="00CE7159"/>
    <w:rsid w:val="00D17E9E"/>
    <w:rsid w:val="00D3057B"/>
    <w:rsid w:val="00D6469C"/>
    <w:rsid w:val="00D7364E"/>
    <w:rsid w:val="00D75140"/>
    <w:rsid w:val="00D75892"/>
    <w:rsid w:val="00D91B67"/>
    <w:rsid w:val="00DA3067"/>
    <w:rsid w:val="00DB4986"/>
    <w:rsid w:val="00DC07A4"/>
    <w:rsid w:val="00DC2CCA"/>
    <w:rsid w:val="00DD7153"/>
    <w:rsid w:val="00DF55DC"/>
    <w:rsid w:val="00E01209"/>
    <w:rsid w:val="00E07D13"/>
    <w:rsid w:val="00E371CE"/>
    <w:rsid w:val="00E51E58"/>
    <w:rsid w:val="00E6612D"/>
    <w:rsid w:val="00E7251E"/>
    <w:rsid w:val="00E76A85"/>
    <w:rsid w:val="00E8724D"/>
    <w:rsid w:val="00E900F5"/>
    <w:rsid w:val="00E937F3"/>
    <w:rsid w:val="00E948E2"/>
    <w:rsid w:val="00E9504E"/>
    <w:rsid w:val="00E9666A"/>
    <w:rsid w:val="00EC10B9"/>
    <w:rsid w:val="00ED66F8"/>
    <w:rsid w:val="00ED714D"/>
    <w:rsid w:val="00EF15E1"/>
    <w:rsid w:val="00F03F20"/>
    <w:rsid w:val="00F0479C"/>
    <w:rsid w:val="00F11B5D"/>
    <w:rsid w:val="00F12368"/>
    <w:rsid w:val="00F174C6"/>
    <w:rsid w:val="00F21EB7"/>
    <w:rsid w:val="00F44FDE"/>
    <w:rsid w:val="00F6680F"/>
    <w:rsid w:val="00F75480"/>
    <w:rsid w:val="00FA4D77"/>
    <w:rsid w:val="00FA79C5"/>
    <w:rsid w:val="00FB34C6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“ITS”</vt:lpstr>
    </vt:vector>
  </TitlesOfParts>
  <Company>国土交通省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Schenkenberger, Jens</cp:lastModifiedBy>
  <cp:revision>7</cp:revision>
  <cp:lastPrinted>2016-12-15T10:25:00Z</cp:lastPrinted>
  <dcterms:created xsi:type="dcterms:W3CDTF">2017-02-03T13:22:00Z</dcterms:created>
  <dcterms:modified xsi:type="dcterms:W3CDTF">2017-02-06T12:47:00Z</dcterms:modified>
</cp:coreProperties>
</file>