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9E" w:rsidRPr="00500D9E" w:rsidRDefault="00500D9E" w:rsidP="00500D9E">
      <w:pPr>
        <w:spacing w:after="120"/>
        <w:ind w:left="1276" w:right="261" w:hanging="1134"/>
        <w:jc w:val="both"/>
        <w:rPr>
          <w:sz w:val="24"/>
          <w:szCs w:val="24"/>
        </w:rPr>
      </w:pPr>
      <w:r w:rsidRPr="00500D9E">
        <w:rPr>
          <w:sz w:val="24"/>
          <w:szCs w:val="24"/>
        </w:rPr>
        <w:t>6.2.3.</w:t>
      </w:r>
      <w:r w:rsidRPr="00500D9E">
        <w:rPr>
          <w:sz w:val="24"/>
          <w:szCs w:val="24"/>
        </w:rPr>
        <w:tab/>
        <w:t>Additional sound emission provisions</w:t>
      </w:r>
    </w:p>
    <w:p w:rsidR="00500D9E" w:rsidRPr="00500D9E" w:rsidRDefault="00500D9E" w:rsidP="00500D9E">
      <w:pPr>
        <w:spacing w:after="120"/>
        <w:ind w:left="1276" w:right="261"/>
        <w:jc w:val="both"/>
        <w:rPr>
          <w:sz w:val="24"/>
          <w:szCs w:val="24"/>
        </w:rPr>
      </w:pPr>
      <w:r w:rsidRPr="00500D9E">
        <w:rPr>
          <w:sz w:val="24"/>
          <w:szCs w:val="24"/>
        </w:rPr>
        <w:t>The Additional Sound Emission Provisions (ASEP) apply only to vehicles of categories M</w:t>
      </w:r>
      <w:r w:rsidRPr="00500D9E">
        <w:rPr>
          <w:sz w:val="24"/>
          <w:szCs w:val="24"/>
          <w:vertAlign w:val="subscript"/>
        </w:rPr>
        <w:t>1</w:t>
      </w:r>
      <w:r w:rsidRPr="00500D9E">
        <w:rPr>
          <w:sz w:val="24"/>
          <w:szCs w:val="24"/>
        </w:rPr>
        <w:t xml:space="preserve"> and N</w:t>
      </w:r>
      <w:r w:rsidRPr="00500D9E">
        <w:rPr>
          <w:sz w:val="24"/>
          <w:szCs w:val="24"/>
          <w:vertAlign w:val="subscript"/>
        </w:rPr>
        <w:t>1</w:t>
      </w:r>
      <w:r w:rsidRPr="00500D9E">
        <w:rPr>
          <w:sz w:val="24"/>
          <w:szCs w:val="24"/>
        </w:rPr>
        <w:t xml:space="preserve"> equipped with an internal combustion engine.</w:t>
      </w:r>
    </w:p>
    <w:p w:rsidR="00500D9E" w:rsidRPr="00500D9E" w:rsidRDefault="00500D9E" w:rsidP="00500D9E">
      <w:pPr>
        <w:spacing w:after="120"/>
        <w:ind w:left="1276" w:right="261"/>
        <w:jc w:val="both"/>
        <w:rPr>
          <w:sz w:val="24"/>
          <w:szCs w:val="24"/>
        </w:rPr>
      </w:pPr>
      <w:r w:rsidRPr="00500D9E">
        <w:rPr>
          <w:sz w:val="24"/>
          <w:szCs w:val="24"/>
        </w:rPr>
        <w:t xml:space="preserve">Vehicles are deemed to fulfil the requirements of Annex 7, if the vehicle manufacturer provides technical documents to the type approval authority showing, that the difference between maximum and minimum engine speed of the vehicles at BB' for any test condition inside the ASEP control range defined in paragraph 3.3. </w:t>
      </w:r>
      <w:proofErr w:type="gramStart"/>
      <w:r w:rsidRPr="00500D9E">
        <w:rPr>
          <w:sz w:val="24"/>
          <w:szCs w:val="24"/>
        </w:rPr>
        <w:t>of</w:t>
      </w:r>
      <w:proofErr w:type="gramEnd"/>
      <w:r w:rsidRPr="00500D9E">
        <w:rPr>
          <w:sz w:val="24"/>
          <w:szCs w:val="24"/>
        </w:rPr>
        <w:t xml:space="preserve"> Annex 7 to this Regulation (including Annex 3 conditions) does not exceed 0.15 x S. This article is intended especially for non-lockable transmissions with variable gear ratios (CVT).</w:t>
      </w:r>
    </w:p>
    <w:p w:rsidR="00500D9E" w:rsidRPr="00500D9E" w:rsidRDefault="00500D9E" w:rsidP="00500D9E">
      <w:pPr>
        <w:spacing w:after="120"/>
        <w:ind w:left="1276" w:right="261"/>
        <w:jc w:val="both"/>
        <w:rPr>
          <w:sz w:val="24"/>
          <w:szCs w:val="24"/>
        </w:rPr>
      </w:pPr>
      <w:r w:rsidRPr="00500D9E">
        <w:rPr>
          <w:sz w:val="24"/>
          <w:szCs w:val="24"/>
        </w:rPr>
        <w:t>Vehicles are exempted from ASEP if one of the following conditions is fulfilled:</w:t>
      </w:r>
    </w:p>
    <w:p w:rsidR="00500D9E" w:rsidRPr="00500D9E" w:rsidRDefault="00500D9E" w:rsidP="00500D9E">
      <w:pPr>
        <w:spacing w:after="120"/>
        <w:ind w:left="1276" w:right="261" w:hanging="567"/>
        <w:jc w:val="both"/>
        <w:rPr>
          <w:sz w:val="24"/>
          <w:szCs w:val="24"/>
        </w:rPr>
      </w:pPr>
      <w:r w:rsidRPr="00500D9E">
        <w:rPr>
          <w:sz w:val="24"/>
          <w:szCs w:val="24"/>
        </w:rPr>
        <w:t>(a)</w:t>
      </w:r>
      <w:r w:rsidRPr="00500D9E">
        <w:rPr>
          <w:sz w:val="24"/>
          <w:szCs w:val="24"/>
        </w:rPr>
        <w:tab/>
        <w:t>For vehicles of category N</w:t>
      </w:r>
      <w:r w:rsidRPr="00500D9E">
        <w:rPr>
          <w:sz w:val="24"/>
          <w:szCs w:val="24"/>
          <w:vertAlign w:val="subscript"/>
        </w:rPr>
        <w:t>1</w:t>
      </w:r>
      <w:r w:rsidRPr="00500D9E">
        <w:rPr>
          <w:sz w:val="24"/>
          <w:szCs w:val="24"/>
        </w:rPr>
        <w:t>, if the engine capacity does not exceed 660 cc and the power-to-mass ratio PMR calculated by using the technically permissible maximum laden mass does not exceed 35.</w:t>
      </w:r>
    </w:p>
    <w:p w:rsidR="00500D9E" w:rsidRPr="00500D9E" w:rsidRDefault="00500D9E" w:rsidP="00500D9E">
      <w:pPr>
        <w:spacing w:after="120"/>
        <w:ind w:left="1276" w:right="261" w:hanging="567"/>
        <w:jc w:val="both"/>
        <w:rPr>
          <w:sz w:val="24"/>
          <w:szCs w:val="24"/>
        </w:rPr>
      </w:pPr>
      <w:r w:rsidRPr="00500D9E">
        <w:rPr>
          <w:sz w:val="24"/>
          <w:szCs w:val="24"/>
        </w:rPr>
        <w:t>(b)</w:t>
      </w:r>
      <w:r w:rsidRPr="00500D9E">
        <w:rPr>
          <w:sz w:val="24"/>
          <w:szCs w:val="24"/>
        </w:rPr>
        <w:tab/>
        <w:t>For vehicles of category N</w:t>
      </w:r>
      <w:r w:rsidRPr="00500D9E">
        <w:rPr>
          <w:sz w:val="24"/>
          <w:szCs w:val="24"/>
          <w:vertAlign w:val="subscript"/>
        </w:rPr>
        <w:t>1</w:t>
      </w:r>
      <w:r w:rsidRPr="00500D9E">
        <w:rPr>
          <w:sz w:val="24"/>
          <w:szCs w:val="24"/>
        </w:rPr>
        <w:t>, if the payload is at least 850 kg and the power-to-mass ratio calculated by using the technically permissible maximum laden mass does not exceed 40.</w:t>
      </w:r>
    </w:p>
    <w:p w:rsidR="00500D9E" w:rsidRPr="00500D9E" w:rsidRDefault="00500D9E" w:rsidP="00500D9E">
      <w:pPr>
        <w:spacing w:after="120"/>
        <w:ind w:left="1276" w:right="261" w:hanging="567"/>
        <w:jc w:val="both"/>
        <w:rPr>
          <w:sz w:val="24"/>
          <w:szCs w:val="24"/>
        </w:rPr>
      </w:pPr>
      <w:r w:rsidRPr="00500D9E">
        <w:rPr>
          <w:sz w:val="24"/>
          <w:szCs w:val="24"/>
        </w:rPr>
        <w:t xml:space="preserve">(c) </w:t>
      </w:r>
      <w:r w:rsidRPr="00500D9E">
        <w:rPr>
          <w:sz w:val="24"/>
          <w:szCs w:val="24"/>
        </w:rPr>
        <w:tab/>
        <w:t>For vehicles of category N</w:t>
      </w:r>
      <w:r w:rsidRPr="00500D9E">
        <w:rPr>
          <w:sz w:val="24"/>
          <w:szCs w:val="24"/>
          <w:vertAlign w:val="subscript"/>
        </w:rPr>
        <w:t>1</w:t>
      </w:r>
      <w:r w:rsidRPr="00500D9E">
        <w:rPr>
          <w:sz w:val="24"/>
          <w:szCs w:val="24"/>
        </w:rPr>
        <w:t xml:space="preserve"> or M</w:t>
      </w:r>
      <w:r w:rsidRPr="00500D9E">
        <w:rPr>
          <w:sz w:val="24"/>
          <w:szCs w:val="24"/>
          <w:vertAlign w:val="subscript"/>
        </w:rPr>
        <w:t>1</w:t>
      </w:r>
      <w:r w:rsidRPr="00500D9E">
        <w:rPr>
          <w:sz w:val="24"/>
          <w:szCs w:val="24"/>
        </w:rPr>
        <w:t xml:space="preserve"> derived from N</w:t>
      </w:r>
      <w:r w:rsidRPr="00500D9E">
        <w:rPr>
          <w:sz w:val="24"/>
          <w:szCs w:val="24"/>
          <w:vertAlign w:val="subscript"/>
        </w:rPr>
        <w:t>1</w:t>
      </w:r>
      <w:r w:rsidRPr="00500D9E">
        <w:rPr>
          <w:sz w:val="24"/>
          <w:szCs w:val="24"/>
        </w:rPr>
        <w:t xml:space="preserve"> if the technically permissible maximum laden mass is greater than 2.5 tons and the R-point height is greater than 850 mm from the ground and the power- to-mass ratio calculated by using the technically permissible maximum laden mass does not exceed 40.</w:t>
      </w:r>
    </w:p>
    <w:p w:rsidR="00500D9E" w:rsidRPr="00500D9E" w:rsidRDefault="00500D9E" w:rsidP="00500D9E">
      <w:pPr>
        <w:spacing w:after="120"/>
        <w:ind w:left="1276" w:right="261"/>
        <w:jc w:val="both"/>
        <w:rPr>
          <w:sz w:val="24"/>
          <w:szCs w:val="24"/>
        </w:rPr>
      </w:pPr>
      <w:r w:rsidRPr="00500D9E">
        <w:rPr>
          <w:sz w:val="24"/>
          <w:szCs w:val="24"/>
        </w:rPr>
        <w:t>The sound emission of the vehicle under typical on-road driving conditions, which are different from those under which the type-approval test set out in Annex 3 and Annex 7 was carried out, shall not deviate from the test result in a significant manner.</w:t>
      </w:r>
    </w:p>
    <w:p w:rsidR="00500D9E" w:rsidRPr="00500D9E" w:rsidRDefault="00500D9E" w:rsidP="00500D9E">
      <w:pPr>
        <w:spacing w:after="120"/>
        <w:ind w:left="1276" w:right="261" w:hanging="1134"/>
        <w:jc w:val="both"/>
        <w:rPr>
          <w:b/>
          <w:color w:val="002060"/>
          <w:sz w:val="24"/>
          <w:szCs w:val="24"/>
        </w:rPr>
      </w:pPr>
      <w:r w:rsidRPr="00500D9E">
        <w:rPr>
          <w:b/>
          <w:color w:val="002060"/>
          <w:sz w:val="24"/>
          <w:szCs w:val="24"/>
        </w:rPr>
        <w:tab/>
      </w:r>
      <w:r w:rsidRPr="00500D9E">
        <w:rPr>
          <w:b/>
          <w:color w:val="00B050"/>
          <w:sz w:val="24"/>
          <w:szCs w:val="24"/>
        </w:rPr>
        <w:t>Any o</w:t>
      </w:r>
      <w:bookmarkStart w:id="0" w:name="_GoBack"/>
      <w:bookmarkEnd w:id="0"/>
      <w:r w:rsidRPr="00500D9E">
        <w:rPr>
          <w:b/>
          <w:color w:val="00B050"/>
          <w:sz w:val="24"/>
          <w:szCs w:val="24"/>
        </w:rPr>
        <w:t>ther electric sound enhancement system for the purpose of the exterior sound emission shall be operational during the type-approval test</w:t>
      </w:r>
    </w:p>
    <w:p w:rsidR="00500D9E" w:rsidRPr="00500D9E" w:rsidRDefault="00500D9E" w:rsidP="00500D9E">
      <w:pPr>
        <w:spacing w:after="120"/>
        <w:ind w:left="1276" w:right="261" w:hanging="1134"/>
        <w:jc w:val="both"/>
        <w:rPr>
          <w:sz w:val="24"/>
          <w:szCs w:val="24"/>
        </w:rPr>
      </w:pPr>
      <w:r w:rsidRPr="00500D9E">
        <w:rPr>
          <w:sz w:val="24"/>
          <w:szCs w:val="24"/>
        </w:rPr>
        <w:t>6.2.3.1.</w:t>
      </w:r>
      <w:r w:rsidRPr="00500D9E">
        <w:rPr>
          <w:sz w:val="24"/>
          <w:szCs w:val="24"/>
        </w:rPr>
        <w:tab/>
        <w:t>The vehicle manufacturer shall not intentionally alter, adjust, or introduce any mechanical, electrical, thermal, or other device or procedure solely for the purpose of fulfilling the sound emission requirements as specified under this Regulation which is not operational during typical on-road operation.</w:t>
      </w:r>
    </w:p>
    <w:p w:rsidR="00500D9E" w:rsidRPr="00500D9E" w:rsidRDefault="00500D9E" w:rsidP="00500D9E">
      <w:pPr>
        <w:spacing w:after="120"/>
        <w:ind w:left="1276" w:right="261" w:hanging="1134"/>
        <w:jc w:val="both"/>
        <w:rPr>
          <w:sz w:val="24"/>
          <w:szCs w:val="24"/>
        </w:rPr>
      </w:pPr>
      <w:r w:rsidRPr="00500D9E">
        <w:rPr>
          <w:sz w:val="24"/>
          <w:szCs w:val="24"/>
        </w:rPr>
        <w:t>6.2.3.2.</w:t>
      </w:r>
      <w:r w:rsidRPr="00500D9E">
        <w:rPr>
          <w:sz w:val="24"/>
          <w:szCs w:val="24"/>
        </w:rPr>
        <w:tab/>
        <w:t>The vehicle shall meet the requirements of Annex 7 to this Regulation.</w:t>
      </w:r>
    </w:p>
    <w:p w:rsidR="00500D9E" w:rsidRPr="00500D9E" w:rsidRDefault="00500D9E" w:rsidP="00500D9E">
      <w:pPr>
        <w:spacing w:after="120"/>
        <w:ind w:left="1276" w:right="261" w:hanging="1134"/>
        <w:jc w:val="both"/>
        <w:rPr>
          <w:sz w:val="24"/>
          <w:szCs w:val="24"/>
        </w:rPr>
      </w:pPr>
      <w:r w:rsidRPr="00500D9E">
        <w:rPr>
          <w:sz w:val="24"/>
          <w:szCs w:val="24"/>
        </w:rPr>
        <w:t>6.2.3.3.</w:t>
      </w:r>
      <w:r w:rsidRPr="00500D9E">
        <w:rPr>
          <w:sz w:val="24"/>
          <w:szCs w:val="24"/>
        </w:rPr>
        <w:tab/>
        <w:t xml:space="preserve">In applying for type approval, the manufacturer shall provide a statement, in conformity with the Appendix of Annex 7, that the vehicle type to be approved complies with the requirements of paragraph 6.2.3. </w:t>
      </w:r>
      <w:proofErr w:type="gramStart"/>
      <w:r w:rsidRPr="00500D9E">
        <w:rPr>
          <w:sz w:val="24"/>
          <w:szCs w:val="24"/>
        </w:rPr>
        <w:t>of</w:t>
      </w:r>
      <w:proofErr w:type="gramEnd"/>
      <w:r w:rsidRPr="00500D9E">
        <w:rPr>
          <w:sz w:val="24"/>
          <w:szCs w:val="24"/>
        </w:rPr>
        <w:t xml:space="preserve"> this Regulation.</w:t>
      </w:r>
    </w:p>
    <w:p w:rsidR="00707510" w:rsidRDefault="00707510"/>
    <w:sectPr w:rsidR="00707510" w:rsidSect="00500D9E">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9E"/>
    <w:rsid w:val="00500D9E"/>
    <w:rsid w:val="0070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36D94-1C3D-40D7-A2A3-323C0E37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9E"/>
    <w:pPr>
      <w:suppressAutoHyphens/>
      <w:spacing w:after="0" w:line="240" w:lineRule="atLeast"/>
    </w:pPr>
    <w:rPr>
      <w:rFonts w:ascii="Times New Roman" w:eastAsia="Times New Roman" w:hAnsi="Times New Roman"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SILVANI Francoise</dc:creator>
  <cp:keywords/>
  <dc:description/>
  <cp:lastModifiedBy>SILVANI Francoise</cp:lastModifiedBy>
  <cp:revision>1</cp:revision>
  <dcterms:created xsi:type="dcterms:W3CDTF">2017-05-11T16:38:00Z</dcterms:created>
  <dcterms:modified xsi:type="dcterms:W3CDTF">2017-05-11T16:40:00Z</dcterms:modified>
</cp:coreProperties>
</file>