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AB" w:rsidRPr="008E4FAB" w:rsidRDefault="008E4FAB" w:rsidP="008E4FAB">
      <w:pPr>
        <w:jc w:val="center"/>
        <w:rPr>
          <w:sz w:val="16"/>
          <w:szCs w:val="16"/>
          <w:lang w:val="en-GB"/>
        </w:rPr>
      </w:pPr>
      <w:r w:rsidRPr="008E4FAB">
        <w:rPr>
          <w:sz w:val="16"/>
          <w:szCs w:val="16"/>
          <w:lang w:val="en-GB"/>
        </w:rPr>
        <w:t>SPANISH PROPOSAL FOR MODIFICATION OF THE R-10</w:t>
      </w:r>
      <w:r w:rsidR="00B32A94">
        <w:rPr>
          <w:sz w:val="16"/>
          <w:szCs w:val="16"/>
          <w:lang w:val="en-GB"/>
        </w:rPr>
        <w:t>-05</w:t>
      </w:r>
    </w:p>
    <w:p w:rsidR="008E4FAB" w:rsidRDefault="008E4FAB" w:rsidP="008E4FAB">
      <w:pPr>
        <w:jc w:val="both"/>
        <w:rPr>
          <w:sz w:val="16"/>
          <w:szCs w:val="16"/>
          <w:lang w:val="en-GB"/>
        </w:rPr>
      </w:pPr>
      <w:r w:rsidRPr="008E4FAB">
        <w:rPr>
          <w:sz w:val="16"/>
          <w:szCs w:val="16"/>
          <w:lang w:val="en-GB"/>
        </w:rPr>
        <w:t xml:space="preserve">In recent years manufacturers of electric vehicles, especially heavy vehicles, trucks or buses, are trying to load the vehicles in the shortest possible time, which is increasing the current </w:t>
      </w:r>
      <w:r>
        <w:rPr>
          <w:sz w:val="16"/>
          <w:szCs w:val="16"/>
          <w:lang w:val="en-GB"/>
        </w:rPr>
        <w:t xml:space="preserve">of charge </w:t>
      </w:r>
      <w:r w:rsidRPr="008E4FAB">
        <w:rPr>
          <w:sz w:val="16"/>
          <w:szCs w:val="16"/>
          <w:lang w:val="en-GB"/>
        </w:rPr>
        <w:t>especially in the mode of</w:t>
      </w:r>
      <w:r>
        <w:rPr>
          <w:sz w:val="16"/>
          <w:szCs w:val="16"/>
          <w:lang w:val="en-GB"/>
        </w:rPr>
        <w:t xml:space="preserve"> charge</w:t>
      </w:r>
      <w:r w:rsidRPr="008E4FAB">
        <w:rPr>
          <w:sz w:val="16"/>
          <w:szCs w:val="16"/>
          <w:lang w:val="en-GB"/>
        </w:rPr>
        <w:t xml:space="preserve"> in DC, so </w:t>
      </w:r>
      <w:r>
        <w:rPr>
          <w:sz w:val="16"/>
          <w:szCs w:val="16"/>
          <w:lang w:val="en-GB"/>
        </w:rPr>
        <w:t xml:space="preserve">for </w:t>
      </w:r>
      <w:r w:rsidRPr="008E4FAB">
        <w:rPr>
          <w:sz w:val="16"/>
          <w:szCs w:val="16"/>
          <w:lang w:val="en-GB"/>
        </w:rPr>
        <w:t>that</w:t>
      </w:r>
      <w:r>
        <w:rPr>
          <w:sz w:val="16"/>
          <w:szCs w:val="16"/>
          <w:lang w:val="en-GB"/>
        </w:rPr>
        <w:t xml:space="preserve"> reason,</w:t>
      </w:r>
      <w:r w:rsidRPr="008E4FAB">
        <w:rPr>
          <w:sz w:val="16"/>
          <w:szCs w:val="16"/>
          <w:lang w:val="en-GB"/>
        </w:rPr>
        <w:t xml:space="preserve"> the power of the artificial networks that the laboratory must use, must be of greater capacity each time, and not even the manufacturers of these devices </w:t>
      </w:r>
      <w:r>
        <w:rPr>
          <w:sz w:val="16"/>
          <w:szCs w:val="16"/>
          <w:lang w:val="en-GB"/>
        </w:rPr>
        <w:t>can build</w:t>
      </w:r>
      <w:r w:rsidRPr="008E4FAB">
        <w:rPr>
          <w:sz w:val="16"/>
          <w:szCs w:val="16"/>
          <w:lang w:val="en-GB"/>
        </w:rPr>
        <w:t xml:space="preserve"> them, it is difficult to know where the maximum current will be that they would arrive, and of course for the laboratories that would be forced to go acquiring new networks every time.</w:t>
      </w:r>
      <w:r>
        <w:rPr>
          <w:sz w:val="16"/>
          <w:szCs w:val="16"/>
          <w:lang w:val="en-GB"/>
        </w:rPr>
        <w:t xml:space="preserve"> </w:t>
      </w:r>
    </w:p>
    <w:p w:rsidR="008E4FAB" w:rsidRPr="008E4FAB" w:rsidRDefault="008E4FAB" w:rsidP="008E4FAB">
      <w:pPr>
        <w:jc w:val="both"/>
        <w:rPr>
          <w:sz w:val="16"/>
          <w:szCs w:val="16"/>
          <w:lang w:val="en-GB"/>
        </w:rPr>
      </w:pPr>
      <w:r>
        <w:rPr>
          <w:sz w:val="16"/>
          <w:szCs w:val="16"/>
          <w:lang w:val="en-GB"/>
        </w:rPr>
        <w:t>For that reason I have prepared this proposal:</w:t>
      </w:r>
    </w:p>
    <w:p w:rsidR="008E4FAB" w:rsidRPr="008E4FAB" w:rsidRDefault="008E4FAB" w:rsidP="008E4FAB">
      <w:pPr>
        <w:jc w:val="both"/>
        <w:rPr>
          <w:sz w:val="16"/>
          <w:szCs w:val="16"/>
          <w:lang w:val="en-GB"/>
        </w:rPr>
      </w:pPr>
      <w:r w:rsidRPr="008E4FAB">
        <w:rPr>
          <w:sz w:val="16"/>
          <w:szCs w:val="16"/>
          <w:lang w:val="en-GB"/>
        </w:rPr>
        <w:t xml:space="preserve">The current text of the regulation referring to the current </w:t>
      </w:r>
      <w:r>
        <w:rPr>
          <w:sz w:val="16"/>
          <w:szCs w:val="16"/>
          <w:lang w:val="en-GB"/>
        </w:rPr>
        <w:t xml:space="preserve">of </w:t>
      </w:r>
      <w:r>
        <w:rPr>
          <w:sz w:val="16"/>
          <w:szCs w:val="16"/>
          <w:lang w:val="en-GB"/>
        </w:rPr>
        <w:t>charge</w:t>
      </w:r>
      <w:r w:rsidRPr="008E4FAB">
        <w:rPr>
          <w:sz w:val="16"/>
          <w:szCs w:val="16"/>
          <w:lang w:val="en-GB"/>
        </w:rPr>
        <w:t xml:space="preserve"> during the majority of the tests where artificial networks are to be used is the following:</w:t>
      </w:r>
    </w:p>
    <w:p w:rsidR="008E4FAB" w:rsidRPr="008E4FAB" w:rsidRDefault="008E4FAB" w:rsidP="008E4FAB">
      <w:pPr>
        <w:jc w:val="both"/>
        <w:rPr>
          <w:i/>
          <w:sz w:val="16"/>
          <w:szCs w:val="16"/>
          <w:lang w:val="en-GB"/>
        </w:rPr>
      </w:pPr>
      <w:r w:rsidRPr="008E4FAB">
        <w:rPr>
          <w:i/>
          <w:sz w:val="16"/>
          <w:szCs w:val="16"/>
          <w:lang w:val="en-GB"/>
        </w:rPr>
        <w:t>“</w:t>
      </w:r>
      <w:r w:rsidRPr="008E4FAB">
        <w:rPr>
          <w:i/>
          <w:sz w:val="16"/>
          <w:szCs w:val="16"/>
          <w:lang w:val="en-GB"/>
        </w:rPr>
        <w:t xml:space="preserve">The state of charge (SOC) of the traction battery shall be kept between 20 per cent and 80 per cent of the maximum SOC during the whole frequency range measurement (this may lead to split the measurement into different sub-bands with the need to discharge the vehicle's traction battery before starting the next sub-bands). </w:t>
      </w:r>
      <w:r w:rsidRPr="00BA34AD">
        <w:rPr>
          <w:i/>
          <w:sz w:val="16"/>
          <w:szCs w:val="16"/>
          <w:highlight w:val="yellow"/>
          <w:lang w:val="en-GB"/>
        </w:rPr>
        <w:t>If the current consumption is adjusted</w:t>
      </w:r>
      <w:r w:rsidRPr="008E4FAB">
        <w:rPr>
          <w:i/>
          <w:sz w:val="16"/>
          <w:szCs w:val="16"/>
          <w:lang w:val="en-GB"/>
        </w:rPr>
        <w:t>, then the current shall be at least 80 per cent of its nominal value</w:t>
      </w:r>
      <w:r w:rsidRPr="008E4FAB">
        <w:rPr>
          <w:i/>
          <w:sz w:val="16"/>
          <w:szCs w:val="16"/>
          <w:lang w:val="en-GB"/>
        </w:rPr>
        <w:t>”</w:t>
      </w:r>
      <w:r w:rsidRPr="008E4FAB">
        <w:rPr>
          <w:i/>
          <w:sz w:val="16"/>
          <w:szCs w:val="16"/>
          <w:lang w:val="en-GB"/>
        </w:rPr>
        <w:t>.</w:t>
      </w:r>
    </w:p>
    <w:p w:rsidR="008E4FAB" w:rsidRPr="008E4FAB" w:rsidRDefault="008E4FAB" w:rsidP="008E4FAB">
      <w:pPr>
        <w:jc w:val="both"/>
        <w:rPr>
          <w:sz w:val="16"/>
          <w:szCs w:val="16"/>
          <w:lang w:val="en-GB"/>
        </w:rPr>
      </w:pPr>
      <w:r w:rsidRPr="008E4FAB">
        <w:rPr>
          <w:sz w:val="16"/>
          <w:szCs w:val="16"/>
          <w:lang w:val="en-GB"/>
        </w:rPr>
        <w:t>With this text it is understood that when the current</w:t>
      </w:r>
      <w:r>
        <w:rPr>
          <w:sz w:val="16"/>
          <w:szCs w:val="16"/>
          <w:lang w:val="en-GB"/>
        </w:rPr>
        <w:t xml:space="preserve"> of charge </w:t>
      </w:r>
      <w:r w:rsidRPr="008E4FAB">
        <w:rPr>
          <w:sz w:val="16"/>
          <w:szCs w:val="16"/>
          <w:lang w:val="en-GB"/>
        </w:rPr>
        <w:t xml:space="preserve">can be adjusted, that it is adjusted to 80%, but does not specify if this possibility of adjustment, is implemented by the vehicle or can be external (recharging station). Technically if the current </w:t>
      </w:r>
      <w:r>
        <w:rPr>
          <w:sz w:val="16"/>
          <w:szCs w:val="16"/>
          <w:lang w:val="en-GB"/>
        </w:rPr>
        <w:t xml:space="preserve">of charge </w:t>
      </w:r>
      <w:r w:rsidRPr="008E4FAB">
        <w:rPr>
          <w:sz w:val="16"/>
          <w:szCs w:val="16"/>
          <w:lang w:val="en-GB"/>
        </w:rPr>
        <w:t xml:space="preserve">is NOT regulated by the vehicle, it does not really affect the tests, </w:t>
      </w:r>
      <w:r>
        <w:rPr>
          <w:sz w:val="16"/>
          <w:szCs w:val="16"/>
          <w:lang w:val="en-GB"/>
        </w:rPr>
        <w:t xml:space="preserve">Which really </w:t>
      </w:r>
      <w:r w:rsidRPr="008E4FAB">
        <w:rPr>
          <w:sz w:val="16"/>
          <w:szCs w:val="16"/>
          <w:lang w:val="en-GB"/>
        </w:rPr>
        <w:t>affect</w:t>
      </w:r>
      <w:r>
        <w:rPr>
          <w:sz w:val="16"/>
          <w:szCs w:val="16"/>
          <w:lang w:val="en-GB"/>
        </w:rPr>
        <w:t xml:space="preserve"> during test it is</w:t>
      </w:r>
      <w:r w:rsidRPr="008E4FAB">
        <w:rPr>
          <w:sz w:val="16"/>
          <w:szCs w:val="16"/>
          <w:lang w:val="en-GB"/>
        </w:rPr>
        <w:t xml:space="preserve"> the installation in the vehicle of the wiring, from the point of view of antenna effect, and the systems of commu</w:t>
      </w:r>
      <w:r w:rsidR="00B32A94">
        <w:rPr>
          <w:sz w:val="16"/>
          <w:szCs w:val="16"/>
          <w:lang w:val="en-GB"/>
        </w:rPr>
        <w:t>nication and monitoring of the charge</w:t>
      </w:r>
      <w:r w:rsidRPr="008E4FAB">
        <w:rPr>
          <w:sz w:val="16"/>
          <w:szCs w:val="16"/>
          <w:lang w:val="en-GB"/>
        </w:rPr>
        <w:t xml:space="preserve">, </w:t>
      </w:r>
      <w:r w:rsidR="00B32A94">
        <w:rPr>
          <w:sz w:val="16"/>
          <w:szCs w:val="16"/>
          <w:lang w:val="en-GB"/>
        </w:rPr>
        <w:t>which</w:t>
      </w:r>
      <w:r w:rsidRPr="008E4FAB">
        <w:rPr>
          <w:sz w:val="16"/>
          <w:szCs w:val="16"/>
          <w:lang w:val="en-GB"/>
        </w:rPr>
        <w:t xml:space="preserve"> operate in the same way with more or less </w:t>
      </w:r>
      <w:r w:rsidR="00B32A94">
        <w:rPr>
          <w:sz w:val="16"/>
          <w:szCs w:val="16"/>
          <w:lang w:val="en-GB"/>
        </w:rPr>
        <w:t>current of charge, but in no case</w:t>
      </w:r>
      <w:r w:rsidRPr="008E4FAB">
        <w:rPr>
          <w:sz w:val="16"/>
          <w:szCs w:val="16"/>
          <w:lang w:val="en-GB"/>
        </w:rPr>
        <w:t xml:space="preserve"> the current</w:t>
      </w:r>
      <w:r w:rsidR="00B32A94">
        <w:rPr>
          <w:sz w:val="16"/>
          <w:szCs w:val="16"/>
          <w:lang w:val="en-GB"/>
        </w:rPr>
        <w:t xml:space="preserve"> of charge</w:t>
      </w:r>
      <w:r w:rsidRPr="008E4FAB">
        <w:rPr>
          <w:sz w:val="16"/>
          <w:szCs w:val="16"/>
          <w:lang w:val="en-GB"/>
        </w:rPr>
        <w:t xml:space="preserve">. </w:t>
      </w:r>
      <w:r w:rsidR="00B32A94">
        <w:rPr>
          <w:sz w:val="16"/>
          <w:szCs w:val="16"/>
          <w:lang w:val="en-GB"/>
        </w:rPr>
        <w:t>I</w:t>
      </w:r>
      <w:r w:rsidRPr="008E4FAB">
        <w:rPr>
          <w:sz w:val="16"/>
          <w:szCs w:val="16"/>
          <w:lang w:val="en-GB"/>
        </w:rPr>
        <w:t xml:space="preserve">t would be totally different if </w:t>
      </w:r>
      <w:r w:rsidR="00B32A94">
        <w:rPr>
          <w:sz w:val="16"/>
          <w:szCs w:val="16"/>
          <w:lang w:val="en-GB"/>
        </w:rPr>
        <w:t>the</w:t>
      </w:r>
      <w:r w:rsidRPr="008E4FAB">
        <w:rPr>
          <w:sz w:val="16"/>
          <w:szCs w:val="16"/>
          <w:lang w:val="en-GB"/>
        </w:rPr>
        <w:t xml:space="preserve"> regulation system </w:t>
      </w:r>
      <w:r w:rsidR="00B32A94">
        <w:rPr>
          <w:sz w:val="16"/>
          <w:szCs w:val="16"/>
          <w:lang w:val="en-GB"/>
        </w:rPr>
        <w:t>is in</w:t>
      </w:r>
      <w:r w:rsidRPr="008E4FAB">
        <w:rPr>
          <w:sz w:val="16"/>
          <w:szCs w:val="16"/>
          <w:lang w:val="en-GB"/>
        </w:rPr>
        <w:t xml:space="preserve">side the vehicle, because in itself it could </w:t>
      </w:r>
      <w:r w:rsidR="00B32A94">
        <w:rPr>
          <w:sz w:val="16"/>
          <w:szCs w:val="16"/>
          <w:lang w:val="en-GB"/>
        </w:rPr>
        <w:t>radiate</w:t>
      </w:r>
      <w:r w:rsidRPr="008E4FAB">
        <w:rPr>
          <w:sz w:val="16"/>
          <w:szCs w:val="16"/>
          <w:lang w:val="en-GB"/>
        </w:rPr>
        <w:t xml:space="preserve"> or be affected by a radiation.</w:t>
      </w:r>
    </w:p>
    <w:p w:rsidR="008E4FAB" w:rsidRPr="008E4FAB" w:rsidRDefault="008E4FAB" w:rsidP="008E4FAB">
      <w:pPr>
        <w:jc w:val="both"/>
        <w:rPr>
          <w:sz w:val="16"/>
          <w:szCs w:val="16"/>
          <w:lang w:val="en-GB"/>
        </w:rPr>
      </w:pPr>
      <w:r w:rsidRPr="008E4FAB">
        <w:rPr>
          <w:sz w:val="16"/>
          <w:szCs w:val="16"/>
          <w:lang w:val="en-GB"/>
        </w:rPr>
        <w:t>For all this, the proposed change would be as follows:</w:t>
      </w:r>
    </w:p>
    <w:p w:rsidR="008E4FAB" w:rsidRPr="008E4FAB" w:rsidRDefault="008E4FAB" w:rsidP="008E4FAB">
      <w:pPr>
        <w:jc w:val="both"/>
        <w:rPr>
          <w:sz w:val="16"/>
          <w:szCs w:val="16"/>
          <w:lang w:val="en-GB"/>
        </w:rPr>
      </w:pPr>
      <w:r w:rsidRPr="008E4FAB">
        <w:rPr>
          <w:sz w:val="16"/>
          <w:szCs w:val="16"/>
          <w:lang w:val="en-GB"/>
        </w:rPr>
        <w:t>Change the phrase</w:t>
      </w:r>
      <w:r w:rsidRPr="00BA34AD">
        <w:rPr>
          <w:i/>
          <w:sz w:val="16"/>
          <w:szCs w:val="16"/>
          <w:lang w:val="en-GB"/>
        </w:rPr>
        <w:t xml:space="preserve"> </w:t>
      </w:r>
      <w:r w:rsidRPr="00BA34AD">
        <w:rPr>
          <w:i/>
          <w:sz w:val="16"/>
          <w:szCs w:val="16"/>
          <w:highlight w:val="yellow"/>
          <w:lang w:val="en-GB"/>
        </w:rPr>
        <w:t>"If the current consumption</w:t>
      </w:r>
      <w:r w:rsidR="00BA34AD" w:rsidRPr="00BA34AD">
        <w:rPr>
          <w:i/>
          <w:sz w:val="16"/>
          <w:szCs w:val="16"/>
          <w:highlight w:val="yellow"/>
          <w:lang w:val="en-GB"/>
        </w:rPr>
        <w:t xml:space="preserve"> is</w:t>
      </w:r>
      <w:r w:rsidRPr="00BA34AD">
        <w:rPr>
          <w:i/>
          <w:sz w:val="16"/>
          <w:szCs w:val="16"/>
          <w:highlight w:val="yellow"/>
          <w:lang w:val="en-GB"/>
        </w:rPr>
        <w:t xml:space="preserve"> adjusted"</w:t>
      </w:r>
      <w:r w:rsidRPr="008E4FAB">
        <w:rPr>
          <w:sz w:val="16"/>
          <w:szCs w:val="16"/>
          <w:lang w:val="en-GB"/>
        </w:rPr>
        <w:t xml:space="preserve"> by the following </w:t>
      </w:r>
      <w:r w:rsidRPr="00BA34AD">
        <w:rPr>
          <w:i/>
          <w:sz w:val="16"/>
          <w:szCs w:val="16"/>
          <w:highlight w:val="yellow"/>
          <w:lang w:val="en-GB"/>
        </w:rPr>
        <w:t>"If the current consumption can be adjusted for a system installed in</w:t>
      </w:r>
      <w:r w:rsidR="00BA34AD">
        <w:rPr>
          <w:i/>
          <w:sz w:val="16"/>
          <w:szCs w:val="16"/>
          <w:highlight w:val="yellow"/>
          <w:lang w:val="en-GB"/>
        </w:rPr>
        <w:t>side</w:t>
      </w:r>
      <w:r w:rsidRPr="00BA34AD">
        <w:rPr>
          <w:i/>
          <w:sz w:val="16"/>
          <w:szCs w:val="16"/>
          <w:highlight w:val="yellow"/>
          <w:lang w:val="en-GB"/>
        </w:rPr>
        <w:t xml:space="preserve"> the vehicle",</w:t>
      </w:r>
      <w:r w:rsidRPr="008E4FAB">
        <w:rPr>
          <w:sz w:val="16"/>
          <w:szCs w:val="16"/>
          <w:lang w:val="en-GB"/>
        </w:rPr>
        <w:t xml:space="preserve"> both in complete vehicle cases and in ESAs.</w:t>
      </w:r>
    </w:p>
    <w:p w:rsidR="002779E7" w:rsidRPr="008E4FAB" w:rsidRDefault="008E4FAB" w:rsidP="008E4FAB">
      <w:pPr>
        <w:jc w:val="both"/>
        <w:rPr>
          <w:sz w:val="16"/>
          <w:szCs w:val="16"/>
          <w:lang w:val="en-GB"/>
        </w:rPr>
      </w:pPr>
      <w:r w:rsidRPr="008E4FAB">
        <w:rPr>
          <w:sz w:val="16"/>
          <w:szCs w:val="16"/>
          <w:lang w:val="en-GB"/>
        </w:rPr>
        <w:t>This change would affect Annexes 4, 6, 7, 9, 11, 12, 13, 14, 15, 16, 17, 18, 19, 20, 21 and 22.</w:t>
      </w:r>
    </w:p>
    <w:p w:rsidR="008E4FAB" w:rsidRPr="008E4FAB" w:rsidRDefault="008E4FAB" w:rsidP="008E4FAB">
      <w:pPr>
        <w:jc w:val="both"/>
        <w:rPr>
          <w:sz w:val="16"/>
          <w:szCs w:val="16"/>
          <w:lang w:val="en-GB"/>
        </w:rPr>
      </w:pPr>
    </w:p>
    <w:p w:rsidR="008E4FAB" w:rsidRPr="008E4FAB" w:rsidRDefault="008E4FAB" w:rsidP="008E4FAB">
      <w:pPr>
        <w:rPr>
          <w:rFonts w:ascii="Times New Roman" w:eastAsia="Times New Roman" w:hAnsi="Times New Roman" w:cs="Times New Roman"/>
          <w:noProof/>
          <w:sz w:val="16"/>
          <w:szCs w:val="16"/>
          <w:lang w:eastAsia="es-ES"/>
        </w:rPr>
      </w:pPr>
      <w:bookmarkStart w:id="0" w:name="_MailAutoSig"/>
      <w:r w:rsidRPr="008E4FAB">
        <w:rPr>
          <w:rFonts w:ascii="Times New Roman" w:eastAsia="Times New Roman" w:hAnsi="Times New Roman" w:cs="Times New Roman"/>
          <w:noProof/>
          <w:sz w:val="16"/>
          <w:szCs w:val="16"/>
          <w:lang w:eastAsia="es-ES"/>
        </w:rPr>
        <w:drawing>
          <wp:inline distT="0" distB="0" distL="0" distR="0" wp14:anchorId="5A833B3D" wp14:editId="77848439">
            <wp:extent cx="1240790" cy="836930"/>
            <wp:effectExtent l="0" t="0" r="0" b="1270"/>
            <wp:docPr id="2" name="Imagen 2" descr="http://www.f2i2.net/personal/images/Logo_FFII_130x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f2i2.net/personal/images/Logo_FFII_130x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0790" cy="836930"/>
                    </a:xfrm>
                    <a:prstGeom prst="rect">
                      <a:avLst/>
                    </a:prstGeom>
                    <a:noFill/>
                    <a:ln>
                      <a:noFill/>
                    </a:ln>
                  </pic:spPr>
                </pic:pic>
              </a:graphicData>
            </a:graphic>
          </wp:inline>
        </w:drawing>
      </w:r>
      <w:r w:rsidRPr="008E4FAB">
        <w:rPr>
          <w:rFonts w:ascii="Times New Roman" w:eastAsia="Times New Roman" w:hAnsi="Times New Roman" w:cs="Times New Roman"/>
          <w:noProof/>
          <w:sz w:val="16"/>
          <w:szCs w:val="16"/>
          <w:lang w:eastAsia="es-ES"/>
        </w:rPr>
        <w:drawing>
          <wp:inline distT="0" distB="0" distL="0" distR="0" wp14:anchorId="31D18295" wp14:editId="4D8B5BFB">
            <wp:extent cx="1240790" cy="836930"/>
            <wp:effectExtent l="0" t="0" r="0" b="1270"/>
            <wp:docPr id="1" name="Imagen 1" descr="http://www.f2i2.net/personal/images/Logo_LCOE_130x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f2i2.net/personal/images/Logo_LCOE_130x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0790" cy="836930"/>
                    </a:xfrm>
                    <a:prstGeom prst="rect">
                      <a:avLst/>
                    </a:prstGeom>
                    <a:noFill/>
                    <a:ln>
                      <a:noFill/>
                    </a:ln>
                  </pic:spPr>
                </pic:pic>
              </a:graphicData>
            </a:graphic>
          </wp:inline>
        </w:drawing>
      </w:r>
    </w:p>
    <w:p w:rsidR="008E4FAB" w:rsidRPr="008E4FAB" w:rsidRDefault="008E4FAB" w:rsidP="008E4FAB">
      <w:pPr>
        <w:rPr>
          <w:rFonts w:ascii="Tahoma" w:eastAsia="Times New Roman" w:hAnsi="Tahoma" w:cs="Tahoma"/>
          <w:noProof/>
          <w:color w:val="1F497D"/>
          <w:sz w:val="16"/>
          <w:szCs w:val="16"/>
          <w:lang w:eastAsia="es-ES"/>
        </w:rPr>
      </w:pPr>
      <w:r w:rsidRPr="008E4FAB">
        <w:rPr>
          <w:rFonts w:ascii="Tahoma" w:eastAsia="Times New Roman" w:hAnsi="Tahoma" w:cs="Tahoma"/>
          <w:b/>
          <w:noProof/>
          <w:color w:val="1F497D"/>
          <w:sz w:val="16"/>
          <w:szCs w:val="16"/>
          <w:lang w:eastAsia="es-ES"/>
        </w:rPr>
        <w:t>Javier Sánchez Sanz</w:t>
      </w:r>
      <w:r w:rsidRPr="008E4FAB">
        <w:rPr>
          <w:rFonts w:ascii="Tahoma" w:eastAsia="Times New Roman" w:hAnsi="Tahoma" w:cs="Tahoma"/>
          <w:noProof/>
          <w:color w:val="1F497D"/>
          <w:sz w:val="16"/>
          <w:szCs w:val="16"/>
          <w:lang w:eastAsia="es-ES"/>
        </w:rPr>
        <w:t xml:space="preserve"> </w:t>
      </w:r>
      <w:r w:rsidRPr="008E4FAB">
        <w:rPr>
          <w:rFonts w:ascii="Tahoma" w:eastAsia="Times New Roman" w:hAnsi="Tahoma" w:cs="Tahoma"/>
          <w:noProof/>
          <w:color w:val="1F497D"/>
          <w:sz w:val="16"/>
          <w:szCs w:val="16"/>
          <w:lang w:eastAsia="es-ES"/>
        </w:rPr>
        <w:br/>
        <w:t xml:space="preserve">Lab. Compatibilidad Electromagnética - EMC </w:t>
      </w:r>
      <w:r w:rsidRPr="008E4FAB">
        <w:rPr>
          <w:rFonts w:ascii="Tahoma" w:eastAsia="Times New Roman" w:hAnsi="Tahoma" w:cs="Tahoma"/>
          <w:noProof/>
          <w:color w:val="1F497D"/>
          <w:sz w:val="16"/>
          <w:szCs w:val="16"/>
          <w:lang w:eastAsia="es-ES"/>
        </w:rPr>
        <w:br/>
        <w:t xml:space="preserve">Responsable Técnico </w:t>
      </w:r>
    </w:p>
    <w:p w:rsidR="008E4FAB" w:rsidRPr="008E4FAB" w:rsidRDefault="008E4FAB" w:rsidP="008E4FAB">
      <w:pPr>
        <w:rPr>
          <w:rFonts w:ascii="Tahoma" w:eastAsia="Times New Roman" w:hAnsi="Tahoma" w:cs="Tahoma"/>
          <w:noProof/>
          <w:color w:val="1F497D"/>
          <w:sz w:val="16"/>
          <w:szCs w:val="16"/>
          <w:lang w:eastAsia="es-ES"/>
        </w:rPr>
      </w:pPr>
      <w:r w:rsidRPr="008E4FAB">
        <w:rPr>
          <w:rFonts w:ascii="Tahoma" w:eastAsia="Times New Roman" w:hAnsi="Tahoma" w:cs="Tahoma"/>
          <w:noProof/>
          <w:color w:val="1F497D"/>
          <w:sz w:val="16"/>
          <w:szCs w:val="16"/>
          <w:lang w:eastAsia="es-ES"/>
        </w:rPr>
        <w:t>Laboratorio Central Oficial de Electrotecnia</w:t>
      </w:r>
      <w:r w:rsidRPr="008E4FAB">
        <w:rPr>
          <w:rFonts w:ascii="Tahoma" w:eastAsia="Times New Roman" w:hAnsi="Tahoma" w:cs="Tahoma"/>
          <w:noProof/>
          <w:color w:val="1F497D"/>
          <w:sz w:val="16"/>
          <w:szCs w:val="16"/>
          <w:lang w:eastAsia="es-ES"/>
        </w:rPr>
        <w:br/>
      </w:r>
      <w:bookmarkStart w:id="1" w:name="_GoBack"/>
      <w:r w:rsidRPr="008E4FAB">
        <w:rPr>
          <w:rFonts w:ascii="Tahoma" w:eastAsia="Times New Roman" w:hAnsi="Tahoma" w:cs="Tahoma"/>
          <w:noProof/>
          <w:color w:val="1F497D"/>
          <w:sz w:val="16"/>
          <w:szCs w:val="16"/>
          <w:lang w:eastAsia="es-ES"/>
        </w:rPr>
        <w:t>FUNDACIÓN PARA EL FOMENTO DE LA INNOVACIÓN INDUSTRIAL</w:t>
      </w:r>
      <w:bookmarkEnd w:id="1"/>
    </w:p>
    <w:p w:rsidR="008E4FAB" w:rsidRPr="008E4FAB" w:rsidRDefault="008E4FAB" w:rsidP="008E4FAB">
      <w:pPr>
        <w:rPr>
          <w:rFonts w:ascii="Times New Roman" w:eastAsia="Times New Roman" w:hAnsi="Times New Roman" w:cs="Times New Roman"/>
          <w:noProof/>
          <w:color w:val="1F497D"/>
          <w:sz w:val="16"/>
          <w:szCs w:val="16"/>
          <w:lang w:eastAsia="es-ES"/>
        </w:rPr>
      </w:pPr>
      <w:r w:rsidRPr="008E4FAB">
        <w:rPr>
          <w:rFonts w:ascii="Tahoma" w:eastAsia="Times New Roman" w:hAnsi="Tahoma" w:cs="Tahoma"/>
          <w:noProof/>
          <w:color w:val="1F497D"/>
          <w:sz w:val="16"/>
          <w:szCs w:val="16"/>
          <w:lang w:eastAsia="es-ES"/>
        </w:rPr>
        <w:t>LCOE Tecnogetafe</w:t>
      </w:r>
      <w:r w:rsidRPr="008E4FAB">
        <w:rPr>
          <w:rFonts w:ascii="Tahoma" w:eastAsia="Times New Roman" w:hAnsi="Tahoma" w:cs="Tahoma"/>
          <w:noProof/>
          <w:color w:val="1F497D"/>
          <w:sz w:val="16"/>
          <w:szCs w:val="16"/>
          <w:lang w:eastAsia="es-ES"/>
        </w:rPr>
        <w:br/>
        <w:t xml:space="preserve">c/ Eric Kandel, 1 </w:t>
      </w:r>
      <w:r w:rsidRPr="008E4FAB">
        <w:rPr>
          <w:rFonts w:ascii="Tahoma" w:eastAsia="Times New Roman" w:hAnsi="Tahoma" w:cs="Tahoma"/>
          <w:noProof/>
          <w:color w:val="1F497D"/>
          <w:sz w:val="16"/>
          <w:szCs w:val="16"/>
          <w:lang w:eastAsia="es-ES"/>
        </w:rPr>
        <w:br/>
        <w:t>Getafe, 28906 Madrid</w:t>
      </w:r>
    </w:p>
    <w:p w:rsidR="008E4FAB" w:rsidRDefault="008E4FAB" w:rsidP="008E4FAB">
      <w:pPr>
        <w:rPr>
          <w:rFonts w:ascii="Tahoma" w:eastAsia="Times New Roman" w:hAnsi="Tahoma" w:cs="Tahoma"/>
          <w:noProof/>
          <w:color w:val="1F497D"/>
          <w:sz w:val="16"/>
          <w:szCs w:val="16"/>
          <w:lang w:val="en-GB" w:eastAsia="es-ES"/>
        </w:rPr>
      </w:pPr>
      <w:r w:rsidRPr="008E4FAB">
        <w:rPr>
          <w:rFonts w:ascii="Tahoma" w:eastAsia="Times New Roman" w:hAnsi="Tahoma" w:cs="Tahoma"/>
          <w:noProof/>
          <w:color w:val="1F497D"/>
          <w:sz w:val="16"/>
          <w:szCs w:val="16"/>
          <w:lang w:val="en-GB" w:eastAsia="es-ES"/>
        </w:rPr>
        <w:t>Tel.:     91 - 491 81 68 Ext. 223</w:t>
      </w:r>
      <w:r w:rsidRPr="008E4FAB">
        <w:rPr>
          <w:rFonts w:ascii="Tahoma" w:eastAsia="Times New Roman" w:hAnsi="Tahoma" w:cs="Tahoma"/>
          <w:noProof/>
          <w:color w:val="1F497D"/>
          <w:sz w:val="16"/>
          <w:szCs w:val="16"/>
          <w:lang w:val="en-GB" w:eastAsia="es-ES"/>
        </w:rPr>
        <w:br/>
        <w:t>Fax:     91 - 491 81 69</w:t>
      </w:r>
      <w:r w:rsidRPr="008E4FAB">
        <w:rPr>
          <w:rFonts w:ascii="Tahoma" w:eastAsia="Times New Roman" w:hAnsi="Tahoma" w:cs="Tahoma"/>
          <w:noProof/>
          <w:color w:val="1F497D"/>
          <w:sz w:val="16"/>
          <w:szCs w:val="16"/>
          <w:lang w:val="en-GB" w:eastAsia="es-ES"/>
        </w:rPr>
        <w:br/>
        <w:t>email:   jsanchezsanz@lcoe.etsii.upm.es</w:t>
      </w:r>
      <w:r w:rsidRPr="008E4FAB">
        <w:rPr>
          <w:rFonts w:ascii="Tahoma" w:eastAsia="Times New Roman" w:hAnsi="Tahoma" w:cs="Tahoma"/>
          <w:noProof/>
          <w:color w:val="1F497D"/>
          <w:sz w:val="16"/>
          <w:szCs w:val="16"/>
          <w:lang w:val="en-GB" w:eastAsia="es-ES"/>
        </w:rPr>
        <w:br/>
        <w:t xml:space="preserve">Web:    www.f2i2.net </w:t>
      </w:r>
    </w:p>
    <w:p w:rsidR="008E4FAB" w:rsidRPr="008E4FAB" w:rsidRDefault="008E4FAB" w:rsidP="008E4FAB">
      <w:pPr>
        <w:rPr>
          <w:rFonts w:ascii="Tahoma" w:eastAsiaTheme="minorEastAsia" w:hAnsi="Tahoma" w:cs="Tahoma"/>
          <w:noProof/>
          <w:color w:val="1F497D"/>
          <w:sz w:val="16"/>
          <w:szCs w:val="16"/>
          <w:lang w:eastAsia="es-ES"/>
        </w:rPr>
      </w:pPr>
      <w:r w:rsidRPr="008E4FAB">
        <w:rPr>
          <w:rFonts w:ascii="Tahoma" w:eastAsiaTheme="minorEastAsia" w:hAnsi="Tahoma" w:cs="Tahoma"/>
          <w:noProof/>
          <w:color w:val="1F497D"/>
          <w:sz w:val="16"/>
          <w:szCs w:val="16"/>
          <w:lang w:eastAsia="es-ES"/>
        </w:rPr>
        <w:t>40º 16' 26" N;   3º 43' 34" O</w:t>
      </w:r>
    </w:p>
    <w:bookmarkEnd w:id="0"/>
    <w:p w:rsidR="008E4FAB" w:rsidRPr="008E4FAB" w:rsidRDefault="008E4FAB" w:rsidP="008E4FAB">
      <w:pPr>
        <w:rPr>
          <w:sz w:val="16"/>
          <w:szCs w:val="16"/>
        </w:rPr>
      </w:pPr>
    </w:p>
    <w:sectPr w:rsidR="008E4FAB" w:rsidRPr="008E4F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AB"/>
    <w:rsid w:val="002779E7"/>
    <w:rsid w:val="00603B33"/>
    <w:rsid w:val="008E4FAB"/>
    <w:rsid w:val="00B32A94"/>
    <w:rsid w:val="00BA3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4FAB"/>
    <w:rPr>
      <w:color w:val="0000FF"/>
      <w:u w:val="single"/>
    </w:rPr>
  </w:style>
  <w:style w:type="paragraph" w:styleId="Textodeglobo">
    <w:name w:val="Balloon Text"/>
    <w:basedOn w:val="Normal"/>
    <w:link w:val="TextodegloboCar"/>
    <w:uiPriority w:val="99"/>
    <w:semiHidden/>
    <w:unhideWhenUsed/>
    <w:rsid w:val="008E4F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4FAB"/>
    <w:rPr>
      <w:color w:val="0000FF"/>
      <w:u w:val="single"/>
    </w:rPr>
  </w:style>
  <w:style w:type="paragraph" w:styleId="Textodeglobo">
    <w:name w:val="Balloon Text"/>
    <w:basedOn w:val="Normal"/>
    <w:link w:val="TextodegloboCar"/>
    <w:uiPriority w:val="99"/>
    <w:semiHidden/>
    <w:unhideWhenUsed/>
    <w:rsid w:val="008E4F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Sanchez Sanz</dc:creator>
  <cp:lastModifiedBy>Javier Sanchez Sanz</cp:lastModifiedBy>
  <cp:revision>3</cp:revision>
  <dcterms:created xsi:type="dcterms:W3CDTF">2017-09-04T12:22:00Z</dcterms:created>
  <dcterms:modified xsi:type="dcterms:W3CDTF">2017-09-04T12:42:00Z</dcterms:modified>
</cp:coreProperties>
</file>