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CE" w:rsidRPr="00DA7890" w:rsidRDefault="00037B09" w:rsidP="00346B38">
      <w:pPr>
        <w:jc w:val="center"/>
        <w:rPr>
          <w:b/>
          <w:sz w:val="28"/>
          <w:szCs w:val="28"/>
          <w:lang w:val="en-GB"/>
        </w:rPr>
      </w:pPr>
      <w:r w:rsidRPr="00DA7890">
        <w:rPr>
          <w:b/>
          <w:sz w:val="28"/>
          <w:szCs w:val="28"/>
          <w:lang w:val="en-GB"/>
        </w:rPr>
        <w:t>Report</w:t>
      </w:r>
    </w:p>
    <w:p w:rsidR="00746ECE" w:rsidRPr="00DA7890" w:rsidRDefault="00746ECE" w:rsidP="00346B38">
      <w:pPr>
        <w:jc w:val="center"/>
        <w:rPr>
          <w:b/>
          <w:sz w:val="28"/>
          <w:szCs w:val="28"/>
          <w:lang w:val="en-GB"/>
        </w:rPr>
      </w:pPr>
    </w:p>
    <w:p w:rsidR="00746ECE" w:rsidRPr="00DA7890" w:rsidRDefault="00746ECE" w:rsidP="00346B38">
      <w:pPr>
        <w:jc w:val="center"/>
        <w:rPr>
          <w:b/>
          <w:sz w:val="28"/>
          <w:szCs w:val="28"/>
          <w:lang w:val="en-GB"/>
        </w:rPr>
      </w:pPr>
      <w:r w:rsidRPr="00DA7890">
        <w:rPr>
          <w:b/>
          <w:sz w:val="28"/>
          <w:szCs w:val="28"/>
          <w:lang w:val="en-GB"/>
        </w:rPr>
        <w:t xml:space="preserve">EPPR Informal Working Group </w:t>
      </w:r>
      <w:r w:rsidR="0059212E" w:rsidRPr="00DA7890">
        <w:rPr>
          <w:b/>
          <w:sz w:val="28"/>
          <w:szCs w:val="28"/>
          <w:lang w:val="en-GB"/>
        </w:rPr>
        <w:t>Meeting</w:t>
      </w:r>
    </w:p>
    <w:p w:rsidR="00746ECE" w:rsidRPr="00DA7890" w:rsidRDefault="00746ECE" w:rsidP="00346B38">
      <w:pPr>
        <w:jc w:val="center"/>
        <w:rPr>
          <w:b/>
          <w:lang w:val="en-GB"/>
        </w:rPr>
      </w:pPr>
    </w:p>
    <w:p w:rsidR="0059212E" w:rsidRPr="00DA7890" w:rsidRDefault="0059212E" w:rsidP="0059212E">
      <w:pPr>
        <w:jc w:val="center"/>
        <w:rPr>
          <w:rFonts w:eastAsia="Times New Roman"/>
          <w:b/>
          <w:lang w:val="en-GB"/>
        </w:rPr>
      </w:pPr>
      <w:r w:rsidRPr="00DA7890">
        <w:rPr>
          <w:rFonts w:eastAsia="Times New Roman"/>
          <w:b/>
          <w:lang w:val="en-GB"/>
        </w:rPr>
        <w:t>10 January 2018</w:t>
      </w:r>
    </w:p>
    <w:p w:rsidR="0059212E" w:rsidRPr="00DA7890" w:rsidRDefault="002203AB" w:rsidP="0059212E">
      <w:pPr>
        <w:jc w:val="center"/>
        <w:rPr>
          <w:rFonts w:eastAsia="Times New Roman"/>
          <w:b/>
          <w:lang w:val="en-GB"/>
        </w:rPr>
      </w:pPr>
      <w:r w:rsidRPr="00DA7890">
        <w:rPr>
          <w:rFonts w:eastAsia="Times New Roman"/>
          <w:b/>
          <w:lang w:val="en-GB"/>
        </w:rPr>
        <w:t xml:space="preserve">Salle XII, </w:t>
      </w:r>
      <w:r w:rsidR="0059212E" w:rsidRPr="00DA7890">
        <w:rPr>
          <w:rFonts w:eastAsia="Times New Roman"/>
          <w:b/>
          <w:lang w:val="en-GB"/>
        </w:rPr>
        <w:t>Palais de Nations, Geneva, Switzerland</w:t>
      </w:r>
    </w:p>
    <w:p w:rsidR="0059212E" w:rsidRPr="00DA7890" w:rsidRDefault="0059212E" w:rsidP="0059212E">
      <w:pPr>
        <w:jc w:val="center"/>
        <w:rPr>
          <w:b/>
          <w:lang w:val="en-GB"/>
        </w:rPr>
      </w:pPr>
    </w:p>
    <w:p w:rsidR="0059212E" w:rsidRPr="00DA7890" w:rsidRDefault="0059212E" w:rsidP="00F526B2">
      <w:pPr>
        <w:pStyle w:val="bulletpoint"/>
      </w:pPr>
      <w:r w:rsidRPr="00DA7890">
        <w:t xml:space="preserve">Participation link: </w:t>
      </w:r>
    </w:p>
    <w:p w:rsidR="002203AB" w:rsidRPr="00DA7890" w:rsidRDefault="002C118F" w:rsidP="00F526B2">
      <w:pPr>
        <w:pStyle w:val="bulletIIpoint"/>
      </w:pPr>
      <w:hyperlink r:id="rId11" w:history="1">
        <w:r w:rsidR="00F526B2" w:rsidRPr="00DA7890">
          <w:rPr>
            <w:rStyle w:val="Hyperlink"/>
          </w:rPr>
          <w:t>https://unog.webex.com/unog/j.php?MTID=m8ab9899af75cc5c17c865b696aa81780</w:t>
        </w:r>
      </w:hyperlink>
      <w:r w:rsidR="002203AB" w:rsidRPr="00DA7890">
        <w:t> </w:t>
      </w:r>
    </w:p>
    <w:p w:rsidR="002203AB" w:rsidRPr="00DA7890" w:rsidRDefault="002203AB" w:rsidP="00F526B2">
      <w:pPr>
        <w:pStyle w:val="bulletIIpoint"/>
        <w:numPr>
          <w:ilvl w:val="0"/>
          <w:numId w:val="0"/>
        </w:numPr>
        <w:ind w:left="1800"/>
      </w:pPr>
    </w:p>
    <w:p w:rsidR="0059212E" w:rsidRPr="00DA7890" w:rsidRDefault="0059212E" w:rsidP="005921F4">
      <w:pPr>
        <w:pStyle w:val="bulletpoint"/>
      </w:pPr>
      <w:r w:rsidRPr="00DA7890">
        <w:t>Documents for the meeting can be downloaded from the EPPR web page:</w:t>
      </w:r>
    </w:p>
    <w:p w:rsidR="0059212E" w:rsidRPr="00DA7890" w:rsidRDefault="002C118F" w:rsidP="00F526B2">
      <w:pPr>
        <w:pStyle w:val="bulletIIpoint"/>
      </w:pPr>
      <w:hyperlink r:id="rId12" w:history="1">
        <w:r w:rsidR="0059212E" w:rsidRPr="00DA7890">
          <w:rPr>
            <w:rStyle w:val="Hyperlink"/>
          </w:rPr>
          <w:t>https://www2.unece.org/wiki/display/trans/EPPR+22nd+session</w:t>
        </w:r>
      </w:hyperlink>
    </w:p>
    <w:p w:rsidR="004830C7" w:rsidRPr="00DA7890" w:rsidRDefault="004830C7" w:rsidP="003775BB">
      <w:pPr>
        <w:jc w:val="both"/>
        <w:rPr>
          <w:b/>
          <w:lang w:val="en-GB"/>
        </w:rPr>
      </w:pPr>
    </w:p>
    <w:p w:rsidR="00FD00F8" w:rsidRPr="00DA7890" w:rsidRDefault="00FD00F8" w:rsidP="003775BB">
      <w:pPr>
        <w:jc w:val="both"/>
        <w:rPr>
          <w:b/>
          <w:lang w:val="en-GB"/>
        </w:rPr>
      </w:pPr>
    </w:p>
    <w:p w:rsidR="00383C7C" w:rsidRPr="00DA7890" w:rsidRDefault="00F00844" w:rsidP="003775BB">
      <w:pPr>
        <w:pStyle w:val="Heading1"/>
        <w:jc w:val="both"/>
      </w:pPr>
      <w:r w:rsidRPr="00DA7890">
        <w:t>Welcome and i</w:t>
      </w:r>
      <w:r w:rsidR="00383C7C" w:rsidRPr="00DA7890">
        <w:t>ntroduction</w:t>
      </w:r>
    </w:p>
    <w:p w:rsidR="005B2DAB" w:rsidRPr="00DA7890" w:rsidRDefault="005921F4" w:rsidP="00CD4EF9">
      <w:pPr>
        <w:pStyle w:val="bul1"/>
      </w:pPr>
      <w:r w:rsidRPr="00DA7890">
        <w:t>The Chair welcomed the delegates</w:t>
      </w:r>
      <w:r w:rsidR="0050120B" w:rsidRPr="00DA7890">
        <w:t xml:space="preserve"> and the interpreters.</w:t>
      </w:r>
    </w:p>
    <w:p w:rsidR="005921F4" w:rsidRPr="00DA7890" w:rsidRDefault="005921F4" w:rsidP="00CD4EF9">
      <w:pPr>
        <w:pStyle w:val="bul1"/>
        <w:numPr>
          <w:ilvl w:val="0"/>
          <w:numId w:val="0"/>
        </w:numPr>
        <w:ind w:left="360"/>
      </w:pPr>
    </w:p>
    <w:p w:rsidR="00910BB3" w:rsidRPr="00DA7890" w:rsidRDefault="00F00844" w:rsidP="003775BB">
      <w:pPr>
        <w:pStyle w:val="Heading1"/>
        <w:jc w:val="both"/>
      </w:pPr>
      <w:r w:rsidRPr="00DA7890">
        <w:t>Adoption of the draft agenda</w:t>
      </w:r>
      <w:r w:rsidR="00AC7993" w:rsidRPr="00DA7890">
        <w:t xml:space="preserve"> and past minutes</w:t>
      </w:r>
    </w:p>
    <w:p w:rsidR="00801C2D" w:rsidRPr="00DA7890" w:rsidRDefault="00E25BF0" w:rsidP="00F526B2">
      <w:pPr>
        <w:pStyle w:val="Subtitle"/>
      </w:pPr>
      <w:r w:rsidRPr="00DA7890">
        <w:t>Document</w:t>
      </w:r>
      <w:r w:rsidR="00EC163A" w:rsidRPr="00DA7890">
        <w:t>s</w:t>
      </w:r>
    </w:p>
    <w:p w:rsidR="00AC7993" w:rsidRPr="00DA7890" w:rsidRDefault="00CC0430" w:rsidP="005921F4">
      <w:pPr>
        <w:pStyle w:val="bulletpoint"/>
      </w:pPr>
      <w:r w:rsidRPr="00DA7890">
        <w:t>EPPR-</w:t>
      </w:r>
      <w:r w:rsidR="00302A9E" w:rsidRPr="00DA7890">
        <w:t>22-</w:t>
      </w:r>
      <w:r w:rsidR="00092215" w:rsidRPr="00DA7890">
        <w:t>11</w:t>
      </w:r>
      <w:r w:rsidR="003C4F18" w:rsidRPr="00DA7890">
        <w:t xml:space="preserve"> r</w:t>
      </w:r>
      <w:r w:rsidR="00037B09" w:rsidRPr="00DA7890">
        <w:t>2</w:t>
      </w:r>
      <w:r w:rsidR="006325ED" w:rsidRPr="00DA7890">
        <w:tab/>
      </w:r>
      <w:r w:rsidR="003C4F18" w:rsidRPr="00DA7890">
        <w:t xml:space="preserve">revised </w:t>
      </w:r>
      <w:r w:rsidR="00AC7993" w:rsidRPr="00DA7890">
        <w:t>agenda</w:t>
      </w:r>
      <w:r w:rsidR="005535CB" w:rsidRPr="00DA7890">
        <w:t xml:space="preserve"> </w:t>
      </w:r>
    </w:p>
    <w:p w:rsidR="0055108C" w:rsidRPr="00DA7890" w:rsidRDefault="00302A9E" w:rsidP="00CD4EF9">
      <w:pPr>
        <w:pStyle w:val="bul1"/>
      </w:pPr>
      <w:r w:rsidRPr="00DA7890">
        <w:t>EPPR-2</w:t>
      </w:r>
      <w:r w:rsidR="0059212E" w:rsidRPr="00DA7890">
        <w:t>2-06</w:t>
      </w:r>
      <w:r w:rsidRPr="00DA7890">
        <w:t xml:space="preserve">   </w:t>
      </w:r>
      <w:r w:rsidR="00746ECE" w:rsidRPr="00DA7890">
        <w:t xml:space="preserve"> </w:t>
      </w:r>
      <w:r w:rsidR="006325ED" w:rsidRPr="00DA7890">
        <w:tab/>
      </w:r>
      <w:r w:rsidRPr="00DA7890">
        <w:t>Oct</w:t>
      </w:r>
      <w:r w:rsidR="00746ECE" w:rsidRPr="00DA7890">
        <w:t xml:space="preserve"> 2017</w:t>
      </w:r>
      <w:r w:rsidR="006325ED" w:rsidRPr="00DA7890">
        <w:t xml:space="preserve"> EPPR-21 report </w:t>
      </w:r>
    </w:p>
    <w:p w:rsidR="001D6D91" w:rsidRPr="00DA7890" w:rsidRDefault="001D6D91" w:rsidP="003775BB">
      <w:pPr>
        <w:ind w:firstLine="708"/>
        <w:jc w:val="both"/>
        <w:rPr>
          <w:color w:val="000000"/>
          <w:u w:val="single"/>
          <w:lang w:val="en-GB"/>
        </w:rPr>
      </w:pPr>
    </w:p>
    <w:p w:rsidR="001E0CA8" w:rsidRPr="00DA7890" w:rsidRDefault="00CD4EF9" w:rsidP="001E0CA8">
      <w:pPr>
        <w:pStyle w:val="Subtitle"/>
      </w:pPr>
      <w:r w:rsidRPr="00DA7890">
        <w:t>Discussion</w:t>
      </w:r>
    </w:p>
    <w:p w:rsidR="001E0CA8" w:rsidRPr="00DA7890" w:rsidRDefault="001E0CA8" w:rsidP="00CD4EF9">
      <w:pPr>
        <w:pStyle w:val="bul1"/>
      </w:pPr>
      <w:r w:rsidRPr="00DA7890">
        <w:t>Agenda was adopted as in EPPR-22-11 r1, after the addition of the last submitted documents</w:t>
      </w:r>
    </w:p>
    <w:p w:rsidR="001E0CA8" w:rsidRPr="00DA7890" w:rsidRDefault="001E0CA8" w:rsidP="00CD4EF9">
      <w:pPr>
        <w:pStyle w:val="bul1"/>
      </w:pPr>
      <w:r w:rsidRPr="00DA7890">
        <w:t>The report was adopted as circulated, since no objections were raised</w:t>
      </w:r>
      <w:r w:rsidR="005921F4" w:rsidRPr="00DA7890">
        <w:t>.</w:t>
      </w:r>
    </w:p>
    <w:p w:rsidR="0059212E" w:rsidRPr="00DA7890" w:rsidRDefault="0059212E" w:rsidP="003775BB">
      <w:pPr>
        <w:ind w:firstLine="708"/>
        <w:jc w:val="both"/>
        <w:rPr>
          <w:color w:val="000000"/>
          <w:lang w:val="en-GB"/>
        </w:rPr>
      </w:pPr>
    </w:p>
    <w:p w:rsidR="0047398A" w:rsidRPr="00DA7890" w:rsidRDefault="0014457A" w:rsidP="003775BB">
      <w:pPr>
        <w:pStyle w:val="Heading1"/>
        <w:jc w:val="both"/>
      </w:pPr>
      <w:r w:rsidRPr="00DA7890">
        <w:t>GTR</w:t>
      </w:r>
      <w:r w:rsidR="007861F6" w:rsidRPr="00DA7890">
        <w:t xml:space="preserve"> </w:t>
      </w:r>
      <w:r w:rsidR="00540349" w:rsidRPr="00DA7890">
        <w:t>2</w:t>
      </w:r>
    </w:p>
    <w:p w:rsidR="00E458F2" w:rsidRPr="00DA7890" w:rsidRDefault="00E458F2" w:rsidP="003775BB">
      <w:pPr>
        <w:pStyle w:val="Heading1"/>
        <w:numPr>
          <w:ilvl w:val="1"/>
          <w:numId w:val="1"/>
        </w:numPr>
        <w:jc w:val="both"/>
      </w:pPr>
      <w:r w:rsidRPr="00DA7890">
        <w:rPr>
          <w:u w:val="single"/>
        </w:rPr>
        <w:t xml:space="preserve">GTR2 </w:t>
      </w:r>
      <w:r w:rsidR="0018617B" w:rsidRPr="00DA7890">
        <w:rPr>
          <w:u w:val="single"/>
        </w:rPr>
        <w:t xml:space="preserve">Part </w:t>
      </w:r>
      <w:r w:rsidRPr="00DA7890">
        <w:rPr>
          <w:u w:val="single"/>
        </w:rPr>
        <w:t>B1</w:t>
      </w:r>
    </w:p>
    <w:p w:rsidR="0047398A" w:rsidRPr="00DA7890" w:rsidRDefault="0047398A" w:rsidP="00F526B2">
      <w:pPr>
        <w:pStyle w:val="Subtitle"/>
      </w:pPr>
      <w:r w:rsidRPr="00DA7890">
        <w:t>Documents</w:t>
      </w:r>
    </w:p>
    <w:p w:rsidR="00990C84" w:rsidRPr="00DA7890" w:rsidRDefault="00990C84" w:rsidP="00F526B2">
      <w:pPr>
        <w:pStyle w:val="bulletpoint"/>
        <w:rPr>
          <w:color w:val="808080"/>
        </w:rPr>
      </w:pPr>
      <w:r w:rsidRPr="00DA7890">
        <w:rPr>
          <w:color w:val="808080"/>
        </w:rPr>
        <w:t>EPPR-22-07 GTR2 part B1 overview updated 20171122.xlsx</w:t>
      </w:r>
      <w:r w:rsidR="00C42034" w:rsidRPr="00DA7890">
        <w:rPr>
          <w:color w:val="808080"/>
        </w:rPr>
        <w:t xml:space="preserve">  </w:t>
      </w:r>
    </w:p>
    <w:p w:rsidR="00990C84" w:rsidRPr="00DA7890" w:rsidRDefault="00990C84" w:rsidP="00F526B2">
      <w:pPr>
        <w:pStyle w:val="bulletpoint"/>
        <w:rPr>
          <w:color w:val="808080"/>
        </w:rPr>
      </w:pPr>
      <w:r w:rsidRPr="00DA7890">
        <w:rPr>
          <w:color w:val="808080"/>
        </w:rPr>
        <w:t>EPPR-22-08 GTR2 revision - Part B1 text updated 20171122</w:t>
      </w:r>
    </w:p>
    <w:p w:rsidR="002203AB" w:rsidRPr="00DA7890" w:rsidRDefault="002203AB" w:rsidP="00F526B2">
      <w:pPr>
        <w:pStyle w:val="bulletpoint"/>
      </w:pPr>
      <w:r w:rsidRPr="00DA7890">
        <w:t>EPPR-22-13_Japan_proposal_EPPR-22-07 GTR2 part B1 overview updated 20171122</w:t>
      </w:r>
    </w:p>
    <w:p w:rsidR="004276BF" w:rsidRPr="00DA7890" w:rsidRDefault="004276BF" w:rsidP="00F526B2">
      <w:pPr>
        <w:pStyle w:val="bulletpoint"/>
      </w:pPr>
      <w:r w:rsidRPr="00DA7890">
        <w:t>EPPR-22-18 (IMMA) NMHC</w:t>
      </w:r>
    </w:p>
    <w:p w:rsidR="00C42034" w:rsidRPr="00DA7890" w:rsidRDefault="00C42034" w:rsidP="00F526B2">
      <w:pPr>
        <w:pStyle w:val="bulletpoint"/>
      </w:pPr>
      <w:bookmarkStart w:id="0" w:name="_Hlk505595671"/>
      <w:r w:rsidRPr="00DA7890">
        <w:t>EPPR-22-24 GTR2 part B1 overview updated 20180110</w:t>
      </w:r>
    </w:p>
    <w:p w:rsidR="00C42034" w:rsidRPr="00DA7890" w:rsidRDefault="00C42034" w:rsidP="00C42034">
      <w:pPr>
        <w:pStyle w:val="bulletpoint"/>
      </w:pPr>
      <w:r w:rsidRPr="00DA7890">
        <w:t>EPPR-22-25 GTR2 revision - Part B1</w:t>
      </w:r>
      <w:r w:rsidR="00FB1ABA" w:rsidRPr="00DA7890">
        <w:t xml:space="preserve"> &amp; B2</w:t>
      </w:r>
      <w:r w:rsidRPr="00DA7890">
        <w:t xml:space="preserve"> text updated 2018011</w:t>
      </w:r>
      <w:r w:rsidR="00FB1ABA" w:rsidRPr="00DA7890">
        <w:t>1</w:t>
      </w:r>
      <w:bookmarkEnd w:id="0"/>
    </w:p>
    <w:p w:rsidR="001D6D91" w:rsidRPr="00DA7890" w:rsidRDefault="001D6D91" w:rsidP="003775BB">
      <w:pPr>
        <w:jc w:val="both"/>
        <w:rPr>
          <w:color w:val="000000"/>
          <w:lang w:val="en-GB"/>
        </w:rPr>
      </w:pPr>
    </w:p>
    <w:p w:rsidR="006A3C64" w:rsidRPr="00DA7890" w:rsidRDefault="006A3C64" w:rsidP="00A9735F">
      <w:pPr>
        <w:pStyle w:val="Subtitle"/>
      </w:pPr>
      <w:r w:rsidRPr="00DA7890">
        <w:t>Discussion</w:t>
      </w:r>
    </w:p>
    <w:p w:rsidR="005C3F13" w:rsidRPr="00DA7890" w:rsidRDefault="005C3F13" w:rsidP="00F526B2">
      <w:pPr>
        <w:pStyle w:val="bulletpoint"/>
      </w:pPr>
      <w:r w:rsidRPr="00DA7890">
        <w:rPr>
          <w:b/>
        </w:rPr>
        <w:t>Predominant mode</w:t>
      </w:r>
      <w:r w:rsidRPr="00DA7890">
        <w:t xml:space="preserve"> vs worst case mode</w:t>
      </w:r>
      <w:r w:rsidR="00C560EB" w:rsidRPr="00DA7890">
        <w:t>; see d</w:t>
      </w:r>
      <w:proofErr w:type="spellStart"/>
      <w:r w:rsidR="00C560EB" w:rsidRPr="00DA7890">
        <w:rPr>
          <w:lang w:val="en-US"/>
        </w:rPr>
        <w:t>ocument</w:t>
      </w:r>
      <w:proofErr w:type="spellEnd"/>
      <w:r w:rsidR="00C560EB" w:rsidRPr="00DA7890">
        <w:rPr>
          <w:lang w:val="en-US"/>
        </w:rPr>
        <w:t xml:space="preserve"> No. EPPR-21-22, para. no. </w:t>
      </w:r>
      <w:r w:rsidR="00C560EB" w:rsidRPr="00DA7890">
        <w:t>3.4.5.1.2</w:t>
      </w:r>
    </w:p>
    <w:p w:rsidR="005C3F13" w:rsidRPr="00DA7890" w:rsidRDefault="005C3F13" w:rsidP="005C3F13">
      <w:pPr>
        <w:pStyle w:val="bulletIIpoint"/>
      </w:pPr>
      <w:r w:rsidRPr="00DA7890">
        <w:t>In EPPR-22-05, India proposed a definition for predominant mode.</w:t>
      </w:r>
    </w:p>
    <w:p w:rsidR="005C3F13" w:rsidRPr="00DA7890" w:rsidRDefault="005C3F13" w:rsidP="005C3F13">
      <w:pPr>
        <w:pStyle w:val="bulletIIpoint"/>
      </w:pPr>
      <w:r w:rsidRPr="00DA7890">
        <w:t xml:space="preserve">As explained in EPPR-22-12, </w:t>
      </w:r>
      <w:r w:rsidR="006A3C64" w:rsidRPr="00DA7890">
        <w:t xml:space="preserve">Japan </w:t>
      </w:r>
      <w:bookmarkStart w:id="1" w:name="_Hlk505245958"/>
      <w:r w:rsidR="001E0CA8" w:rsidRPr="00DA7890">
        <w:t>deemed</w:t>
      </w:r>
      <w:r w:rsidR="006A3C64" w:rsidRPr="00DA7890">
        <w:t xml:space="preserve"> not necessary to define the predominant mode, as long as the test is performed in the </w:t>
      </w:r>
      <w:proofErr w:type="gramStart"/>
      <w:r w:rsidR="006A3C64" w:rsidRPr="00DA7890">
        <w:t xml:space="preserve">worst </w:t>
      </w:r>
      <w:r w:rsidR="00A9735F" w:rsidRPr="00DA7890">
        <w:t>case</w:t>
      </w:r>
      <w:proofErr w:type="gramEnd"/>
      <w:r w:rsidR="00A9735F" w:rsidRPr="00DA7890">
        <w:t xml:space="preserve"> </w:t>
      </w:r>
      <w:r w:rsidR="006A3C64" w:rsidRPr="00DA7890">
        <w:t xml:space="preserve">mode. </w:t>
      </w:r>
      <w:bookmarkStart w:id="2" w:name="_Hlk505246006"/>
    </w:p>
    <w:p w:rsidR="005C3F13" w:rsidRPr="00DA7890" w:rsidRDefault="006A3C64" w:rsidP="005C3F13">
      <w:pPr>
        <w:pStyle w:val="bulletIIpoint"/>
      </w:pPr>
      <w:r w:rsidRPr="00DA7890">
        <w:t xml:space="preserve">India could accept it </w:t>
      </w:r>
      <w:r w:rsidR="00197698" w:rsidRPr="00DA7890">
        <w:t>if</w:t>
      </w:r>
      <w:r w:rsidRPr="00DA7890">
        <w:t xml:space="preserve"> worst case </w:t>
      </w:r>
      <w:r w:rsidR="00197698" w:rsidRPr="00DA7890">
        <w:t>mode was</w:t>
      </w:r>
      <w:r w:rsidRPr="00DA7890">
        <w:t xml:space="preserve"> defined.</w:t>
      </w:r>
      <w:bookmarkEnd w:id="2"/>
      <w:r w:rsidRPr="00DA7890">
        <w:t xml:space="preserve"> </w:t>
      </w:r>
    </w:p>
    <w:p w:rsidR="005C3F13" w:rsidRPr="00DA7890" w:rsidRDefault="0050120B" w:rsidP="005C3F13">
      <w:pPr>
        <w:pStyle w:val="bulletIIpoint"/>
      </w:pPr>
      <w:r w:rsidRPr="00DA7890">
        <w:t>Since the different views of Japan and India could not be resolved, the discussion will be resumed at the next session.</w:t>
      </w:r>
    </w:p>
    <w:p w:rsidR="005C3F13" w:rsidRPr="00DA7890" w:rsidRDefault="007F76B0" w:rsidP="005C3F13">
      <w:pPr>
        <w:pStyle w:val="bulletIIpoint"/>
      </w:pPr>
      <w:r w:rsidRPr="00DA7890">
        <w:t xml:space="preserve">The group was invited to check the solution found by WLTP. </w:t>
      </w:r>
    </w:p>
    <w:p w:rsidR="006A3C64" w:rsidRPr="00DA7890" w:rsidRDefault="007F76B0" w:rsidP="005C3F13">
      <w:pPr>
        <w:pStyle w:val="bulletIIpoint"/>
      </w:pPr>
      <w:r w:rsidRPr="00DA7890">
        <w:t>Open point.</w:t>
      </w:r>
    </w:p>
    <w:bookmarkEnd w:id="1"/>
    <w:p w:rsidR="003A1EA5" w:rsidRPr="00DA7890" w:rsidRDefault="003A1EA5" w:rsidP="00F526B2">
      <w:pPr>
        <w:pStyle w:val="bulletpoint"/>
        <w:numPr>
          <w:ilvl w:val="0"/>
          <w:numId w:val="0"/>
        </w:numPr>
        <w:ind w:left="1080"/>
      </w:pPr>
    </w:p>
    <w:p w:rsidR="00847497" w:rsidRPr="00DA7890" w:rsidRDefault="00847497" w:rsidP="005921F4">
      <w:pPr>
        <w:pStyle w:val="bulletpoint"/>
      </w:pPr>
      <w:bookmarkStart w:id="3" w:name="_Hlk503343870"/>
      <w:r w:rsidRPr="00DA7890">
        <w:rPr>
          <w:b/>
        </w:rPr>
        <w:t>THC and NMHC</w:t>
      </w:r>
      <w:r w:rsidRPr="00DA7890">
        <w:t xml:space="preserve"> </w:t>
      </w:r>
    </w:p>
    <w:p w:rsidR="00847497" w:rsidRPr="00DA7890" w:rsidRDefault="00D33DF7" w:rsidP="00847497">
      <w:pPr>
        <w:pStyle w:val="bulletIIpoint"/>
      </w:pPr>
      <w:r w:rsidRPr="00DA7890">
        <w:t>In EPPR-22-18, IMMA proposed to separate limit</w:t>
      </w:r>
      <w:r w:rsidR="003A1EA5" w:rsidRPr="00DA7890">
        <w:t>s</w:t>
      </w:r>
      <w:r w:rsidRPr="00DA7890">
        <w:t xml:space="preserve"> for THC and NMHC in draft GTR2 revision, part B1 (EPPR-22-13, line 154), like in Euro 5 regulation</w:t>
      </w:r>
      <w:r w:rsidR="003A1EA5" w:rsidRPr="00DA7890">
        <w:t xml:space="preserve">. </w:t>
      </w:r>
    </w:p>
    <w:p w:rsidR="00847497" w:rsidRPr="00DA7890" w:rsidRDefault="005921F4" w:rsidP="00847497">
      <w:pPr>
        <w:pStyle w:val="bulletIIpoint"/>
      </w:pPr>
      <w:r w:rsidRPr="00DA7890">
        <w:t xml:space="preserve">India raised a study reservation. </w:t>
      </w:r>
    </w:p>
    <w:p w:rsidR="00D33DF7" w:rsidRPr="00DA7890" w:rsidRDefault="005921F4" w:rsidP="00847497">
      <w:pPr>
        <w:pStyle w:val="bulletIIpoint"/>
      </w:pPr>
      <w:r w:rsidRPr="00DA7890">
        <w:t>The group was invited to check the point for the next session.</w:t>
      </w:r>
      <w:r w:rsidR="00A9735F" w:rsidRPr="00DA7890">
        <w:t xml:space="preserve"> Open point.</w:t>
      </w:r>
    </w:p>
    <w:p w:rsidR="003A1EA5" w:rsidRPr="00DA7890" w:rsidRDefault="003A1EA5" w:rsidP="00F526B2">
      <w:pPr>
        <w:pStyle w:val="bulletpoint"/>
        <w:numPr>
          <w:ilvl w:val="0"/>
          <w:numId w:val="0"/>
        </w:numPr>
        <w:ind w:left="1080"/>
      </w:pPr>
    </w:p>
    <w:bookmarkEnd w:id="3"/>
    <w:p w:rsidR="00BC019F" w:rsidRPr="00DA7890" w:rsidRDefault="00BC019F" w:rsidP="005921F4">
      <w:pPr>
        <w:pStyle w:val="bulletpoint"/>
      </w:pPr>
      <w:r w:rsidRPr="00DA7890">
        <w:rPr>
          <w:b/>
        </w:rPr>
        <w:t>Supercharger</w:t>
      </w:r>
      <w:r w:rsidRPr="00DA7890">
        <w:t>:</w:t>
      </w:r>
    </w:p>
    <w:p w:rsidR="003A1EA5" w:rsidRPr="00DA7890" w:rsidRDefault="005921F4" w:rsidP="00CD4EF9">
      <w:pPr>
        <w:pStyle w:val="bulletIIpoint"/>
        <w:rPr>
          <w:rFonts w:ascii="Arial" w:hAnsi="Arial" w:cs="Arial"/>
          <w:color w:val="222222"/>
          <w:shd w:val="clear" w:color="auto" w:fill="FFFFFF"/>
        </w:rPr>
      </w:pPr>
      <w:bookmarkStart w:id="4" w:name="_Hlk505248166"/>
      <w:r w:rsidRPr="00DA7890">
        <w:t xml:space="preserve">The proposal about </w:t>
      </w:r>
      <w:r w:rsidR="0050120B" w:rsidRPr="00DA7890">
        <w:t>s</w:t>
      </w:r>
      <w:r w:rsidRPr="00DA7890">
        <w:t xml:space="preserve">upercharger - para. 4.52, line 114 - sent via email by the WLTP Coordinator/Mr </w:t>
      </w:r>
      <w:proofErr w:type="spellStart"/>
      <w:r w:rsidRPr="00DA7890">
        <w:t>Dubuc’s</w:t>
      </w:r>
      <w:proofErr w:type="spellEnd"/>
      <w:r w:rsidRPr="00DA7890">
        <w:t xml:space="preserve"> proposal was reviewed. </w:t>
      </w:r>
      <w:r w:rsidR="003A1EA5" w:rsidRPr="00DA7890">
        <w:t>It was agreed to define Force</w:t>
      </w:r>
      <w:r w:rsidRPr="00DA7890">
        <w:t>d</w:t>
      </w:r>
      <w:r w:rsidR="003A1EA5" w:rsidRPr="00DA7890">
        <w:t xml:space="preserve"> Induction System</w:t>
      </w:r>
      <w:r w:rsidR="001B2310" w:rsidRPr="00DA7890">
        <w:t xml:space="preserve">, as umbrella definition, </w:t>
      </w:r>
      <w:r w:rsidRPr="00DA7890">
        <w:t>adding relevant</w:t>
      </w:r>
      <w:r w:rsidR="001B2310" w:rsidRPr="00DA7890">
        <w:t xml:space="preserve"> sub-definitions, and to provide </w:t>
      </w:r>
      <w:r w:rsidR="003A1EA5" w:rsidRPr="00DA7890">
        <w:t>the rationale in the Technical Report:</w:t>
      </w:r>
    </w:p>
    <w:p w:rsidR="003A1EA5" w:rsidRPr="00DA7890" w:rsidRDefault="003A1EA5" w:rsidP="00BC019F">
      <w:pPr>
        <w:pStyle w:val="bulletIIpoint"/>
        <w:numPr>
          <w:ilvl w:val="2"/>
          <w:numId w:val="17"/>
        </w:numPr>
        <w:ind w:left="1134"/>
        <w:rPr>
          <w:color w:val="auto"/>
          <w:lang w:eastAsia="en-GB"/>
        </w:rPr>
      </w:pPr>
      <w:r w:rsidRPr="00DA7890">
        <w:rPr>
          <w:b/>
          <w:bCs/>
          <w:color w:val="222222"/>
          <w:shd w:val="clear" w:color="auto" w:fill="FFFFFF"/>
        </w:rPr>
        <w:t xml:space="preserve">Forced </w:t>
      </w:r>
      <w:r w:rsidR="00DA7890" w:rsidRPr="00DA7890">
        <w:rPr>
          <w:b/>
          <w:bCs/>
          <w:color w:val="222222"/>
          <w:shd w:val="clear" w:color="auto" w:fill="FFFFFF"/>
        </w:rPr>
        <w:t>induction</w:t>
      </w:r>
      <w:r w:rsidR="00DA7890" w:rsidRPr="00DA7890">
        <w:rPr>
          <w:color w:val="222222"/>
          <w:shd w:val="clear" w:color="auto" w:fill="FFFFFF"/>
        </w:rPr>
        <w:t> is</w:t>
      </w:r>
      <w:r w:rsidRPr="00DA7890">
        <w:rPr>
          <w:color w:val="222222"/>
          <w:shd w:val="clear" w:color="auto" w:fill="FFFFFF"/>
        </w:rPr>
        <w:t xml:space="preserve"> the umbrella term including supercharger, turbocharger, and </w:t>
      </w:r>
      <w:r w:rsidRPr="00DA7890">
        <w:t xml:space="preserve">all kinds of forced air systems (be they superchargers (Root blowers), exhaust gas-driven turbochargers, pressure systems such as </w:t>
      </w:r>
      <w:proofErr w:type="spellStart"/>
      <w:r w:rsidRPr="00DA7890">
        <w:t>Comprex</w:t>
      </w:r>
      <w:proofErr w:type="spellEnd"/>
      <w:r w:rsidRPr="00DA7890">
        <w:t>, etc.)</w:t>
      </w:r>
    </w:p>
    <w:p w:rsidR="0059734D" w:rsidRPr="00DA7890" w:rsidRDefault="0059734D" w:rsidP="0059734D">
      <w:pPr>
        <w:pStyle w:val="bulletIIpoint"/>
        <w:rPr>
          <w:color w:val="auto"/>
          <w:lang w:eastAsia="en-GB"/>
        </w:rPr>
      </w:pPr>
      <w:r w:rsidRPr="00DA7890">
        <w:rPr>
          <w:shd w:val="clear" w:color="auto" w:fill="FFFFFF"/>
        </w:rPr>
        <w:t>Draft GTR2 text:</w:t>
      </w:r>
    </w:p>
    <w:p w:rsidR="003A1EA5" w:rsidRPr="00DA7890" w:rsidRDefault="003A1EA5" w:rsidP="00BC019F">
      <w:pPr>
        <w:pStyle w:val="bulletIIpoint"/>
        <w:numPr>
          <w:ilvl w:val="2"/>
          <w:numId w:val="17"/>
        </w:numPr>
        <w:ind w:left="1134"/>
        <w:rPr>
          <w:lang w:eastAsia="en-GB"/>
        </w:rPr>
      </w:pPr>
      <w:r w:rsidRPr="00DA7890">
        <w:rPr>
          <w:b/>
          <w:bCs/>
          <w:color w:val="222222"/>
          <w:shd w:val="clear" w:color="auto" w:fill="FFFFFF"/>
        </w:rPr>
        <w:t>Forced induction</w:t>
      </w:r>
      <w:r w:rsidRPr="00DA7890">
        <w:rPr>
          <w:color w:val="222222"/>
          <w:shd w:val="clear" w:color="auto" w:fill="FFFFFF"/>
        </w:rPr>
        <w:t> is the process of delivering compressed air to the intake of an</w:t>
      </w:r>
      <w:r w:rsidR="00A9735F" w:rsidRPr="00DA7890">
        <w:rPr>
          <w:color w:val="222222"/>
          <w:shd w:val="clear" w:color="auto" w:fill="FFFFFF"/>
        </w:rPr>
        <w:t xml:space="preserve"> internal combustion engine.</w:t>
      </w:r>
    </w:p>
    <w:p w:rsidR="003A1EA5" w:rsidRPr="00DA7890" w:rsidRDefault="003A1EA5" w:rsidP="00BC019F">
      <w:pPr>
        <w:pStyle w:val="bulletIIpoint"/>
        <w:numPr>
          <w:ilvl w:val="2"/>
          <w:numId w:val="17"/>
        </w:numPr>
        <w:ind w:left="1134"/>
        <w:rPr>
          <w:lang w:eastAsia="en-GB"/>
        </w:rPr>
      </w:pPr>
      <w:r w:rsidRPr="00DA7890">
        <w:rPr>
          <w:lang w:eastAsia="en-GB"/>
        </w:rPr>
        <w:t xml:space="preserve">A </w:t>
      </w:r>
      <w:r w:rsidRPr="00DA7890">
        <w:rPr>
          <w:b/>
          <w:bCs/>
          <w:lang w:eastAsia="en-GB"/>
        </w:rPr>
        <w:t>supercharger</w:t>
      </w:r>
      <w:r w:rsidRPr="00DA7890">
        <w:rPr>
          <w:lang w:eastAsia="en-GB"/>
        </w:rPr>
        <w:t xml:space="preserve"> is an air compressor driven by the crankshaft of an engine, usually connected with a belt. </w:t>
      </w:r>
    </w:p>
    <w:p w:rsidR="003A1EA5" w:rsidRPr="00DA7890" w:rsidRDefault="003A1EA5" w:rsidP="00BC019F">
      <w:pPr>
        <w:pStyle w:val="bulletIIpoint"/>
        <w:numPr>
          <w:ilvl w:val="2"/>
          <w:numId w:val="17"/>
        </w:numPr>
        <w:ind w:left="1134"/>
        <w:rPr>
          <w:lang w:eastAsia="en-GB"/>
        </w:rPr>
      </w:pPr>
      <w:r w:rsidRPr="00DA7890">
        <w:rPr>
          <w:lang w:eastAsia="en-GB"/>
        </w:rPr>
        <w:t xml:space="preserve">A </w:t>
      </w:r>
      <w:r w:rsidRPr="00DA7890">
        <w:rPr>
          <w:b/>
          <w:bCs/>
          <w:lang w:eastAsia="en-GB"/>
        </w:rPr>
        <w:t>turbocharger</w:t>
      </w:r>
      <w:r w:rsidRPr="00DA7890">
        <w:rPr>
          <w:lang w:eastAsia="en-GB"/>
        </w:rPr>
        <w:t xml:space="preserve"> is simply an air compressor driven by an exhaust gas turbine.</w:t>
      </w:r>
    </w:p>
    <w:p w:rsidR="0059734D" w:rsidRPr="00DA7890" w:rsidRDefault="0059734D" w:rsidP="00CD4EF9">
      <w:pPr>
        <w:pStyle w:val="bulletIIpoint"/>
      </w:pPr>
      <w:r w:rsidRPr="00DA7890">
        <w:t xml:space="preserve">EPPR to confirm above draft text </w:t>
      </w:r>
      <w:r w:rsidR="00A9735F" w:rsidRPr="00DA7890">
        <w:t xml:space="preserve">proposed by the Secretariat </w:t>
      </w:r>
      <w:r w:rsidRPr="00DA7890">
        <w:t>for</w:t>
      </w:r>
      <w:r w:rsidR="00A9735F" w:rsidRPr="00DA7890">
        <w:t xml:space="preserve"> the next session</w:t>
      </w:r>
    </w:p>
    <w:p w:rsidR="003A1EA5" w:rsidRPr="00DA7890" w:rsidRDefault="00A9735F" w:rsidP="00CD4EF9">
      <w:pPr>
        <w:pStyle w:val="bulletIIpoint"/>
      </w:pPr>
      <w:r w:rsidRPr="00DA7890">
        <w:t>Open point.</w:t>
      </w:r>
    </w:p>
    <w:bookmarkEnd w:id="4"/>
    <w:p w:rsidR="00A9735F" w:rsidRPr="00DA7890" w:rsidRDefault="00A9735F" w:rsidP="00CD4EF9">
      <w:pPr>
        <w:pStyle w:val="bul1"/>
        <w:numPr>
          <w:ilvl w:val="0"/>
          <w:numId w:val="0"/>
        </w:numPr>
        <w:ind w:left="360"/>
      </w:pPr>
    </w:p>
    <w:p w:rsidR="000D6F61" w:rsidRPr="00DA7890" w:rsidRDefault="0050120B" w:rsidP="00F526B2">
      <w:pPr>
        <w:pStyle w:val="bulletpoint"/>
      </w:pPr>
      <w:r w:rsidRPr="00DA7890">
        <w:rPr>
          <w:b/>
        </w:rPr>
        <w:t>Pollution-control device</w:t>
      </w:r>
      <w:r w:rsidR="00EC42CC" w:rsidRPr="00DA7890">
        <w:rPr>
          <w:b/>
        </w:rPr>
        <w:t>s</w:t>
      </w:r>
      <w:r w:rsidR="00F57A9D" w:rsidRPr="00DA7890">
        <w:t>:</w:t>
      </w:r>
    </w:p>
    <w:p w:rsidR="00CD4EF9" w:rsidRPr="00DA7890" w:rsidRDefault="00346B38" w:rsidP="00F526B2">
      <w:pPr>
        <w:pStyle w:val="bulletIIpoint"/>
      </w:pPr>
      <w:r w:rsidRPr="00DA7890">
        <w:t>India</w:t>
      </w:r>
      <w:r w:rsidR="001E7506" w:rsidRPr="00DA7890">
        <w:t xml:space="preserve"> </w:t>
      </w:r>
      <w:r w:rsidR="00EC42CC" w:rsidRPr="00DA7890">
        <w:t>&amp;</w:t>
      </w:r>
      <w:r w:rsidR="001E7506" w:rsidRPr="00DA7890">
        <w:t xml:space="preserve"> </w:t>
      </w:r>
      <w:r w:rsidR="00D9525B" w:rsidRPr="00DA7890">
        <w:t xml:space="preserve">US </w:t>
      </w:r>
      <w:r w:rsidRPr="00DA7890">
        <w:t>p</w:t>
      </w:r>
      <w:r w:rsidR="001E7506" w:rsidRPr="00DA7890">
        <w:t>roposal for</w:t>
      </w:r>
      <w:r w:rsidRPr="00DA7890">
        <w:t xml:space="preserve"> </w:t>
      </w:r>
      <w:r w:rsidR="00B34FE1" w:rsidRPr="00DA7890">
        <w:t xml:space="preserve">amendment to clause </w:t>
      </w:r>
      <w:r w:rsidRPr="00DA7890">
        <w:t>4.38</w:t>
      </w:r>
      <w:r w:rsidR="001033A2" w:rsidRPr="00DA7890">
        <w:t>:</w:t>
      </w:r>
      <w:r w:rsidR="00B34FE1" w:rsidRPr="00DA7890">
        <w:t xml:space="preserve"> </w:t>
      </w:r>
      <w:bookmarkStart w:id="5" w:name="_Hlk499305438"/>
      <w:r w:rsidR="00B34FE1" w:rsidRPr="00DA7890">
        <w:t>[</w:t>
      </w:r>
      <w:r w:rsidRPr="00DA7890">
        <w:t xml:space="preserve">‘Pollution-control device’ means those components </w:t>
      </w:r>
      <w:r w:rsidR="00B34FE1" w:rsidRPr="00DA7890">
        <w:t xml:space="preserve">(hardware or software) </w:t>
      </w:r>
      <w:r w:rsidRPr="00DA7890">
        <w:t>of a vehicle that control or reduce emissions;</w:t>
      </w:r>
      <w:r w:rsidR="00B34FE1" w:rsidRPr="00DA7890">
        <w:t>]</w:t>
      </w:r>
      <w:bookmarkEnd w:id="5"/>
      <w:r w:rsidR="006D7DD7" w:rsidRPr="00DA7890">
        <w:t xml:space="preserve"> </w:t>
      </w:r>
      <w:r w:rsidR="00EC42CC" w:rsidRPr="00DA7890">
        <w:t>was agreed upon.</w:t>
      </w:r>
      <w:r w:rsidR="00A9735F" w:rsidRPr="00DA7890">
        <w:t xml:space="preserve"> </w:t>
      </w:r>
    </w:p>
    <w:p w:rsidR="00346B38" w:rsidRPr="00DA7890" w:rsidRDefault="00A9735F" w:rsidP="00F526B2">
      <w:pPr>
        <w:pStyle w:val="bulletIIpoint"/>
      </w:pPr>
      <w:r w:rsidRPr="00DA7890">
        <w:t>Closed point.</w:t>
      </w:r>
    </w:p>
    <w:p w:rsidR="0018617B" w:rsidRPr="00DA7890" w:rsidRDefault="0018617B" w:rsidP="003775BB">
      <w:pPr>
        <w:ind w:left="1080"/>
        <w:jc w:val="both"/>
        <w:rPr>
          <w:color w:val="000000"/>
          <w:lang w:val="en-GB"/>
        </w:rPr>
      </w:pPr>
    </w:p>
    <w:p w:rsidR="005921F4" w:rsidRPr="00DA7890" w:rsidRDefault="005921F4" w:rsidP="003775BB">
      <w:pPr>
        <w:ind w:left="1080"/>
        <w:jc w:val="both"/>
        <w:rPr>
          <w:color w:val="000000"/>
          <w:lang w:val="en-GB"/>
        </w:rPr>
      </w:pPr>
    </w:p>
    <w:p w:rsidR="0018617B" w:rsidRPr="00DA7890" w:rsidRDefault="0018617B" w:rsidP="003775BB">
      <w:pPr>
        <w:pStyle w:val="Heading1"/>
        <w:numPr>
          <w:ilvl w:val="1"/>
          <w:numId w:val="1"/>
        </w:numPr>
        <w:jc w:val="both"/>
        <w:rPr>
          <w:u w:val="single"/>
        </w:rPr>
      </w:pPr>
      <w:r w:rsidRPr="00DA7890">
        <w:rPr>
          <w:u w:val="single"/>
        </w:rPr>
        <w:t>GTR2 Part B2</w:t>
      </w:r>
    </w:p>
    <w:p w:rsidR="00D10F24" w:rsidRPr="00DA7890" w:rsidRDefault="00D10F24" w:rsidP="00F526B2">
      <w:pPr>
        <w:pStyle w:val="Subtitle"/>
      </w:pPr>
      <w:r w:rsidRPr="00DA7890">
        <w:t>Documents</w:t>
      </w:r>
    </w:p>
    <w:p w:rsidR="0098032C" w:rsidRPr="00DA7890" w:rsidRDefault="00701058" w:rsidP="00CD4EF9">
      <w:pPr>
        <w:pStyle w:val="bulletpoint"/>
        <w:rPr>
          <w:rStyle w:val="Hyperlink"/>
          <w:color w:val="000000"/>
          <w:u w:val="none"/>
        </w:rPr>
      </w:pPr>
      <w:r w:rsidRPr="00DA7890">
        <w:rPr>
          <w:rStyle w:val="Hyperlink"/>
          <w:color w:val="000000"/>
          <w:u w:val="none"/>
        </w:rPr>
        <w:t>EPPR-21-17 Humidity and Temperature correction factors for NOx from diesel</w:t>
      </w:r>
    </w:p>
    <w:p w:rsidR="00DF7329" w:rsidRPr="00DA7890" w:rsidRDefault="00DF7329" w:rsidP="00CD4EF9">
      <w:pPr>
        <w:pStyle w:val="bulletpoint"/>
        <w:rPr>
          <w:color w:val="808080"/>
        </w:rPr>
      </w:pPr>
      <w:r w:rsidRPr="00DA7890">
        <w:rPr>
          <w:color w:val="808080"/>
        </w:rPr>
        <w:t>EPPR-22-09 GTR2 part B2 overview updated 20171122.xlsx</w:t>
      </w:r>
    </w:p>
    <w:p w:rsidR="006325ED" w:rsidRPr="00DA7890" w:rsidRDefault="00DF7329" w:rsidP="00CD4EF9">
      <w:pPr>
        <w:pStyle w:val="bulletpoint"/>
        <w:rPr>
          <w:rStyle w:val="Hyperlink"/>
          <w:color w:val="808080"/>
          <w:u w:val="none"/>
        </w:rPr>
      </w:pPr>
      <w:r w:rsidRPr="00DA7890">
        <w:rPr>
          <w:rStyle w:val="Hyperlink"/>
          <w:color w:val="808080"/>
          <w:u w:val="none"/>
        </w:rPr>
        <w:t>EPPR-22-10 GTR2 revision - Part B2 text updated 20171122</w:t>
      </w:r>
    </w:p>
    <w:p w:rsidR="00D10F24" w:rsidRPr="00DA7890" w:rsidRDefault="0098032C" w:rsidP="00CD4EF9">
      <w:pPr>
        <w:pStyle w:val="bulletpoint"/>
      </w:pPr>
      <w:r w:rsidRPr="00DA7890">
        <w:t xml:space="preserve">EPPR-22-02 (IMMA) </w:t>
      </w:r>
      <w:proofErr w:type="spellStart"/>
      <w:r w:rsidRPr="00DA7890">
        <w:t>Open_vs_Closed</w:t>
      </w:r>
      <w:proofErr w:type="spellEnd"/>
      <w:r w:rsidRPr="00DA7890">
        <w:t xml:space="preserve"> exhaust gas measurement </w:t>
      </w:r>
      <w:proofErr w:type="spellStart"/>
      <w:r w:rsidRPr="00DA7890">
        <w:t>system_Data</w:t>
      </w:r>
      <w:proofErr w:type="spellEnd"/>
    </w:p>
    <w:p w:rsidR="00E11DE1" w:rsidRPr="00DA7890" w:rsidRDefault="00E11DE1" w:rsidP="00CD4EF9">
      <w:pPr>
        <w:pStyle w:val="bulletpoint"/>
      </w:pPr>
      <w:r w:rsidRPr="00DA7890">
        <w:t>EPPR-22-05 (India)</w:t>
      </w:r>
      <w:r w:rsidR="00DC49A3" w:rsidRPr="00DA7890">
        <w:t xml:space="preserve"> </w:t>
      </w:r>
      <w:r w:rsidR="00472457" w:rsidRPr="00DA7890">
        <w:t>comments on several open points</w:t>
      </w:r>
    </w:p>
    <w:p w:rsidR="00B6456F" w:rsidRPr="00DA7890" w:rsidRDefault="00B6456F" w:rsidP="00CD4EF9">
      <w:pPr>
        <w:pStyle w:val="bulletpoint"/>
      </w:pPr>
      <w:r w:rsidRPr="00DA7890">
        <w:t>EPPR-22-12_Japan_proposal GTR2 B2 (</w:t>
      </w:r>
      <w:proofErr w:type="spellStart"/>
      <w:r w:rsidRPr="00DA7890">
        <w:t>drive_mode</w:t>
      </w:r>
      <w:proofErr w:type="spellEnd"/>
      <w:r w:rsidRPr="00DA7890">
        <w:t>)</w:t>
      </w:r>
    </w:p>
    <w:p w:rsidR="002203AB" w:rsidRPr="00DA7890" w:rsidRDefault="002203AB" w:rsidP="00CD4EF9">
      <w:pPr>
        <w:pStyle w:val="bulletpoint"/>
      </w:pPr>
      <w:r w:rsidRPr="00DA7890">
        <w:t>EPPR-22-14_Japan_proposal_EPPR-22-09 GTR2 part B2 overview updated 20171122</w:t>
      </w:r>
    </w:p>
    <w:p w:rsidR="003C4F18" w:rsidRPr="00DA7890" w:rsidRDefault="003C4F18" w:rsidP="00CD4EF9">
      <w:pPr>
        <w:pStyle w:val="bulletpoint"/>
      </w:pPr>
      <w:r w:rsidRPr="00DA7890">
        <w:t>EPPR-22-16 (IMMA) EPPR weighting factors</w:t>
      </w:r>
    </w:p>
    <w:p w:rsidR="00A37E65" w:rsidRPr="00DA7890" w:rsidRDefault="00A37E65" w:rsidP="00CD4EF9">
      <w:pPr>
        <w:pStyle w:val="bulletpoint"/>
      </w:pPr>
      <w:r w:rsidRPr="00DA7890">
        <w:t>EPPR-22-17 (IMMA) Additional explanation for OPEN and CLOSED systems</w:t>
      </w:r>
    </w:p>
    <w:p w:rsidR="00A9735F" w:rsidRPr="00DA7890" w:rsidRDefault="00A9735F" w:rsidP="00CD4EF9">
      <w:pPr>
        <w:pStyle w:val="bulletpoint"/>
      </w:pPr>
      <w:r w:rsidRPr="00DA7890">
        <w:t>EPPR-22-21 r1 (IMMA) comments for EPPR GTR2 discussion</w:t>
      </w:r>
    </w:p>
    <w:p w:rsidR="00FB1ABA" w:rsidRPr="00DA7890" w:rsidRDefault="00FB1ABA" w:rsidP="00FB1ABA">
      <w:pPr>
        <w:pStyle w:val="bulletpoint"/>
        <w:rPr>
          <w:lang w:eastAsia="fr-CH"/>
        </w:rPr>
      </w:pPr>
      <w:bookmarkStart w:id="6" w:name="_Hlk505595771"/>
      <w:r w:rsidRPr="00DA7890">
        <w:t>EPPR-22-25 GTR2 Part B1 &amp; B2 consolidated text updated 20180111</w:t>
      </w:r>
    </w:p>
    <w:p w:rsidR="00C42034" w:rsidRPr="00DA7890" w:rsidRDefault="00C42034" w:rsidP="00C42034">
      <w:pPr>
        <w:pStyle w:val="bulletpoint"/>
      </w:pPr>
      <w:r w:rsidRPr="00DA7890">
        <w:t>EPPR-22-26 GTR2 part B2 overview updated 20180110.xlsx</w:t>
      </w:r>
    </w:p>
    <w:bookmarkEnd w:id="6"/>
    <w:p w:rsidR="0098032C" w:rsidRPr="00DA7890" w:rsidRDefault="0098032C" w:rsidP="00CD4EF9">
      <w:pPr>
        <w:pStyle w:val="bul1"/>
        <w:numPr>
          <w:ilvl w:val="0"/>
          <w:numId w:val="0"/>
        </w:numPr>
        <w:ind w:left="360"/>
      </w:pPr>
    </w:p>
    <w:p w:rsidR="00D10F24" w:rsidRPr="00DA7890" w:rsidRDefault="004A746D" w:rsidP="00F526B2">
      <w:pPr>
        <w:pStyle w:val="Subtitle"/>
      </w:pPr>
      <w:r w:rsidRPr="00DA7890">
        <w:t>Open points before the meeting</w:t>
      </w:r>
    </w:p>
    <w:p w:rsidR="00E11DE1" w:rsidRPr="00DA7890" w:rsidRDefault="006325ED" w:rsidP="00F526B2">
      <w:pPr>
        <w:pStyle w:val="bulletpoint"/>
      </w:pPr>
      <w:r w:rsidRPr="00DA7890">
        <w:t>Soak</w:t>
      </w:r>
      <w:r w:rsidR="00963F29" w:rsidRPr="00DA7890">
        <w:t xml:space="preserve"> room temperature </w:t>
      </w:r>
      <w:r w:rsidR="00FA0A84" w:rsidRPr="00DA7890">
        <w:t>and Test room humidity</w:t>
      </w:r>
      <w:r w:rsidR="0061226D" w:rsidRPr="00DA7890">
        <w:t xml:space="preserve"> </w:t>
      </w:r>
    </w:p>
    <w:p w:rsidR="00F43886" w:rsidRPr="00DA7890" w:rsidRDefault="00F43886" w:rsidP="00F526B2">
      <w:pPr>
        <w:pStyle w:val="bulletIIpoint"/>
      </w:pPr>
      <w:r w:rsidRPr="00DA7890">
        <w:t>India proposal submitted as EPPR-22-05 to be checked</w:t>
      </w:r>
    </w:p>
    <w:p w:rsidR="000232FA" w:rsidRPr="00DA7890" w:rsidRDefault="000232FA" w:rsidP="00F526B2">
      <w:pPr>
        <w:pStyle w:val="bulletIIpoint"/>
      </w:pPr>
      <w:r w:rsidRPr="00DA7890">
        <w:t>IMMA to check whether Regulation 134-2014 has any humidity control requirement</w:t>
      </w:r>
    </w:p>
    <w:p w:rsidR="00963F29" w:rsidRPr="00DA7890" w:rsidRDefault="00963F29" w:rsidP="00F526B2">
      <w:pPr>
        <w:pStyle w:val="bulletpoint"/>
      </w:pPr>
      <w:r w:rsidRPr="00DA7890">
        <w:t>Exhaust gas measurement system (open/closed)</w:t>
      </w:r>
    </w:p>
    <w:p w:rsidR="007E42B5" w:rsidRPr="00DA7890" w:rsidRDefault="0098032C" w:rsidP="00F526B2">
      <w:pPr>
        <w:pStyle w:val="bulletIIpoint"/>
      </w:pPr>
      <w:bookmarkStart w:id="7" w:name="_Hlk498606237"/>
      <w:r w:rsidRPr="00DA7890">
        <w:t xml:space="preserve">EPPR-22-02 </w:t>
      </w:r>
      <w:r w:rsidR="00E1467D" w:rsidRPr="00DA7890">
        <w:t xml:space="preserve">IMMA proposal </w:t>
      </w:r>
      <w:r w:rsidR="00971247" w:rsidRPr="00DA7890">
        <w:t xml:space="preserve">to be checked </w:t>
      </w:r>
    </w:p>
    <w:bookmarkEnd w:id="7"/>
    <w:p w:rsidR="0062160E" w:rsidRPr="00DA7890" w:rsidRDefault="0062160E" w:rsidP="00F526B2">
      <w:pPr>
        <w:pStyle w:val="bulletpoint"/>
      </w:pPr>
      <w:r w:rsidRPr="00DA7890">
        <w:t>PM/PN:</w:t>
      </w:r>
    </w:p>
    <w:p w:rsidR="00E1467D" w:rsidRPr="00DA7890" w:rsidRDefault="0062160E" w:rsidP="00F526B2">
      <w:pPr>
        <w:pStyle w:val="bulletIIpoint"/>
      </w:pPr>
      <w:r w:rsidRPr="00DA7890">
        <w:t xml:space="preserve">Chair </w:t>
      </w:r>
      <w:r w:rsidR="006D7DD7" w:rsidRPr="00DA7890">
        <w:t>to</w:t>
      </w:r>
      <w:r w:rsidRPr="00DA7890">
        <w:t xml:space="preserve"> check whether DI/CI engines are covered in PMP- text.</w:t>
      </w:r>
      <w:r w:rsidR="00573B19" w:rsidRPr="00DA7890">
        <w:t xml:space="preserve"> </w:t>
      </w:r>
    </w:p>
    <w:p w:rsidR="005C214E" w:rsidRPr="00DA7890" w:rsidRDefault="005C214E" w:rsidP="00F526B2">
      <w:pPr>
        <w:pStyle w:val="bulletpoint"/>
      </w:pPr>
      <w:r w:rsidRPr="00DA7890">
        <w:t>Predominant mode, para. 3.4.5.1.2.</w:t>
      </w:r>
    </w:p>
    <w:p w:rsidR="00EE02A7" w:rsidRPr="00DA7890" w:rsidRDefault="0080122D" w:rsidP="00F526B2">
      <w:pPr>
        <w:pStyle w:val="bulletIIpoint"/>
      </w:pPr>
      <w:r w:rsidRPr="00DA7890">
        <w:t>India proposal</w:t>
      </w:r>
      <w:r w:rsidR="00EE02A7" w:rsidRPr="00DA7890">
        <w:t xml:space="preserve"> EPPR-22-05</w:t>
      </w:r>
      <w:r w:rsidRPr="00DA7890">
        <w:t xml:space="preserve"> </w:t>
      </w:r>
      <w:r w:rsidR="00EE02A7" w:rsidRPr="00DA7890">
        <w:t xml:space="preserve">on additional modes </w:t>
      </w:r>
      <w:r w:rsidR="006D7DD7" w:rsidRPr="00DA7890">
        <w:t>to be checked</w:t>
      </w:r>
    </w:p>
    <w:p w:rsidR="001B52F0" w:rsidRPr="00DA7890" w:rsidRDefault="0080122D" w:rsidP="00F526B2">
      <w:pPr>
        <w:pStyle w:val="bulletIIpoint"/>
      </w:pPr>
      <w:r w:rsidRPr="00DA7890">
        <w:t xml:space="preserve">RDW </w:t>
      </w:r>
      <w:r w:rsidR="006D7DD7" w:rsidRPr="00DA7890">
        <w:t xml:space="preserve">proposal </w:t>
      </w:r>
      <w:r w:rsidRPr="00DA7890">
        <w:t>to change</w:t>
      </w:r>
      <w:r w:rsidR="00EE02A7" w:rsidRPr="00DA7890">
        <w:t xml:space="preserve"> the word</w:t>
      </w:r>
      <w:r w:rsidRPr="00DA7890">
        <w:t xml:space="preserve"> </w:t>
      </w:r>
      <w:r w:rsidR="005865D8" w:rsidRPr="00DA7890">
        <w:t>‘</w:t>
      </w:r>
      <w:r w:rsidRPr="00DA7890">
        <w:t>test agency</w:t>
      </w:r>
      <w:r w:rsidR="005865D8" w:rsidRPr="00DA7890">
        <w:t>’</w:t>
      </w:r>
      <w:r w:rsidRPr="00DA7890">
        <w:t xml:space="preserve"> </w:t>
      </w:r>
      <w:r w:rsidR="006D7DD7" w:rsidRPr="00DA7890">
        <w:t>with</w:t>
      </w:r>
      <w:r w:rsidRPr="00DA7890">
        <w:t xml:space="preserve"> </w:t>
      </w:r>
      <w:r w:rsidR="00EE02A7" w:rsidRPr="00DA7890">
        <w:t xml:space="preserve">another </w:t>
      </w:r>
      <w:r w:rsidR="005865D8" w:rsidRPr="00DA7890">
        <w:t>appropriate term</w:t>
      </w:r>
      <w:r w:rsidR="00EE02A7" w:rsidRPr="00DA7890">
        <w:t>,</w:t>
      </w:r>
      <w:r w:rsidR="005865D8" w:rsidRPr="00DA7890">
        <w:t xml:space="preserve"> </w:t>
      </w:r>
      <w:r w:rsidR="006D7DD7" w:rsidRPr="00DA7890">
        <w:t>in line with</w:t>
      </w:r>
      <w:r w:rsidR="005865D8" w:rsidRPr="00DA7890">
        <w:t xml:space="preserve"> other GTRs</w:t>
      </w:r>
      <w:r w:rsidR="006D7DD7" w:rsidRPr="00DA7890">
        <w:t>, to be checked</w:t>
      </w:r>
    </w:p>
    <w:p w:rsidR="005C214E" w:rsidRPr="00DA7890" w:rsidRDefault="005C214E" w:rsidP="00F526B2">
      <w:pPr>
        <w:pStyle w:val="bulletpoint"/>
      </w:pPr>
      <w:r w:rsidRPr="00DA7890">
        <w:t>Extraordinary conditions, para. 3.4.6.2.1</w:t>
      </w:r>
    </w:p>
    <w:p w:rsidR="005C214E" w:rsidRPr="00DA7890" w:rsidRDefault="005C214E" w:rsidP="00F526B2">
      <w:pPr>
        <w:pStyle w:val="bulletIIpoint"/>
      </w:pPr>
      <w:r w:rsidRPr="00DA7890">
        <w:t xml:space="preserve">EC to clarify “extraordinary conditions” </w:t>
      </w:r>
    </w:p>
    <w:p w:rsidR="006325ED" w:rsidRPr="00DA7890" w:rsidRDefault="006325ED" w:rsidP="00F526B2">
      <w:pPr>
        <w:pStyle w:val="bulletpoint"/>
      </w:pPr>
      <w:r w:rsidRPr="00DA7890">
        <w:t>Chassis dynamometer, Para 4.2.2.2.5</w:t>
      </w:r>
      <w:r w:rsidR="00CA30C6" w:rsidRPr="00DA7890">
        <w:t>.1</w:t>
      </w:r>
      <w:r w:rsidR="00D27E29" w:rsidRPr="00DA7890">
        <w:tab/>
      </w:r>
      <w:r w:rsidR="00D27E29" w:rsidRPr="00DA7890">
        <w:tab/>
      </w:r>
      <w:r w:rsidR="00D27E29" w:rsidRPr="00DA7890">
        <w:tab/>
      </w:r>
    </w:p>
    <w:p w:rsidR="006325ED" w:rsidRPr="00DA7890" w:rsidRDefault="001B52F0" w:rsidP="00F526B2">
      <w:pPr>
        <w:pStyle w:val="bulletIIpoint"/>
      </w:pPr>
      <w:r w:rsidRPr="00DA7890">
        <w:t>C</w:t>
      </w:r>
      <w:r w:rsidR="006325ED" w:rsidRPr="00DA7890">
        <w:t>lause 4.2.2.2.5.1</w:t>
      </w:r>
      <w:r w:rsidRPr="00DA7890">
        <w:t xml:space="preserve">, </w:t>
      </w:r>
      <w:r w:rsidR="00CA30C6" w:rsidRPr="00DA7890">
        <w:t xml:space="preserve">following </w:t>
      </w:r>
      <w:r w:rsidRPr="00DA7890">
        <w:t>India propos</w:t>
      </w:r>
      <w:r w:rsidR="00CA30C6" w:rsidRPr="00DA7890">
        <w:t>al</w:t>
      </w:r>
      <w:r w:rsidRPr="00DA7890">
        <w:t xml:space="preserve"> (EPPR-22-05)</w:t>
      </w:r>
      <w:r w:rsidR="00CA30C6" w:rsidRPr="00DA7890">
        <w:t xml:space="preserve"> to be checked</w:t>
      </w:r>
    </w:p>
    <w:p w:rsidR="001B52F0" w:rsidRPr="00DA7890" w:rsidRDefault="001B52F0" w:rsidP="00F526B2">
      <w:pPr>
        <w:pStyle w:val="bulletIIpoint"/>
        <w:numPr>
          <w:ilvl w:val="0"/>
          <w:numId w:val="0"/>
        </w:numPr>
        <w:ind w:left="709"/>
      </w:pPr>
      <w:r w:rsidRPr="00DA7890">
        <w:t>Chassis dynamometer with polygonal function</w:t>
      </w:r>
    </w:p>
    <w:p w:rsidR="001B52F0" w:rsidRPr="00DA7890" w:rsidRDefault="001B52F0" w:rsidP="00F526B2">
      <w:pPr>
        <w:pStyle w:val="bulletIIpoint"/>
        <w:numPr>
          <w:ilvl w:val="0"/>
          <w:numId w:val="0"/>
        </w:numPr>
        <w:ind w:left="709"/>
      </w:pPr>
      <w:r w:rsidRPr="00DA7890">
        <w:t xml:space="preserve">“In the case of a chassis dynamometer with polygonal function, in which the absorption characteristics are determined by load values at several specified vehicle speed points, at least </w:t>
      </w:r>
      <w:r w:rsidRPr="00DA7890">
        <w:rPr>
          <w:b/>
        </w:rPr>
        <w:t>five</w:t>
      </w:r>
      <w:r w:rsidRPr="00DA7890">
        <w:t xml:space="preserve"> </w:t>
      </w:r>
      <w:r w:rsidRPr="00DA7890">
        <w:rPr>
          <w:strike/>
        </w:rPr>
        <w:t>three</w:t>
      </w:r>
      <w:r w:rsidRPr="00DA7890">
        <w:t xml:space="preserve"> specified vehicle speeds, including the reference vehicle speed, shall be chosen as the setting points. At each setting point, the chassis dynamometer shall be set to the value </w:t>
      </w:r>
      <w:proofErr w:type="spellStart"/>
      <w:r w:rsidRPr="00DA7890">
        <w:t>Fpau</w:t>
      </w:r>
      <w:proofErr w:type="spellEnd"/>
      <w:r w:rsidRPr="00DA7890">
        <w:t xml:space="preserve"> (</w:t>
      </w:r>
      <w:proofErr w:type="spellStart"/>
      <w:r w:rsidRPr="00DA7890">
        <w:t>vj</w:t>
      </w:r>
      <w:proofErr w:type="spellEnd"/>
      <w:r w:rsidRPr="00DA7890">
        <w:t>) obtained in point 4.2.2.2.4”</w:t>
      </w:r>
    </w:p>
    <w:p w:rsidR="005C214E" w:rsidRPr="00DA7890" w:rsidRDefault="006325ED" w:rsidP="00F526B2">
      <w:pPr>
        <w:pStyle w:val="bulletpoint"/>
      </w:pPr>
      <w:r w:rsidRPr="00DA7890">
        <w:t xml:space="preserve">Pre-conditioning, </w:t>
      </w:r>
      <w:r w:rsidR="005C214E" w:rsidRPr="00DA7890">
        <w:t>Para. 4.2.4.5</w:t>
      </w:r>
    </w:p>
    <w:p w:rsidR="00995E8B" w:rsidRPr="00DA7890" w:rsidRDefault="005C214E" w:rsidP="00F526B2">
      <w:pPr>
        <w:pStyle w:val="bulletIIpoint"/>
      </w:pPr>
      <w:r w:rsidRPr="00DA7890">
        <w:t xml:space="preserve">To be </w:t>
      </w:r>
      <w:r w:rsidR="00995E8B" w:rsidRPr="00DA7890">
        <w:t>concluded</w:t>
      </w:r>
      <w:r w:rsidRPr="00DA7890">
        <w:t xml:space="preserve"> once the room temperature is decided upon</w:t>
      </w:r>
      <w:r w:rsidR="00995E8B" w:rsidRPr="00DA7890">
        <w:t>.</w:t>
      </w:r>
    </w:p>
    <w:p w:rsidR="005C214E" w:rsidRPr="00DA7890" w:rsidRDefault="005C214E" w:rsidP="00F526B2">
      <w:pPr>
        <w:pStyle w:val="bulletpoint"/>
      </w:pPr>
      <w:r w:rsidRPr="00DA7890">
        <w:t xml:space="preserve">Weighting factors, para. 5.1.1.6: </w:t>
      </w:r>
    </w:p>
    <w:p w:rsidR="00D10F24" w:rsidRPr="00DA7890" w:rsidRDefault="00257CBF" w:rsidP="00F526B2">
      <w:pPr>
        <w:pStyle w:val="bulletIIpoint"/>
      </w:pPr>
      <w:r w:rsidRPr="00DA7890">
        <w:t xml:space="preserve">EC to provide a table/summary to indicate the latest conclusion on </w:t>
      </w:r>
      <w:r w:rsidR="00480A90" w:rsidRPr="00DA7890">
        <w:t>weighting</w:t>
      </w:r>
      <w:r w:rsidRPr="00DA7890">
        <w:t xml:space="preserve"> factors </w:t>
      </w:r>
      <w:r w:rsidR="00971247" w:rsidRPr="00DA7890">
        <w:t>f</w:t>
      </w:r>
      <w:r w:rsidRPr="00DA7890">
        <w:t xml:space="preserve">or Euro 4 and Euro 5 </w:t>
      </w:r>
    </w:p>
    <w:p w:rsidR="00EF3586" w:rsidRPr="00DA7890" w:rsidRDefault="00EF3586" w:rsidP="003775BB">
      <w:pPr>
        <w:ind w:left="720"/>
        <w:jc w:val="both"/>
        <w:rPr>
          <w:u w:val="single"/>
          <w:lang w:val="en-GB"/>
        </w:rPr>
      </w:pPr>
    </w:p>
    <w:p w:rsidR="00F57A9D" w:rsidRPr="00DA7890" w:rsidRDefault="00F57A9D" w:rsidP="00F57A9D">
      <w:pPr>
        <w:pStyle w:val="Subtitle"/>
      </w:pPr>
      <w:r w:rsidRPr="00DA7890">
        <w:t>Discussion</w:t>
      </w:r>
    </w:p>
    <w:p w:rsidR="0063622A" w:rsidRPr="00DA7890" w:rsidRDefault="0063622A" w:rsidP="00F57A9D">
      <w:pPr>
        <w:pStyle w:val="bulletpoint"/>
      </w:pPr>
      <w:r w:rsidRPr="00DA7890">
        <w:rPr>
          <w:b/>
        </w:rPr>
        <w:t>Temperature</w:t>
      </w:r>
      <w:r w:rsidR="00BC019F" w:rsidRPr="00DA7890">
        <w:t>,</w:t>
      </w:r>
      <w:r w:rsidRPr="00DA7890">
        <w:t xml:space="preserve"> unit of measurements</w:t>
      </w:r>
    </w:p>
    <w:p w:rsidR="0063622A" w:rsidRPr="00DA7890" w:rsidRDefault="0063622A" w:rsidP="00472457">
      <w:pPr>
        <w:pStyle w:val="bulletIIpoint"/>
      </w:pPr>
      <w:r w:rsidRPr="00DA7890">
        <w:t xml:space="preserve">It was confirmed that temperature shall be measured in °C. Wherever temperature conversion is required in K for calculation purpose, the following equivalence shall be used, </w:t>
      </w:r>
      <w:r w:rsidRPr="00DA7890">
        <w:rPr>
          <w:b/>
        </w:rPr>
        <w:t>0 °C = 273.15 K</w:t>
      </w:r>
      <w:r w:rsidR="00472457" w:rsidRPr="00DA7890">
        <w:t xml:space="preserve"> (not 273.2 K)</w:t>
      </w:r>
    </w:p>
    <w:p w:rsidR="00CD4EF9" w:rsidRPr="00DA7890" w:rsidRDefault="00CD4EF9" w:rsidP="00472457">
      <w:pPr>
        <w:pStyle w:val="bulletIIpoint"/>
      </w:pPr>
      <w:r w:rsidRPr="00DA7890">
        <w:t>Closed point</w:t>
      </w:r>
    </w:p>
    <w:p w:rsidR="00F57A9D" w:rsidRPr="00DA7890" w:rsidRDefault="00F57A9D" w:rsidP="00F57A9D">
      <w:pPr>
        <w:pStyle w:val="bulletpoint"/>
        <w:rPr>
          <w:b/>
        </w:rPr>
      </w:pPr>
      <w:r w:rsidRPr="00DA7890">
        <w:rPr>
          <w:b/>
        </w:rPr>
        <w:t>Test room humidity</w:t>
      </w:r>
    </w:p>
    <w:p w:rsidR="00F57A9D" w:rsidRPr="00DA7890" w:rsidRDefault="0063622A" w:rsidP="003C6F22">
      <w:pPr>
        <w:pStyle w:val="bulletIIpoint"/>
      </w:pPr>
      <w:bookmarkStart w:id="8" w:name="_Hlk505248445"/>
      <w:r w:rsidRPr="00DA7890">
        <w:t xml:space="preserve">It was clarified that EU Regulation 134-2014 has no humidity control requirement and finally </w:t>
      </w:r>
      <w:r w:rsidR="00F57A9D" w:rsidRPr="00DA7890">
        <w:t xml:space="preserve">agreed that there is </w:t>
      </w:r>
      <w:r w:rsidR="00F57A9D" w:rsidRPr="00DA7890">
        <w:rPr>
          <w:b/>
        </w:rPr>
        <w:t>no</w:t>
      </w:r>
      <w:r w:rsidR="00F57A9D" w:rsidRPr="00DA7890">
        <w:t xml:space="preserve"> need </w:t>
      </w:r>
      <w:r w:rsidR="00DA7890" w:rsidRPr="00DA7890">
        <w:t>for</w:t>
      </w:r>
      <w:r w:rsidR="00F57A9D" w:rsidRPr="00DA7890">
        <w:rPr>
          <w:b/>
        </w:rPr>
        <w:t xml:space="preserve"> humidity</w:t>
      </w:r>
      <w:r w:rsidR="00DA7890" w:rsidRPr="00DA7890">
        <w:rPr>
          <w:b/>
        </w:rPr>
        <w:t xml:space="preserve"> control</w:t>
      </w:r>
      <w:r w:rsidRPr="00DA7890">
        <w:rPr>
          <w:b/>
        </w:rPr>
        <w:t>.</w:t>
      </w:r>
    </w:p>
    <w:p w:rsidR="00F57A9D" w:rsidRPr="00DA7890" w:rsidRDefault="00F57A9D" w:rsidP="00F57A9D">
      <w:pPr>
        <w:pStyle w:val="bulletIIpoint"/>
      </w:pPr>
      <w:r w:rsidRPr="00DA7890">
        <w:t>It was agreed that it is</w:t>
      </w:r>
      <w:r w:rsidR="0063622A" w:rsidRPr="00DA7890">
        <w:t xml:space="preserve"> </w:t>
      </w:r>
      <w:r w:rsidRPr="00DA7890">
        <w:t>needed to measure, report and correct</w:t>
      </w:r>
      <w:r w:rsidR="00DF0E8F" w:rsidRPr="00DA7890">
        <w:t xml:space="preserve"> humi</w:t>
      </w:r>
      <w:r w:rsidR="0063622A" w:rsidRPr="00DA7890">
        <w:t xml:space="preserve">dity, </w:t>
      </w:r>
      <w:proofErr w:type="gramStart"/>
      <w:r w:rsidR="0063622A" w:rsidRPr="00DA7890">
        <w:t>in order to</w:t>
      </w:r>
      <w:proofErr w:type="gramEnd"/>
      <w:r w:rsidR="0063622A" w:rsidRPr="00DA7890">
        <w:t xml:space="preserve"> use it for the </w:t>
      </w:r>
      <w:r w:rsidR="00DF0E8F" w:rsidRPr="00DA7890">
        <w:t>NOx</w:t>
      </w:r>
      <w:r w:rsidR="0063622A" w:rsidRPr="00DA7890">
        <w:t xml:space="preserve"> calculation.</w:t>
      </w:r>
      <w:r w:rsidR="0044043E" w:rsidRPr="00DA7890">
        <w:t xml:space="preserve"> </w:t>
      </w:r>
    </w:p>
    <w:p w:rsidR="00791DAE" w:rsidRPr="00DA7890" w:rsidRDefault="0063622A" w:rsidP="00325E18">
      <w:pPr>
        <w:pStyle w:val="bulletIIpoint"/>
      </w:pPr>
      <w:r w:rsidRPr="00DA7890">
        <w:t xml:space="preserve">It </w:t>
      </w:r>
      <w:r w:rsidR="00B87CD2" w:rsidRPr="00DA7890">
        <w:t>was discussed</w:t>
      </w:r>
      <w:r w:rsidRPr="00DA7890">
        <w:t xml:space="preserve"> how to proceed when the test is performed outside the range of validity of the formula. India requested to re-do the test</w:t>
      </w:r>
      <w:r w:rsidR="00B87CD2" w:rsidRPr="00DA7890">
        <w:t xml:space="preserve"> in this case</w:t>
      </w:r>
      <w:r w:rsidRPr="00DA7890">
        <w:t>.</w:t>
      </w:r>
      <w:r w:rsidR="00DB0276" w:rsidRPr="00DA7890">
        <w:t xml:space="preserve"> </w:t>
      </w:r>
      <w:r w:rsidR="00B87CD2" w:rsidRPr="00DA7890">
        <w:t>It was agreed that, if</w:t>
      </w:r>
      <w:r w:rsidR="00DB0276" w:rsidRPr="00DA7890">
        <w:t xml:space="preserve"> humidity is outside the range</w:t>
      </w:r>
      <w:r w:rsidR="00B87CD2" w:rsidRPr="00DA7890">
        <w:t xml:space="preserve"> of</w:t>
      </w:r>
      <w:r w:rsidR="00DB0276" w:rsidRPr="00DA7890">
        <w:t xml:space="preserve"> </w:t>
      </w:r>
      <w:r w:rsidR="00B87CD2" w:rsidRPr="00DA7890">
        <w:t>5.5 ≤ Ha ≤ 12.2 (g H2O/kg dry air)</w:t>
      </w:r>
      <w:r w:rsidR="00DB0276" w:rsidRPr="00DA7890">
        <w:t>, then test should be considered void.</w:t>
      </w:r>
    </w:p>
    <w:p w:rsidR="00791DAE" w:rsidRPr="00DA7890" w:rsidRDefault="00BC5074" w:rsidP="00325E18">
      <w:pPr>
        <w:pStyle w:val="bulletIIpoint"/>
      </w:pPr>
      <w:r w:rsidRPr="00DA7890">
        <w:t>EPPR</w:t>
      </w:r>
      <w:r w:rsidR="00791DAE" w:rsidRPr="00DA7890">
        <w:t xml:space="preserve"> to confirm deletion of following </w:t>
      </w:r>
      <w:r w:rsidR="00DA7890" w:rsidRPr="00DA7890">
        <w:t>proposal</w:t>
      </w:r>
      <w:r w:rsidR="00791DAE" w:rsidRPr="00DA7890">
        <w:t xml:space="preserve"> “[The absolute humidity (Ha) of either the air in the test cell or the intake air of the engine </w:t>
      </w:r>
      <w:r w:rsidR="00791DAE" w:rsidRPr="00DA7890">
        <w:rPr>
          <w:u w:val="single"/>
        </w:rPr>
        <w:t>shall be</w:t>
      </w:r>
      <w:r w:rsidR="00791DAE" w:rsidRPr="00DA7890">
        <w:t xml:space="preserve"> such that:5.5 ≤ Ha ≤ 12.2 (g H2O/kg dry air)]”;</w:t>
      </w:r>
    </w:p>
    <w:p w:rsidR="00CD4EF9" w:rsidRPr="00DA7890" w:rsidRDefault="0063622A" w:rsidP="00325E18">
      <w:pPr>
        <w:pStyle w:val="bulletIIpoint"/>
      </w:pPr>
      <w:r w:rsidRPr="00DA7890">
        <w:t xml:space="preserve"> </w:t>
      </w:r>
      <w:bookmarkEnd w:id="8"/>
      <w:r w:rsidR="00CD4EF9" w:rsidRPr="00DA7890">
        <w:t>Open point</w:t>
      </w:r>
    </w:p>
    <w:p w:rsidR="00B87CD2" w:rsidRPr="00DA7890" w:rsidRDefault="00B87CD2" w:rsidP="00B87CD2">
      <w:pPr>
        <w:pStyle w:val="bulletIIpoint"/>
        <w:numPr>
          <w:ilvl w:val="0"/>
          <w:numId w:val="0"/>
        </w:numPr>
        <w:ind w:left="720"/>
      </w:pPr>
    </w:p>
    <w:p w:rsidR="00F57A9D" w:rsidRPr="00DA7890" w:rsidRDefault="00F57A9D" w:rsidP="00F57A9D">
      <w:pPr>
        <w:pStyle w:val="bulletpoint"/>
        <w:rPr>
          <w:b/>
        </w:rPr>
      </w:pPr>
      <w:r w:rsidRPr="00DA7890">
        <w:rPr>
          <w:b/>
        </w:rPr>
        <w:t>Deterioration Factors</w:t>
      </w:r>
    </w:p>
    <w:p w:rsidR="00F57A9D" w:rsidRPr="00DA7890" w:rsidRDefault="00F57A9D" w:rsidP="00F57A9D">
      <w:pPr>
        <w:pStyle w:val="bulletIIpoint"/>
      </w:pPr>
      <w:bookmarkStart w:id="9" w:name="_Hlk505248542"/>
      <w:r w:rsidRPr="00DA7890">
        <w:t xml:space="preserve">India </w:t>
      </w:r>
      <w:r w:rsidR="00DF0E8F" w:rsidRPr="00DA7890">
        <w:t xml:space="preserve">raised </w:t>
      </w:r>
      <w:r w:rsidRPr="00DA7890">
        <w:t>proposal 4 in EPPR-22-05</w:t>
      </w:r>
    </w:p>
    <w:p w:rsidR="00624E9F" w:rsidRPr="00DA7890" w:rsidRDefault="00A51F3C" w:rsidP="00DA7890">
      <w:pPr>
        <w:pStyle w:val="bulletIIpoint"/>
        <w:numPr>
          <w:ilvl w:val="0"/>
          <w:numId w:val="0"/>
        </w:numPr>
        <w:ind w:left="720"/>
      </w:pPr>
      <w:r w:rsidRPr="00DA7890">
        <w:rPr>
          <w:noProof/>
        </w:rPr>
        <w:drawing>
          <wp:inline distT="0" distB="0" distL="0" distR="0" wp14:editId="1167EB68">
            <wp:extent cx="4495800" cy="26479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9"/>
    <w:p w:rsidR="00B87CD2" w:rsidRPr="00DA7890" w:rsidRDefault="00BA4D0B" w:rsidP="00B87CD2">
      <w:pPr>
        <w:pStyle w:val="bulletIIpoint"/>
      </w:pPr>
      <w:r w:rsidRPr="00DA7890">
        <w:t>It was proposed to remove the note below table B.1-6</w:t>
      </w:r>
      <w:r w:rsidR="00BC5074" w:rsidRPr="00DA7890">
        <w:t xml:space="preserve"> &amp; B.1-7</w:t>
      </w:r>
      <w:r w:rsidR="00DA7890">
        <w:t xml:space="preserve"> on deterioration factors</w:t>
      </w:r>
      <w:r w:rsidR="00B87CD2" w:rsidRPr="00DA7890">
        <w:t>, since not clear and confusing</w:t>
      </w:r>
      <w:r w:rsidRPr="00DA7890">
        <w:t>. India</w:t>
      </w:r>
      <w:r w:rsidR="00B87CD2" w:rsidRPr="00DA7890">
        <w:t xml:space="preserve"> deemed it necessary and asked to keep it</w:t>
      </w:r>
      <w:r w:rsidRPr="00DA7890">
        <w:t>.</w:t>
      </w:r>
    </w:p>
    <w:p w:rsidR="00B87CD2" w:rsidRPr="00DA7890" w:rsidRDefault="00B87CD2" w:rsidP="00B87CD2">
      <w:pPr>
        <w:pStyle w:val="bulletIIpoint"/>
      </w:pPr>
      <w:r w:rsidRPr="00DA7890">
        <w:t xml:space="preserve">Chairman asked IMMA to </w:t>
      </w:r>
      <w:r w:rsidR="00BC5074" w:rsidRPr="00DA7890">
        <w:t xml:space="preserve">prepare an explanatory note </w:t>
      </w:r>
    </w:p>
    <w:p w:rsidR="00BA4D0B" w:rsidRPr="00DA7890" w:rsidRDefault="00BA4D0B" w:rsidP="006645A6">
      <w:pPr>
        <w:pStyle w:val="bulletIIpoint"/>
        <w:numPr>
          <w:ilvl w:val="0"/>
          <w:numId w:val="0"/>
        </w:numPr>
        <w:ind w:left="720"/>
      </w:pPr>
    </w:p>
    <w:p w:rsidR="00F57A9D" w:rsidRPr="00DA7890" w:rsidRDefault="0063622A" w:rsidP="003C6F22">
      <w:pPr>
        <w:pStyle w:val="bulletpoint"/>
        <w:rPr>
          <w:b/>
        </w:rPr>
      </w:pPr>
      <w:r w:rsidRPr="00DA7890">
        <w:rPr>
          <w:b/>
        </w:rPr>
        <w:t>Open/Closed system</w:t>
      </w:r>
      <w:r w:rsidR="00472457" w:rsidRPr="00DA7890">
        <w:rPr>
          <w:b/>
        </w:rPr>
        <w:t xml:space="preserve"> emission</w:t>
      </w:r>
    </w:p>
    <w:p w:rsidR="00472457" w:rsidRPr="00DA7890" w:rsidRDefault="00472457" w:rsidP="0063622A">
      <w:pPr>
        <w:pStyle w:val="bulletIIpoint"/>
      </w:pPr>
      <w:r w:rsidRPr="00DA7890">
        <w:t>India raised concerns that an open system might create large dilution.</w:t>
      </w:r>
    </w:p>
    <w:p w:rsidR="00472457" w:rsidRPr="00DA7890" w:rsidRDefault="00472457" w:rsidP="007A5210">
      <w:pPr>
        <w:pStyle w:val="bulletIIpoint"/>
      </w:pPr>
      <w:r w:rsidRPr="00DA7890">
        <w:t>In EPPR-22-17, complementing EPPR-22-02, IMMA provided data showing that the leakage effect is small enough to be negligible even in open system.</w:t>
      </w:r>
      <w:r w:rsidR="00CD4EF9" w:rsidRPr="00DA7890">
        <w:t xml:space="preserve"> </w:t>
      </w:r>
      <w:r w:rsidRPr="00DA7890">
        <w:t>Therefore, IMMA proposed to keep the possibility to use both open and closed systems.</w:t>
      </w:r>
    </w:p>
    <w:p w:rsidR="00472457" w:rsidRPr="00DA7890" w:rsidRDefault="00472457" w:rsidP="0063622A">
      <w:pPr>
        <w:pStyle w:val="bulletIIpoint"/>
      </w:pPr>
      <w:r w:rsidRPr="00DA7890">
        <w:t>Chair summarised that EPPR needs to minimise the risk to create extra dilution.</w:t>
      </w:r>
    </w:p>
    <w:p w:rsidR="00472457" w:rsidRPr="00DA7890" w:rsidRDefault="00472457" w:rsidP="0063622A">
      <w:pPr>
        <w:pStyle w:val="bulletIIpoint"/>
      </w:pPr>
      <w:r w:rsidRPr="00DA7890">
        <w:t xml:space="preserve">EC deemed the current proposal still valid, i.e. that it is up to the manufacturer to show that there is no dilution with an open system and type approval authorities </w:t>
      </w:r>
      <w:proofErr w:type="gramStart"/>
      <w:r w:rsidRPr="00DA7890">
        <w:t>have to</w:t>
      </w:r>
      <w:proofErr w:type="gramEnd"/>
      <w:r w:rsidRPr="00DA7890">
        <w:t xml:space="preserve"> decide on whether acceptable or not.</w:t>
      </w:r>
    </w:p>
    <w:p w:rsidR="00472457" w:rsidRPr="00DA7890" w:rsidRDefault="00472457" w:rsidP="0063622A">
      <w:pPr>
        <w:pStyle w:val="bulletIIpoint"/>
      </w:pPr>
      <w:r w:rsidRPr="00DA7890">
        <w:t xml:space="preserve">It was agreed to leave </w:t>
      </w:r>
      <w:r w:rsidRPr="00DA7890">
        <w:rPr>
          <w:b/>
        </w:rPr>
        <w:t>both open and closed system</w:t>
      </w:r>
      <w:r w:rsidR="00A2159D" w:rsidRPr="00DA7890">
        <w:t xml:space="preserve"> in GTR2, with indication that it is up to the TAA to accept or not the open system for the test.</w:t>
      </w:r>
    </w:p>
    <w:p w:rsidR="00BA4D0B" w:rsidRPr="00DA7890" w:rsidRDefault="00BA4D0B" w:rsidP="0063622A">
      <w:pPr>
        <w:pStyle w:val="bulletIIpoint"/>
      </w:pPr>
      <w:r w:rsidRPr="00DA7890">
        <w:t xml:space="preserve">Secretariat to propose text for the technical report that both </w:t>
      </w:r>
      <w:r w:rsidR="00B87CD2" w:rsidRPr="00DA7890">
        <w:t>o</w:t>
      </w:r>
      <w:r w:rsidRPr="00DA7890">
        <w:t>pen and closed system could be used,</w:t>
      </w:r>
      <w:r w:rsidR="0030427F" w:rsidRPr="00DA7890">
        <w:t xml:space="preserve"> even if</w:t>
      </w:r>
      <w:r w:rsidRPr="00DA7890">
        <w:t xml:space="preserve"> the usage of open system will be based on data and demonstration.</w:t>
      </w:r>
    </w:p>
    <w:p w:rsidR="00CD4EF9" w:rsidRPr="00DA7890" w:rsidRDefault="00CD4EF9" w:rsidP="0063622A">
      <w:pPr>
        <w:pStyle w:val="bulletIIpoint"/>
      </w:pPr>
      <w:r w:rsidRPr="00DA7890">
        <w:t>Closed point.</w:t>
      </w:r>
    </w:p>
    <w:p w:rsidR="00E24095" w:rsidRPr="00DA7890" w:rsidRDefault="00E24095" w:rsidP="00E24095">
      <w:pPr>
        <w:pStyle w:val="bulletpoint"/>
      </w:pPr>
      <w:r w:rsidRPr="00DA7890">
        <w:rPr>
          <w:b/>
        </w:rPr>
        <w:t>PM/PN</w:t>
      </w:r>
      <w:r w:rsidRPr="00DA7890">
        <w:t>:</w:t>
      </w:r>
    </w:p>
    <w:p w:rsidR="00E24095" w:rsidRPr="00DA7890" w:rsidRDefault="00F8218C" w:rsidP="00E24095">
      <w:pPr>
        <w:pStyle w:val="bulletIIpoint"/>
      </w:pPr>
      <w:r w:rsidRPr="00DA7890">
        <w:t>Chair informed the group that</w:t>
      </w:r>
      <w:r w:rsidR="00BA21B0" w:rsidRPr="00DA7890">
        <w:t>,</w:t>
      </w:r>
      <w:r w:rsidRPr="00DA7890">
        <w:t xml:space="preserve"> for 4 stroke engines</w:t>
      </w:r>
      <w:r w:rsidR="00BA21B0" w:rsidRPr="00DA7890">
        <w:t>,</w:t>
      </w:r>
      <w:r w:rsidRPr="00DA7890">
        <w:t xml:space="preserve"> there is not a problem and that the measurement procedure shall be equivalent to the case of LDV. However, for the case of 2 stroke engines</w:t>
      </w:r>
      <w:r w:rsidR="00BA21B0" w:rsidRPr="00DA7890">
        <w:t>,</w:t>
      </w:r>
      <w:r w:rsidRPr="00DA7890">
        <w:t xml:space="preserve"> the presence of artefact is quite significant and therefore the procedure might not be applicable. The </w:t>
      </w:r>
      <w:r w:rsidR="00BA21B0" w:rsidRPr="00DA7890">
        <w:t>C</w:t>
      </w:r>
      <w:r w:rsidRPr="00DA7890">
        <w:t>hair wonder</w:t>
      </w:r>
      <w:r w:rsidR="00BA21B0" w:rsidRPr="00DA7890">
        <w:t>ed whether</w:t>
      </w:r>
      <w:r w:rsidRPr="00DA7890">
        <w:t xml:space="preserve"> 2 stroke engines would meet the new emission limits (equivalent to EUR 5) and therefore the problem might not be posed.  </w:t>
      </w:r>
      <w:r w:rsidR="00E24095" w:rsidRPr="00DA7890">
        <w:t>As requested by India, Chair will ask PMP if they are going to investigate 2-st</w:t>
      </w:r>
      <w:r w:rsidR="00BA21B0" w:rsidRPr="00DA7890">
        <w:t>r</w:t>
      </w:r>
      <w:r w:rsidR="00E24095" w:rsidRPr="00DA7890">
        <w:t>okes, which is probably not the case.</w:t>
      </w:r>
    </w:p>
    <w:p w:rsidR="00BA21B0" w:rsidRPr="00DA7890" w:rsidRDefault="00BA21B0" w:rsidP="00E24095">
      <w:pPr>
        <w:pStyle w:val="bulletIIpoint"/>
      </w:pPr>
      <w:r w:rsidRPr="00DA7890">
        <w:t xml:space="preserve">The Chair contacted the PMP Chair on the topic after the meeting and he was informed the PMP group does not have </w:t>
      </w:r>
      <w:proofErr w:type="gramStart"/>
      <w:r w:rsidRPr="00DA7890">
        <w:t>at the moment</w:t>
      </w:r>
      <w:proofErr w:type="gramEnd"/>
      <w:r w:rsidRPr="00DA7890">
        <w:t xml:space="preserve"> the mandate to pursue this point.</w:t>
      </w:r>
    </w:p>
    <w:p w:rsidR="00CD4EF9" w:rsidRPr="00DA7890" w:rsidRDefault="00BA21B0" w:rsidP="00E24095">
      <w:pPr>
        <w:pStyle w:val="bulletIIpoint"/>
      </w:pPr>
      <w:r w:rsidRPr="00DA7890">
        <w:t>Closed point.</w:t>
      </w:r>
    </w:p>
    <w:p w:rsidR="00A2159D" w:rsidRPr="00DA7890" w:rsidRDefault="002F300B" w:rsidP="003C6F22">
      <w:pPr>
        <w:pStyle w:val="bulletpoint"/>
        <w:rPr>
          <w:b/>
        </w:rPr>
      </w:pPr>
      <w:r w:rsidRPr="00DA7890">
        <w:rPr>
          <w:b/>
        </w:rPr>
        <w:t>WF</w:t>
      </w:r>
    </w:p>
    <w:p w:rsidR="002F300B" w:rsidRPr="00DA7890" w:rsidRDefault="002A5A32" w:rsidP="007F76B0">
      <w:pPr>
        <w:pStyle w:val="bulletIIpoint"/>
      </w:pPr>
      <w:r w:rsidRPr="00DA7890">
        <w:t xml:space="preserve">EU </w:t>
      </w:r>
      <w:proofErr w:type="spellStart"/>
      <w:r w:rsidRPr="00DA7890">
        <w:t>Regs</w:t>
      </w:r>
      <w:proofErr w:type="spellEnd"/>
      <w:r w:rsidRPr="00DA7890">
        <w:t xml:space="preserve">. makes no difference between Class 1 and Class 2. </w:t>
      </w:r>
    </w:p>
    <w:p w:rsidR="002A5A32" w:rsidRPr="00DA7890" w:rsidRDefault="002A5A32" w:rsidP="00CD4EF9">
      <w:pPr>
        <w:pStyle w:val="bulletIIpoint"/>
      </w:pPr>
      <w:r w:rsidRPr="00DA7890">
        <w:t xml:space="preserve">It was agreed to change the WF from 50/50 to </w:t>
      </w:r>
      <w:r w:rsidRPr="00DA7890">
        <w:rPr>
          <w:b/>
        </w:rPr>
        <w:t>30/</w:t>
      </w:r>
      <w:r w:rsidR="007F76B0" w:rsidRPr="00DA7890">
        <w:rPr>
          <w:b/>
        </w:rPr>
        <w:t>70</w:t>
      </w:r>
      <w:r w:rsidR="007F76B0" w:rsidRPr="00DA7890">
        <w:t xml:space="preserve">  </w:t>
      </w:r>
    </w:p>
    <w:p w:rsidR="00CD4EF9" w:rsidRPr="00DA7890" w:rsidRDefault="00CD4EF9" w:rsidP="00CD4EF9">
      <w:pPr>
        <w:pStyle w:val="bulletIIpoint"/>
      </w:pPr>
      <w:r w:rsidRPr="00DA7890">
        <w:t>Closed point</w:t>
      </w:r>
    </w:p>
    <w:p w:rsidR="002A5A32" w:rsidRPr="00DA7890" w:rsidRDefault="002A5A32" w:rsidP="00CD4EF9">
      <w:pPr>
        <w:pStyle w:val="bul1"/>
      </w:pPr>
      <w:r w:rsidRPr="00DA7890">
        <w:t xml:space="preserve">Soak and Test </w:t>
      </w:r>
      <w:proofErr w:type="gramStart"/>
      <w:r w:rsidRPr="00DA7890">
        <w:t>room</w:t>
      </w:r>
      <w:proofErr w:type="gramEnd"/>
      <w:r w:rsidRPr="00DA7890">
        <w:t xml:space="preserve"> T</w:t>
      </w:r>
      <w:r w:rsidR="00334B59" w:rsidRPr="00DA7890">
        <w:t>emperature</w:t>
      </w:r>
    </w:p>
    <w:p w:rsidR="000B4BAB" w:rsidRPr="00DA7890" w:rsidRDefault="00203053" w:rsidP="000B4BAB">
      <w:pPr>
        <w:pStyle w:val="bulletIIpoint"/>
      </w:pPr>
      <w:r w:rsidRPr="00DA7890">
        <w:rPr>
          <w:b/>
        </w:rPr>
        <w:t>25°C</w:t>
      </w:r>
      <w:r w:rsidRPr="00DA7890">
        <w:t xml:space="preserve"> </w:t>
      </w:r>
      <w:r w:rsidR="00334B59" w:rsidRPr="00DA7890">
        <w:t xml:space="preserve">+/- 5 </w:t>
      </w:r>
      <w:r w:rsidR="000B4BAB" w:rsidRPr="00DA7890">
        <w:t>were agreed upon.</w:t>
      </w:r>
    </w:p>
    <w:p w:rsidR="00CD4EF9" w:rsidRPr="00DA7890" w:rsidRDefault="00CD4EF9" w:rsidP="000B4BAB">
      <w:pPr>
        <w:pStyle w:val="bulletIIpoint"/>
      </w:pPr>
      <w:r w:rsidRPr="00DA7890">
        <w:t>Closed point</w:t>
      </w:r>
    </w:p>
    <w:p w:rsidR="002A5A32" w:rsidRPr="00DA7890" w:rsidRDefault="000B4BAB" w:rsidP="003C6F22">
      <w:pPr>
        <w:pStyle w:val="bulletpoint"/>
      </w:pPr>
      <w:r w:rsidRPr="00DA7890">
        <w:rPr>
          <w:b/>
        </w:rPr>
        <w:t>Extraordinary Conditions</w:t>
      </w:r>
    </w:p>
    <w:p w:rsidR="000B4BAB" w:rsidRPr="00DA7890" w:rsidRDefault="000B4BAB" w:rsidP="007F76B0">
      <w:pPr>
        <w:pStyle w:val="bulletIIpoint"/>
      </w:pPr>
      <w:r w:rsidRPr="00DA7890">
        <w:t xml:space="preserve">It was agreed </w:t>
      </w:r>
      <w:r w:rsidRPr="00DA7890">
        <w:rPr>
          <w:b/>
        </w:rPr>
        <w:t>to keep the note</w:t>
      </w:r>
      <w:r w:rsidRPr="00DA7890">
        <w:t xml:space="preserve"> on Extraordinary Conditions</w:t>
      </w:r>
      <w:r w:rsidR="00334B59" w:rsidRPr="00DA7890">
        <w:t>, based on ISO document referred by the EC.</w:t>
      </w:r>
    </w:p>
    <w:p w:rsidR="000B4BAB" w:rsidRPr="00DA7890" w:rsidRDefault="000B4BAB" w:rsidP="007F76B0">
      <w:pPr>
        <w:pStyle w:val="bulletIIpoint"/>
      </w:pPr>
      <w:r w:rsidRPr="00DA7890">
        <w:t>The rationale will be added to the Technical Report</w:t>
      </w:r>
      <w:r w:rsidR="00334B59" w:rsidRPr="00DA7890">
        <w:t>.</w:t>
      </w:r>
    </w:p>
    <w:p w:rsidR="00CD4EF9" w:rsidRPr="00DA7890" w:rsidRDefault="00CD4EF9" w:rsidP="007F76B0">
      <w:pPr>
        <w:pStyle w:val="bulletIIpoint"/>
      </w:pPr>
      <w:r w:rsidRPr="00DA7890">
        <w:t>Closed point</w:t>
      </w:r>
    </w:p>
    <w:p w:rsidR="00D8419B" w:rsidRPr="00DA7890" w:rsidRDefault="00D8419B" w:rsidP="00D8419B">
      <w:pPr>
        <w:pStyle w:val="bulletpoint"/>
      </w:pPr>
      <w:r w:rsidRPr="00DA7890">
        <w:rPr>
          <w:b/>
        </w:rPr>
        <w:t>Chassis dynamometer</w:t>
      </w:r>
      <w:r w:rsidRPr="00DA7890">
        <w:t>, Para 4.2.2.2.5.1</w:t>
      </w:r>
      <w:r w:rsidRPr="00DA7890">
        <w:tab/>
      </w:r>
      <w:r w:rsidRPr="00DA7890">
        <w:tab/>
      </w:r>
      <w:r w:rsidRPr="00DA7890">
        <w:tab/>
      </w:r>
    </w:p>
    <w:p w:rsidR="00D8419B" w:rsidRPr="00DA7890" w:rsidRDefault="00D8419B" w:rsidP="00D8419B">
      <w:pPr>
        <w:pStyle w:val="bulletIIpoint"/>
      </w:pPr>
      <w:r w:rsidRPr="00DA7890">
        <w:t>India proposed (EPPR-22-05) the following text:</w:t>
      </w:r>
    </w:p>
    <w:p w:rsidR="00D8419B" w:rsidRPr="00DA7890" w:rsidRDefault="00D8419B" w:rsidP="00D8419B">
      <w:pPr>
        <w:pStyle w:val="bulletIIpoint"/>
        <w:numPr>
          <w:ilvl w:val="0"/>
          <w:numId w:val="0"/>
        </w:numPr>
        <w:ind w:left="709"/>
      </w:pPr>
      <w:r w:rsidRPr="00DA7890">
        <w:t>Chassis dynamometer with polygonal function</w:t>
      </w:r>
    </w:p>
    <w:p w:rsidR="00D8419B" w:rsidRPr="00DA7890" w:rsidRDefault="00D8419B" w:rsidP="00D8419B">
      <w:pPr>
        <w:pStyle w:val="bulletIIpoint"/>
        <w:numPr>
          <w:ilvl w:val="0"/>
          <w:numId w:val="0"/>
        </w:numPr>
        <w:ind w:left="709"/>
      </w:pPr>
      <w:r w:rsidRPr="00DA7890">
        <w:t xml:space="preserve">“In the case of a chassis dynamometer with polygonal function, in which the absorption characteristics are determined by load values at several specified vehicle speed points, at least </w:t>
      </w:r>
      <w:r w:rsidRPr="00DA7890">
        <w:rPr>
          <w:b/>
        </w:rPr>
        <w:t>five</w:t>
      </w:r>
      <w:r w:rsidRPr="00DA7890">
        <w:t xml:space="preserve"> </w:t>
      </w:r>
      <w:r w:rsidRPr="00DA7890">
        <w:rPr>
          <w:strike/>
        </w:rPr>
        <w:t>three</w:t>
      </w:r>
      <w:r w:rsidRPr="00DA7890">
        <w:t xml:space="preserve"> specified vehicle speeds, including the reference vehicle speed, shall be chosen as the setting points. At each setting point, the chassis dynamometer shall be set to the value </w:t>
      </w:r>
      <w:proofErr w:type="spellStart"/>
      <w:r w:rsidRPr="00DA7890">
        <w:t>Fpau</w:t>
      </w:r>
      <w:proofErr w:type="spellEnd"/>
      <w:r w:rsidRPr="00DA7890">
        <w:t xml:space="preserve"> (</w:t>
      </w:r>
      <w:proofErr w:type="spellStart"/>
      <w:r w:rsidRPr="00DA7890">
        <w:t>vj</w:t>
      </w:r>
      <w:proofErr w:type="spellEnd"/>
      <w:r w:rsidRPr="00DA7890">
        <w:t>) obtained in point 4.2.2.2.4”</w:t>
      </w:r>
      <w:r w:rsidRPr="00DA7890">
        <w:br/>
      </w:r>
      <w:proofErr w:type="gramStart"/>
      <w:r w:rsidRPr="00DA7890">
        <w:t>in order to</w:t>
      </w:r>
      <w:proofErr w:type="gramEnd"/>
      <w:r w:rsidRPr="00DA7890">
        <w:t xml:space="preserve"> increase accuracy</w:t>
      </w:r>
    </w:p>
    <w:p w:rsidR="00D8419B" w:rsidRPr="00DA7890" w:rsidRDefault="00D8419B" w:rsidP="00D8419B">
      <w:pPr>
        <w:pStyle w:val="bulletIIpoint"/>
      </w:pPr>
      <w:r w:rsidRPr="00DA7890">
        <w:t>IMMA asked to keep “three” because at “least 3” contains “5” (the India proposal).</w:t>
      </w:r>
    </w:p>
    <w:p w:rsidR="00486790" w:rsidRPr="00DA7890" w:rsidRDefault="007F76B0" w:rsidP="00D8419B">
      <w:pPr>
        <w:pStyle w:val="bulletIIpoint"/>
      </w:pPr>
      <w:r w:rsidRPr="00DA7890">
        <w:t xml:space="preserve">It was agreed </w:t>
      </w:r>
      <w:r w:rsidRPr="00DA7890">
        <w:rPr>
          <w:b/>
        </w:rPr>
        <w:t>to keep “3</w:t>
      </w:r>
      <w:proofErr w:type="gramStart"/>
      <w:r w:rsidRPr="00DA7890">
        <w:rPr>
          <w:b/>
        </w:rPr>
        <w:t xml:space="preserve">” </w:t>
      </w:r>
      <w:r w:rsidR="00CD4EF9" w:rsidRPr="00DA7890">
        <w:t>,</w:t>
      </w:r>
      <w:proofErr w:type="gramEnd"/>
      <w:r w:rsidR="00CD4EF9" w:rsidRPr="00DA7890">
        <w:t xml:space="preserve"> </w:t>
      </w:r>
    </w:p>
    <w:p w:rsidR="007F76B0" w:rsidRPr="00DA7890" w:rsidRDefault="00486790" w:rsidP="00D8419B">
      <w:pPr>
        <w:pStyle w:val="bulletIIpoint"/>
      </w:pPr>
      <w:r w:rsidRPr="00DA7890">
        <w:t>C</w:t>
      </w:r>
      <w:r w:rsidR="00334B59" w:rsidRPr="00DA7890">
        <w:t>losed point.</w:t>
      </w:r>
    </w:p>
    <w:p w:rsidR="00971247" w:rsidRPr="00DA7890" w:rsidRDefault="00971247" w:rsidP="003775BB">
      <w:pPr>
        <w:ind w:left="720"/>
        <w:jc w:val="both"/>
        <w:rPr>
          <w:u w:val="single"/>
          <w:lang w:val="en-GB"/>
        </w:rPr>
      </w:pPr>
    </w:p>
    <w:p w:rsidR="0018617B" w:rsidRPr="00DA7890" w:rsidRDefault="0018617B" w:rsidP="003775BB">
      <w:pPr>
        <w:pStyle w:val="Heading1"/>
        <w:numPr>
          <w:ilvl w:val="1"/>
          <w:numId w:val="1"/>
        </w:numPr>
        <w:jc w:val="both"/>
        <w:rPr>
          <w:u w:val="single"/>
        </w:rPr>
      </w:pPr>
      <w:r w:rsidRPr="00DA7890">
        <w:rPr>
          <w:u w:val="single"/>
        </w:rPr>
        <w:t>GTR2 Part B3-B4</w:t>
      </w:r>
    </w:p>
    <w:p w:rsidR="00054616" w:rsidRPr="00DA7890" w:rsidRDefault="00054616" w:rsidP="00F526B2">
      <w:pPr>
        <w:pStyle w:val="Subtitle"/>
      </w:pPr>
      <w:r w:rsidRPr="00DA7890">
        <w:t>Documents</w:t>
      </w:r>
    </w:p>
    <w:p w:rsidR="0098032C" w:rsidRPr="00DA7890" w:rsidRDefault="0098032C" w:rsidP="00F526B2">
      <w:pPr>
        <w:pStyle w:val="bulletpoint"/>
        <w:rPr>
          <w:color w:val="000000" w:themeColor="text1"/>
        </w:rPr>
      </w:pPr>
      <w:r w:rsidRPr="00DA7890">
        <w:t>EPP</w:t>
      </w:r>
      <w:r w:rsidRPr="00DA7890">
        <w:rPr>
          <w:color w:val="000000" w:themeColor="text1"/>
        </w:rPr>
        <w:t>R-22-03 GTR2 B3-B4 JPN_comments_on_EPPR-21-06 overview</w:t>
      </w:r>
    </w:p>
    <w:p w:rsidR="001977D2" w:rsidRPr="00DA7890" w:rsidRDefault="001977D2" w:rsidP="00F526B2">
      <w:pPr>
        <w:pStyle w:val="bulletpoint"/>
        <w:rPr>
          <w:color w:val="000000" w:themeColor="text1"/>
        </w:rPr>
      </w:pPr>
      <w:r w:rsidRPr="00DA7890">
        <w:rPr>
          <w:color w:val="000000" w:themeColor="text1"/>
        </w:rPr>
        <w:t>EPPR-22-04 GTR2 B3-B4 overview updated 20171117</w:t>
      </w:r>
      <w:r w:rsidR="00452465" w:rsidRPr="00DA7890">
        <w:rPr>
          <w:color w:val="000000" w:themeColor="text1"/>
        </w:rPr>
        <w:t>.xls</w:t>
      </w:r>
    </w:p>
    <w:p w:rsidR="00054616" w:rsidRPr="00DA7890" w:rsidRDefault="00054616" w:rsidP="003775BB">
      <w:pPr>
        <w:ind w:left="720"/>
        <w:jc w:val="both"/>
        <w:rPr>
          <w:color w:val="000000"/>
          <w:lang w:val="en-GB"/>
        </w:rPr>
      </w:pPr>
    </w:p>
    <w:p w:rsidR="00054616" w:rsidRPr="00DA7890" w:rsidRDefault="000234F0" w:rsidP="00F526B2">
      <w:pPr>
        <w:pStyle w:val="Subtitle"/>
      </w:pPr>
      <w:r w:rsidRPr="00DA7890">
        <w:t>Discussion</w:t>
      </w:r>
      <w:r w:rsidR="008C00A6" w:rsidRPr="00DA7890">
        <w:t>, B3</w:t>
      </w:r>
    </w:p>
    <w:p w:rsidR="009D7072" w:rsidRPr="00DA7890" w:rsidRDefault="009D7072" w:rsidP="00F526B2">
      <w:pPr>
        <w:pStyle w:val="bulletpoint"/>
      </w:pPr>
      <w:r w:rsidRPr="00DA7890">
        <w:t xml:space="preserve">The group reviewed </w:t>
      </w:r>
      <w:bookmarkStart w:id="10" w:name="_Hlk505250529"/>
      <w:r w:rsidRPr="00DA7890">
        <w:t>EPPR-22-04</w:t>
      </w:r>
      <w:bookmarkEnd w:id="10"/>
    </w:p>
    <w:p w:rsidR="00C037C7" w:rsidRPr="00DA7890" w:rsidRDefault="00C037C7" w:rsidP="00F526B2">
      <w:pPr>
        <w:pStyle w:val="bulletpoint"/>
        <w:rPr>
          <w:b/>
        </w:rPr>
      </w:pPr>
      <w:bookmarkStart w:id="11" w:name="_Hlk505249470"/>
      <w:r w:rsidRPr="00DA7890">
        <w:rPr>
          <w:b/>
        </w:rPr>
        <w:t>Type II emission test, para. 3.6</w:t>
      </w:r>
    </w:p>
    <w:p w:rsidR="00C037C7" w:rsidRPr="00DA7890" w:rsidRDefault="00C037C7" w:rsidP="00F526B2">
      <w:pPr>
        <w:pStyle w:val="bulletIIpoint"/>
      </w:pPr>
      <w:r w:rsidRPr="00DA7890">
        <w:t xml:space="preserve">IDIADA will send the IMMA test results in slide no. 3 of EPPR-21-12 to CITA, for evaluation that 70°C is not enough to reach the catalyst activation temperature. </w:t>
      </w:r>
    </w:p>
    <w:p w:rsidR="00C037C7" w:rsidRPr="00DA7890" w:rsidRDefault="00C037C7" w:rsidP="00F526B2">
      <w:pPr>
        <w:pStyle w:val="bulletIIpoint"/>
      </w:pPr>
      <w:r w:rsidRPr="00DA7890">
        <w:t>NL and India recommended to consider also the temperature conditions used under periodical technical inspection and not only under type approval (as in GTR2).</w:t>
      </w:r>
    </w:p>
    <w:p w:rsidR="00C037C7" w:rsidRPr="00DA7890" w:rsidRDefault="00C037C7" w:rsidP="00F526B2">
      <w:pPr>
        <w:pStyle w:val="bulletIIpoint"/>
      </w:pPr>
      <w:r w:rsidRPr="00DA7890">
        <w:t>Open</w:t>
      </w:r>
      <w:r w:rsidR="004A746D" w:rsidRPr="00DA7890">
        <w:t xml:space="preserve"> point</w:t>
      </w:r>
    </w:p>
    <w:p w:rsidR="00C037C7" w:rsidRPr="00DA7890" w:rsidRDefault="00C037C7" w:rsidP="004A746D">
      <w:pPr>
        <w:pStyle w:val="bulletpoint"/>
      </w:pPr>
      <w:bookmarkStart w:id="12" w:name="_Hlk505250479"/>
      <w:bookmarkEnd w:id="11"/>
      <w:r w:rsidRPr="00DA7890">
        <w:rPr>
          <w:b/>
        </w:rPr>
        <w:t>Para. 4.2.6</w:t>
      </w:r>
      <w:r w:rsidRPr="00DA7890">
        <w:t>.</w:t>
      </w:r>
      <w:r w:rsidR="004A746D" w:rsidRPr="00DA7890">
        <w:t>, “Settings incompatible with the correct running of the engine”</w:t>
      </w:r>
    </w:p>
    <w:p w:rsidR="00B87CD2" w:rsidRPr="00DA7890" w:rsidRDefault="00B87CD2" w:rsidP="00F526B2">
      <w:pPr>
        <w:pStyle w:val="bulletIIpoint"/>
      </w:pPr>
      <w:r w:rsidRPr="00DA7890">
        <w:t>India proposed to delete this para.</w:t>
      </w:r>
    </w:p>
    <w:p w:rsidR="004A746D" w:rsidRPr="00DA7890" w:rsidRDefault="004A746D" w:rsidP="00F526B2">
      <w:pPr>
        <w:pStyle w:val="bulletIIpoint"/>
      </w:pPr>
      <w:r w:rsidRPr="00DA7890">
        <w:t xml:space="preserve">IMMA </w:t>
      </w:r>
      <w:r w:rsidR="00B87CD2" w:rsidRPr="00DA7890">
        <w:t>initially proposed</w:t>
      </w:r>
      <w:r w:rsidRPr="00DA7890">
        <w:t xml:space="preserve"> to keep </w:t>
      </w:r>
      <w:r w:rsidR="00B87CD2" w:rsidRPr="00DA7890">
        <w:t xml:space="preserve">it, </w:t>
      </w:r>
      <w:proofErr w:type="gramStart"/>
      <w:r w:rsidR="00B87CD2" w:rsidRPr="00DA7890">
        <w:t>in order</w:t>
      </w:r>
      <w:r w:rsidRPr="00DA7890">
        <w:t xml:space="preserve"> to</w:t>
      </w:r>
      <w:proofErr w:type="gramEnd"/>
      <w:r w:rsidRPr="00DA7890">
        <w:t xml:space="preserve"> keep it aligned to REPPR</w:t>
      </w:r>
    </w:p>
    <w:p w:rsidR="00C037C7" w:rsidRPr="00DA7890" w:rsidRDefault="00C037C7" w:rsidP="00F526B2">
      <w:pPr>
        <w:pStyle w:val="bulletIIpoint"/>
      </w:pPr>
      <w:r w:rsidRPr="00DA7890">
        <w:t>Open</w:t>
      </w:r>
      <w:r w:rsidR="004A746D" w:rsidRPr="00DA7890">
        <w:t xml:space="preserve"> point</w:t>
      </w:r>
      <w:r w:rsidRPr="00DA7890">
        <w:t>; Text will be kept in square brackets</w:t>
      </w:r>
      <w:r w:rsidR="0059734D" w:rsidRPr="00DA7890">
        <w:t xml:space="preserve"> and EPPR was invited to review it</w:t>
      </w:r>
      <w:r w:rsidRPr="00DA7890">
        <w:t>.</w:t>
      </w:r>
    </w:p>
    <w:p w:rsidR="00433496" w:rsidRPr="00DA7890" w:rsidRDefault="00433496" w:rsidP="00433496">
      <w:pPr>
        <w:pStyle w:val="bulletpoint"/>
      </w:pPr>
      <w:r w:rsidRPr="00DA7890">
        <w:rPr>
          <w:b/>
        </w:rPr>
        <w:t>HC factors</w:t>
      </w:r>
      <w:r w:rsidRPr="00DA7890">
        <w:t xml:space="preserve"> to be added in </w:t>
      </w:r>
      <w:r w:rsidRPr="00DA7890">
        <w:rPr>
          <w:b/>
        </w:rPr>
        <w:t>formula</w:t>
      </w:r>
      <w:r w:rsidRPr="00DA7890">
        <w:t xml:space="preserve"> at line 61:</w:t>
      </w:r>
    </w:p>
    <w:p w:rsidR="00433496" w:rsidRPr="00DA7890" w:rsidRDefault="00433496" w:rsidP="00433496">
      <w:pPr>
        <w:pStyle w:val="bulletIIpoint"/>
      </w:pPr>
      <w:r w:rsidRPr="00DA7890">
        <w:t>India will search relevant ISO and make the proposal.</w:t>
      </w:r>
    </w:p>
    <w:p w:rsidR="00C037C7" w:rsidRPr="00DA7890" w:rsidRDefault="00C037C7" w:rsidP="00F526B2">
      <w:pPr>
        <w:pStyle w:val="bulletpoint"/>
      </w:pPr>
      <w:r w:rsidRPr="00DA7890">
        <w:rPr>
          <w:b/>
        </w:rPr>
        <w:t>Fail criteria test type II</w:t>
      </w:r>
      <w:r w:rsidRPr="00DA7890">
        <w:t xml:space="preserve"> for vehicles equipped with a PI combustion engine, Para. 6.</w:t>
      </w:r>
    </w:p>
    <w:p w:rsidR="00C037C7" w:rsidRPr="00DA7890" w:rsidRDefault="009D7072" w:rsidP="00F526B2">
      <w:pPr>
        <w:pStyle w:val="bulletIIpoint"/>
      </w:pPr>
      <w:r w:rsidRPr="00DA7890">
        <w:t>Agreed to delete</w:t>
      </w:r>
      <w:r w:rsidR="004A746D" w:rsidRPr="00DA7890">
        <w:t>, pending</w:t>
      </w:r>
      <w:r w:rsidRPr="00DA7890">
        <w:t xml:space="preserve"> EC </w:t>
      </w:r>
      <w:r w:rsidR="004A746D" w:rsidRPr="00DA7890">
        <w:t>final agreement</w:t>
      </w:r>
      <w:r w:rsidR="000234F0" w:rsidRPr="00DA7890">
        <w:t xml:space="preserve"> </w:t>
      </w:r>
    </w:p>
    <w:p w:rsidR="00C037C7" w:rsidRPr="00DA7890" w:rsidRDefault="00C037C7" w:rsidP="00F526B2">
      <w:pPr>
        <w:pStyle w:val="bulletpoint"/>
      </w:pPr>
      <w:r w:rsidRPr="00DA7890">
        <w:rPr>
          <w:b/>
        </w:rPr>
        <w:t>CO normal idle emissions</w:t>
      </w:r>
      <w:r w:rsidRPr="00DA7890">
        <w:t>, lines 71-73</w:t>
      </w:r>
    </w:p>
    <w:p w:rsidR="00C037C7" w:rsidRPr="00DA7890" w:rsidRDefault="00C037C7" w:rsidP="00F526B2">
      <w:pPr>
        <w:pStyle w:val="bulletIIpoint"/>
      </w:pPr>
      <w:r w:rsidRPr="00DA7890">
        <w:t>Japanese proposal EPPR-22-03 to be checked</w:t>
      </w:r>
    </w:p>
    <w:bookmarkEnd w:id="12"/>
    <w:p w:rsidR="000234F0" w:rsidRPr="00DA7890" w:rsidRDefault="000234F0" w:rsidP="008F499B">
      <w:pPr>
        <w:pStyle w:val="bulletIIpoint"/>
        <w:numPr>
          <w:ilvl w:val="0"/>
          <w:numId w:val="0"/>
        </w:numPr>
        <w:ind w:left="720"/>
      </w:pPr>
    </w:p>
    <w:p w:rsidR="00C037C7" w:rsidRPr="00DA7890" w:rsidRDefault="00C037C7" w:rsidP="00C037C7">
      <w:pPr>
        <w:ind w:left="720"/>
        <w:rPr>
          <w:color w:val="000000"/>
          <w:lang w:val="en-GB"/>
        </w:rPr>
      </w:pPr>
    </w:p>
    <w:p w:rsidR="00C037C7" w:rsidRPr="00DA7890" w:rsidRDefault="00C037C7" w:rsidP="00F526B2">
      <w:pPr>
        <w:pStyle w:val="Subtitle"/>
      </w:pPr>
      <w:r w:rsidRPr="00DA7890">
        <w:t>Action, B4</w:t>
      </w:r>
    </w:p>
    <w:p w:rsidR="00C037C7" w:rsidRPr="00DA7890" w:rsidRDefault="00C037C7" w:rsidP="00F526B2">
      <w:pPr>
        <w:pStyle w:val="bulletpoint"/>
      </w:pPr>
      <w:r w:rsidRPr="00DA7890">
        <w:t xml:space="preserve">Part B4 to be reviewed </w:t>
      </w:r>
    </w:p>
    <w:p w:rsidR="00B130E8" w:rsidRPr="00DA7890" w:rsidRDefault="00B130E8" w:rsidP="003775BB">
      <w:pPr>
        <w:jc w:val="both"/>
        <w:rPr>
          <w:lang w:val="en-GB"/>
        </w:rPr>
      </w:pPr>
    </w:p>
    <w:p w:rsidR="00C037C7" w:rsidRPr="00DA7890" w:rsidRDefault="00C037C7" w:rsidP="00C037C7">
      <w:pPr>
        <w:ind w:left="720"/>
        <w:rPr>
          <w:u w:val="single"/>
          <w:lang w:val="en-GB"/>
        </w:rPr>
      </w:pPr>
    </w:p>
    <w:p w:rsidR="00C037C7" w:rsidRPr="00DA7890" w:rsidRDefault="00C037C7" w:rsidP="00C037C7">
      <w:pPr>
        <w:pStyle w:val="Heading1"/>
        <w:numPr>
          <w:ilvl w:val="1"/>
          <w:numId w:val="1"/>
        </w:numPr>
        <w:rPr>
          <w:u w:val="single"/>
        </w:rPr>
      </w:pPr>
      <w:r w:rsidRPr="00DA7890">
        <w:rPr>
          <w:u w:val="single"/>
        </w:rPr>
        <w:t>GTR2 Part B5</w:t>
      </w:r>
    </w:p>
    <w:p w:rsidR="00212F34" w:rsidRPr="00DA7890" w:rsidRDefault="00212F34" w:rsidP="00F526B2">
      <w:pPr>
        <w:pStyle w:val="Subtitle"/>
      </w:pPr>
      <w:r w:rsidRPr="00DA7890">
        <w:t xml:space="preserve">Document </w:t>
      </w:r>
    </w:p>
    <w:p w:rsidR="00C037C7" w:rsidRPr="00DA7890" w:rsidRDefault="00C037C7" w:rsidP="00F526B2">
      <w:pPr>
        <w:pStyle w:val="bulletpoint"/>
      </w:pPr>
      <w:r w:rsidRPr="00DA7890">
        <w:t>EPPR-19-10_GTR2-Part B5_GTR2 vs EPPR-11-15 Rev3.xls</w:t>
      </w:r>
    </w:p>
    <w:p w:rsidR="00C037C7" w:rsidRPr="00DA7890" w:rsidRDefault="00C037C7" w:rsidP="00F526B2">
      <w:pPr>
        <w:pStyle w:val="bulletpoint"/>
      </w:pPr>
      <w:r w:rsidRPr="00DA7890">
        <w:t>EPPR-21-11 (IMMA) GTR2-Part B5_GTR2 vs EPPR-11-15 Rev3</w:t>
      </w:r>
    </w:p>
    <w:p w:rsidR="00C037C7" w:rsidRPr="00DA7890" w:rsidRDefault="00C037C7" w:rsidP="00C037C7">
      <w:pPr>
        <w:rPr>
          <w:lang w:val="en-GB"/>
        </w:rPr>
      </w:pPr>
    </w:p>
    <w:p w:rsidR="00C037C7" w:rsidRPr="00DA7890" w:rsidRDefault="00C037C7" w:rsidP="00F526B2">
      <w:pPr>
        <w:pStyle w:val="Subtitle"/>
      </w:pPr>
      <w:r w:rsidRPr="00DA7890">
        <w:t>Action</w:t>
      </w:r>
    </w:p>
    <w:p w:rsidR="00C037C7" w:rsidRDefault="00DA7890" w:rsidP="00772DE8">
      <w:pPr>
        <w:pStyle w:val="bulletpoint"/>
      </w:pPr>
      <w:r>
        <w:t>Part B5</w:t>
      </w:r>
      <w:r w:rsidR="00C037C7" w:rsidRPr="00DA7890">
        <w:t xml:space="preserve"> to be reviewed</w:t>
      </w:r>
    </w:p>
    <w:p w:rsidR="00DA7890" w:rsidRPr="00DA7890" w:rsidRDefault="00DA7890" w:rsidP="00DA7890">
      <w:pPr>
        <w:pStyle w:val="bulletpoint"/>
        <w:numPr>
          <w:ilvl w:val="0"/>
          <w:numId w:val="0"/>
        </w:numPr>
        <w:ind w:left="360"/>
      </w:pPr>
    </w:p>
    <w:p w:rsidR="00C037C7" w:rsidRPr="00DA7890" w:rsidRDefault="00C037C7" w:rsidP="003775BB">
      <w:pPr>
        <w:jc w:val="both"/>
        <w:rPr>
          <w:lang w:val="en-GB"/>
        </w:rPr>
      </w:pPr>
    </w:p>
    <w:p w:rsidR="00E2263A" w:rsidRPr="00DA7890" w:rsidRDefault="00E2263A" w:rsidP="003775BB">
      <w:pPr>
        <w:pStyle w:val="Heading1"/>
        <w:tabs>
          <w:tab w:val="clear" w:pos="3142"/>
        </w:tabs>
        <w:ind w:left="714" w:hanging="357"/>
        <w:jc w:val="both"/>
      </w:pPr>
      <w:r w:rsidRPr="00DA7890">
        <w:t>OBD2</w:t>
      </w:r>
    </w:p>
    <w:p w:rsidR="00EC163A" w:rsidRPr="00DA7890" w:rsidRDefault="00EC163A" w:rsidP="00F526B2">
      <w:pPr>
        <w:pStyle w:val="Subtitle"/>
      </w:pPr>
      <w:r w:rsidRPr="00DA7890">
        <w:t>Document</w:t>
      </w:r>
    </w:p>
    <w:p w:rsidR="00EC163A" w:rsidRPr="00DA7890" w:rsidRDefault="00EC163A" w:rsidP="00F526B2">
      <w:pPr>
        <w:pStyle w:val="bulletpoint"/>
      </w:pPr>
      <w:r w:rsidRPr="00DA7890">
        <w:t>EPPR-21-16 (Japan) OBD2 propulsion</w:t>
      </w:r>
    </w:p>
    <w:p w:rsidR="004932D9" w:rsidRPr="00DA7890" w:rsidRDefault="004932D9" w:rsidP="00F526B2">
      <w:pPr>
        <w:pStyle w:val="bulletpoint"/>
      </w:pPr>
      <w:r w:rsidRPr="00DA7890">
        <w:t>EPPR-22-19 (Japan) Discussion of OBD2 by Correspondence Group</w:t>
      </w:r>
    </w:p>
    <w:p w:rsidR="004932D9" w:rsidRPr="00DA7890" w:rsidRDefault="00A37E65" w:rsidP="00F526B2">
      <w:pPr>
        <w:pStyle w:val="bulletpoint"/>
      </w:pPr>
      <w:r w:rsidRPr="00DA7890">
        <w:t>EPPR-22-20 (</w:t>
      </w:r>
      <w:r w:rsidR="00070410" w:rsidRPr="00DA7890">
        <w:t>IMMA</w:t>
      </w:r>
      <w:r w:rsidRPr="00DA7890">
        <w:t>) OBD2 Alignment of definitions summary</w:t>
      </w:r>
    </w:p>
    <w:p w:rsidR="00212F34" w:rsidRPr="00DA7890" w:rsidRDefault="00212F34" w:rsidP="00F526B2">
      <w:pPr>
        <w:pStyle w:val="Subtitle"/>
      </w:pPr>
    </w:p>
    <w:p w:rsidR="00AF4EC5" w:rsidRPr="00DA7890" w:rsidRDefault="00AF4EC5" w:rsidP="00F526B2">
      <w:pPr>
        <w:pStyle w:val="Subtitle"/>
      </w:pPr>
      <w:r w:rsidRPr="00DA7890">
        <w:t>Context</w:t>
      </w:r>
    </w:p>
    <w:p w:rsidR="00B263EE" w:rsidRPr="00DA7890" w:rsidRDefault="005E3F14" w:rsidP="00F526B2">
      <w:pPr>
        <w:pStyle w:val="bulletpoint"/>
      </w:pPr>
      <w:r w:rsidRPr="00DA7890">
        <w:t xml:space="preserve">The </w:t>
      </w:r>
      <w:r w:rsidR="00B263EE" w:rsidRPr="00DA7890">
        <w:t>Japan</w:t>
      </w:r>
      <w:r w:rsidRPr="00DA7890">
        <w:t xml:space="preserve">ese proposal to </w:t>
      </w:r>
      <w:r w:rsidR="00B263EE" w:rsidRPr="00DA7890">
        <w:t xml:space="preserve">initiate discussion on OBD 2 </w:t>
      </w:r>
      <w:r w:rsidRPr="00DA7890">
        <w:t>through a Correspondence Group</w:t>
      </w:r>
      <w:r w:rsidR="00070410" w:rsidRPr="00DA7890">
        <w:t xml:space="preserve"> (CG)</w:t>
      </w:r>
      <w:r w:rsidRPr="00DA7890">
        <w:t>, with the aim to complete work by 2018</w:t>
      </w:r>
      <w:r w:rsidR="007F4E69" w:rsidRPr="00DA7890">
        <w:t xml:space="preserve">, and the proposal for Vice-Chair as </w:t>
      </w:r>
      <w:r w:rsidR="00070410" w:rsidRPr="00DA7890">
        <w:t>CG-coordinator</w:t>
      </w:r>
      <w:r w:rsidRPr="00DA7890">
        <w:t xml:space="preserve"> was agreed upon.</w:t>
      </w:r>
    </w:p>
    <w:p w:rsidR="005E3F14" w:rsidRPr="00DA7890" w:rsidRDefault="005E3F14" w:rsidP="00F526B2">
      <w:pPr>
        <w:pStyle w:val="bulletpoint"/>
      </w:pPr>
      <w:r w:rsidRPr="00DA7890">
        <w:t>IMMA, EC and CLEPA supported the Japanese initiative and the timeframe set.</w:t>
      </w:r>
    </w:p>
    <w:p w:rsidR="002167F8" w:rsidRPr="00DA7890" w:rsidRDefault="002167F8" w:rsidP="002167F8">
      <w:pPr>
        <w:pStyle w:val="bulletpoint"/>
      </w:pPr>
      <w:r w:rsidRPr="00DA7890">
        <w:t>Mr Matsukawa-san</w:t>
      </w:r>
      <w:r w:rsidR="00932BAC" w:rsidRPr="00DA7890">
        <w:t>/MOE</w:t>
      </w:r>
      <w:r w:rsidRPr="00DA7890">
        <w:t xml:space="preserve"> was welcomed as Vice-Chair.</w:t>
      </w:r>
    </w:p>
    <w:p w:rsidR="005E3F14" w:rsidRPr="00DA7890" w:rsidRDefault="005E3F14" w:rsidP="00F526B2">
      <w:pPr>
        <w:pStyle w:val="bulletpoint"/>
      </w:pPr>
      <w:r w:rsidRPr="00DA7890">
        <w:t>Japan was invited to prepare Terms of Reference</w:t>
      </w:r>
      <w:r w:rsidR="00070410" w:rsidRPr="00DA7890">
        <w:t xml:space="preserve"> of the CG</w:t>
      </w:r>
      <w:r w:rsidRPr="00DA7890">
        <w:t xml:space="preserve"> by next meeting.</w:t>
      </w:r>
    </w:p>
    <w:p w:rsidR="00212F34" w:rsidRPr="00DA7890" w:rsidRDefault="00212F34" w:rsidP="003775BB">
      <w:pPr>
        <w:jc w:val="both"/>
        <w:rPr>
          <w:lang w:val="en-GB"/>
        </w:rPr>
      </w:pPr>
    </w:p>
    <w:p w:rsidR="00A62162" w:rsidRPr="00DA7890" w:rsidRDefault="00A62162" w:rsidP="003775BB">
      <w:pPr>
        <w:jc w:val="both"/>
        <w:rPr>
          <w:lang w:val="en-GB"/>
        </w:rPr>
      </w:pPr>
    </w:p>
    <w:p w:rsidR="009C6EE4" w:rsidRPr="00DA7890" w:rsidRDefault="009C6EE4" w:rsidP="003775BB">
      <w:pPr>
        <w:pStyle w:val="Heading1"/>
        <w:jc w:val="both"/>
      </w:pPr>
      <w:r w:rsidRPr="00DA7890">
        <w:t>Roadmap</w:t>
      </w:r>
      <w:r w:rsidR="00995E8B" w:rsidRPr="00DA7890">
        <w:t xml:space="preserve"> </w:t>
      </w:r>
    </w:p>
    <w:p w:rsidR="002203AB" w:rsidRPr="00DA7890" w:rsidRDefault="002203AB" w:rsidP="00F526B2">
      <w:pPr>
        <w:pStyle w:val="Subtitle"/>
      </w:pPr>
      <w:r w:rsidRPr="00DA7890">
        <w:t>Document</w:t>
      </w:r>
    </w:p>
    <w:p w:rsidR="002203AB" w:rsidRPr="00DA7890" w:rsidRDefault="002203AB" w:rsidP="00F526B2">
      <w:pPr>
        <w:pStyle w:val="bulletpoint"/>
      </w:pPr>
      <w:r w:rsidRPr="00DA7890">
        <w:t>EPPR-22-15 (</w:t>
      </w:r>
      <w:proofErr w:type="spellStart"/>
      <w:proofErr w:type="gramStart"/>
      <w:r w:rsidRPr="00DA7890">
        <w:t>S.Korea</w:t>
      </w:r>
      <w:proofErr w:type="spellEnd"/>
      <w:proofErr w:type="gramEnd"/>
      <w:r w:rsidRPr="00DA7890">
        <w:t>) max. power</w:t>
      </w:r>
    </w:p>
    <w:p w:rsidR="00FD068E" w:rsidRPr="00DA7890" w:rsidRDefault="00FD068E" w:rsidP="00FD068E">
      <w:pPr>
        <w:pStyle w:val="bulletpoint"/>
      </w:pPr>
      <w:r w:rsidRPr="00DA7890">
        <w:t>EPPR-22-23 (IMMA) Proposal for EPPR Roadmap</w:t>
      </w:r>
    </w:p>
    <w:p w:rsidR="002203AB" w:rsidRPr="00DA7890" w:rsidRDefault="002203AB" w:rsidP="00F526B2">
      <w:pPr>
        <w:pStyle w:val="Subtitle"/>
      </w:pPr>
    </w:p>
    <w:p w:rsidR="0041672A" w:rsidRPr="00DA7890" w:rsidRDefault="00270C60" w:rsidP="00F526B2">
      <w:pPr>
        <w:pStyle w:val="Subtitle"/>
      </w:pPr>
      <w:r w:rsidRPr="00DA7890">
        <w:t>Context</w:t>
      </w:r>
    </w:p>
    <w:p w:rsidR="0079498B" w:rsidRPr="00DA7890" w:rsidRDefault="0079498B" w:rsidP="00F526B2">
      <w:pPr>
        <w:pStyle w:val="bulletpoint"/>
      </w:pPr>
      <w:r w:rsidRPr="00DA7890">
        <w:t>Stakeholders’ view on the next priority of work:</w:t>
      </w:r>
    </w:p>
    <w:p w:rsidR="0079498B" w:rsidRPr="00DA7890" w:rsidRDefault="0079498B" w:rsidP="00F526B2">
      <w:pPr>
        <w:pStyle w:val="bulletIIpoint"/>
      </w:pPr>
      <w:r w:rsidRPr="00DA7890">
        <w:t>EC: OBD2 and Durability</w:t>
      </w:r>
    </w:p>
    <w:p w:rsidR="0079498B" w:rsidRPr="00DA7890" w:rsidRDefault="0079498B" w:rsidP="00F526B2">
      <w:pPr>
        <w:pStyle w:val="bulletIIpoint"/>
      </w:pPr>
      <w:r w:rsidRPr="00DA7890">
        <w:t>Japan: O</w:t>
      </w:r>
      <w:r w:rsidR="003608E7" w:rsidRPr="00DA7890">
        <w:t>B</w:t>
      </w:r>
      <w:r w:rsidRPr="00DA7890">
        <w:t>D2 and Durability</w:t>
      </w:r>
    </w:p>
    <w:p w:rsidR="0079498B" w:rsidRPr="00DA7890" w:rsidRDefault="0079498B" w:rsidP="00F526B2">
      <w:pPr>
        <w:pStyle w:val="bulletIIpoint"/>
      </w:pPr>
      <w:r w:rsidRPr="00DA7890">
        <w:t>India: OBD2 and Durability; anyhow performance-related matter (power) should start in parallel, since also important for certification.</w:t>
      </w:r>
    </w:p>
    <w:p w:rsidR="0079498B" w:rsidRPr="00DA7890" w:rsidRDefault="0079498B" w:rsidP="00F526B2">
      <w:pPr>
        <w:pStyle w:val="bulletIIpoint"/>
      </w:pPr>
      <w:r w:rsidRPr="00DA7890">
        <w:t>South Korea: Propulsion Unit Performance</w:t>
      </w:r>
    </w:p>
    <w:p w:rsidR="00B130E8" w:rsidRPr="00DA7890" w:rsidRDefault="00B130E8" w:rsidP="003775BB">
      <w:pPr>
        <w:ind w:left="1080"/>
        <w:jc w:val="both"/>
        <w:rPr>
          <w:color w:val="000000"/>
          <w:lang w:val="en-GB"/>
        </w:rPr>
      </w:pPr>
    </w:p>
    <w:p w:rsidR="00FD068E" w:rsidRPr="00DA7890" w:rsidRDefault="00FD068E" w:rsidP="00FD068E">
      <w:pPr>
        <w:pStyle w:val="Subtitle"/>
      </w:pPr>
      <w:r w:rsidRPr="00DA7890">
        <w:t>Discussion</w:t>
      </w:r>
    </w:p>
    <w:p w:rsidR="00FD068E" w:rsidRPr="00DA7890" w:rsidRDefault="00FD068E" w:rsidP="00CD4EF9">
      <w:pPr>
        <w:pStyle w:val="bul1"/>
      </w:pPr>
      <w:r w:rsidRPr="00DA7890">
        <w:t>South Korea presented EPPR-22-15</w:t>
      </w:r>
    </w:p>
    <w:p w:rsidR="00557A2F" w:rsidRPr="00DA7890" w:rsidRDefault="00557A2F" w:rsidP="00CD4EF9">
      <w:pPr>
        <w:pStyle w:val="bul1"/>
      </w:pPr>
      <w:r w:rsidRPr="00DA7890">
        <w:t xml:space="preserve">IMMA presented EPPR-22-23 </w:t>
      </w:r>
    </w:p>
    <w:p w:rsidR="00557A2F" w:rsidRPr="00DA7890" w:rsidRDefault="00557A2F" w:rsidP="00557A2F">
      <w:pPr>
        <w:pStyle w:val="bulletpoint"/>
      </w:pPr>
      <w:r w:rsidRPr="00DA7890">
        <w:t>Stakeholders were invited to further reflect on next priorities of work:</w:t>
      </w:r>
    </w:p>
    <w:p w:rsidR="00557A2F" w:rsidRPr="00DA7890" w:rsidRDefault="00557A2F" w:rsidP="00557A2F">
      <w:pPr>
        <w:pStyle w:val="bulletIIpoint"/>
      </w:pPr>
      <w:r w:rsidRPr="00DA7890">
        <w:t>OBD2 and then Durability, or</w:t>
      </w:r>
    </w:p>
    <w:p w:rsidR="00557A2F" w:rsidRPr="00DA7890" w:rsidRDefault="00557A2F" w:rsidP="00557A2F">
      <w:pPr>
        <w:pStyle w:val="bulletIIpoint"/>
      </w:pPr>
      <w:r w:rsidRPr="00DA7890">
        <w:t>OBD2 and then Propulsion Unit Performance</w:t>
      </w:r>
    </w:p>
    <w:p w:rsidR="00561F9E" w:rsidRPr="00DA7890" w:rsidRDefault="00561F9E" w:rsidP="003775BB">
      <w:pPr>
        <w:jc w:val="both"/>
        <w:rPr>
          <w:color w:val="000000"/>
          <w:lang w:val="en-GB"/>
        </w:rPr>
      </w:pPr>
    </w:p>
    <w:p w:rsidR="00EB0DAC" w:rsidRPr="00DA7890" w:rsidRDefault="00EB0DAC" w:rsidP="003775BB">
      <w:pPr>
        <w:ind w:left="1080"/>
        <w:jc w:val="both"/>
        <w:rPr>
          <w:color w:val="000000"/>
          <w:lang w:val="en-GB"/>
        </w:rPr>
      </w:pPr>
    </w:p>
    <w:p w:rsidR="002B123C" w:rsidRPr="00DA7890" w:rsidRDefault="002B123C" w:rsidP="003775BB">
      <w:pPr>
        <w:pStyle w:val="Heading1"/>
        <w:jc w:val="both"/>
      </w:pPr>
      <w:r w:rsidRPr="00DA7890">
        <w:t>Next meetings</w:t>
      </w:r>
    </w:p>
    <w:p w:rsidR="00092215" w:rsidRPr="00DA7890" w:rsidRDefault="0079498B" w:rsidP="00F526B2">
      <w:pPr>
        <w:pStyle w:val="bulletpoint"/>
      </w:pPr>
      <w:r w:rsidRPr="00DA7890">
        <w:t>11.01.2018</w:t>
      </w:r>
      <w:r w:rsidRPr="00DA7890">
        <w:tab/>
        <w:t>GRPE</w:t>
      </w:r>
    </w:p>
    <w:p w:rsidR="00EC163A" w:rsidRPr="00DA7890" w:rsidRDefault="0079498B" w:rsidP="009E4DCF">
      <w:pPr>
        <w:pStyle w:val="bulletIIpoint"/>
      </w:pPr>
      <w:r w:rsidRPr="00DA7890">
        <w:t>GTR2 Revision</w:t>
      </w:r>
      <w:r w:rsidR="00EC163A" w:rsidRPr="00DA7890">
        <w:t xml:space="preserve"> informal documents, with a progress report and the GTR2 B1+B2 Revision consolidated text.</w:t>
      </w:r>
    </w:p>
    <w:p w:rsidR="008F499B" w:rsidRPr="00DA7890" w:rsidRDefault="00FD068E" w:rsidP="00F526B2">
      <w:pPr>
        <w:pStyle w:val="bulletpoint"/>
      </w:pPr>
      <w:r w:rsidRPr="00DA7890">
        <w:t xml:space="preserve">February </w:t>
      </w:r>
      <w:r w:rsidR="002C3914" w:rsidRPr="00DA7890">
        <w:t xml:space="preserve">2018 EPPR </w:t>
      </w:r>
      <w:r w:rsidRPr="00DA7890">
        <w:t>telco will be scheduled by “doodle”-request</w:t>
      </w:r>
    </w:p>
    <w:p w:rsidR="00EC163A" w:rsidRPr="00DA7890" w:rsidRDefault="00EC163A" w:rsidP="00F526B2">
      <w:pPr>
        <w:pStyle w:val="bulletpoint"/>
      </w:pPr>
      <w:r w:rsidRPr="00DA7890">
        <w:t>21-23.03.2018</w:t>
      </w:r>
      <w:r w:rsidRPr="00DA7890">
        <w:tab/>
        <w:t>EPPR-21</w:t>
      </w:r>
      <w:r w:rsidRPr="00DA7890">
        <w:tab/>
        <w:t xml:space="preserve">in India </w:t>
      </w:r>
    </w:p>
    <w:p w:rsidR="00EC163A" w:rsidRPr="00DA7890" w:rsidRDefault="00EC163A" w:rsidP="00F526B2">
      <w:pPr>
        <w:pStyle w:val="bulletpoint"/>
      </w:pPr>
      <w:r w:rsidRPr="00DA7890">
        <w:t>April 2018</w:t>
      </w:r>
      <w:r w:rsidRPr="00DA7890">
        <w:tab/>
        <w:t xml:space="preserve">EPPR telco - </w:t>
      </w:r>
      <w:proofErr w:type="spellStart"/>
      <w:r w:rsidRPr="00DA7890">
        <w:t>tbd</w:t>
      </w:r>
      <w:proofErr w:type="spellEnd"/>
    </w:p>
    <w:p w:rsidR="00EC163A" w:rsidRPr="00DA7890" w:rsidRDefault="00EC163A" w:rsidP="00F526B2">
      <w:pPr>
        <w:pStyle w:val="bulletpoint"/>
      </w:pPr>
      <w:r w:rsidRPr="00DA7890">
        <w:t>06.06.2018</w:t>
      </w:r>
      <w:r w:rsidRPr="00DA7890">
        <w:tab/>
        <w:t>EPPR at Palais Nations, Geneva</w:t>
      </w:r>
    </w:p>
    <w:p w:rsidR="0079498B" w:rsidRPr="00DA7890" w:rsidRDefault="0079498B" w:rsidP="00F526B2">
      <w:pPr>
        <w:pStyle w:val="bulletpoint"/>
      </w:pPr>
      <w:r w:rsidRPr="00DA7890">
        <w:t>07.06.2018</w:t>
      </w:r>
      <w:r w:rsidRPr="00DA7890">
        <w:tab/>
        <w:t>GRPE</w:t>
      </w:r>
    </w:p>
    <w:p w:rsidR="0079498B" w:rsidRPr="00DA7890" w:rsidRDefault="003608E7" w:rsidP="001B394F">
      <w:pPr>
        <w:pStyle w:val="bulletIIpoint"/>
      </w:pPr>
      <w:r w:rsidRPr="00DA7890">
        <w:t>Consolidated (whole) GTR2 informal document</w:t>
      </w:r>
      <w:r w:rsidR="0079498B" w:rsidRPr="00DA7890">
        <w:t>, with a progress report</w:t>
      </w:r>
    </w:p>
    <w:p w:rsidR="001B394F" w:rsidRPr="00DA7890" w:rsidRDefault="001B394F" w:rsidP="001B394F">
      <w:pPr>
        <w:pStyle w:val="bulletIIpoint"/>
        <w:numPr>
          <w:ilvl w:val="0"/>
          <w:numId w:val="0"/>
        </w:numPr>
        <w:ind w:left="720"/>
      </w:pPr>
    </w:p>
    <w:p w:rsidR="00B130E8" w:rsidRPr="00DA7890" w:rsidRDefault="00EC163A" w:rsidP="00F526B2">
      <w:pPr>
        <w:pStyle w:val="bulletpoint"/>
      </w:pPr>
      <w:r w:rsidRPr="00DA7890">
        <w:t>10-11.10.2018</w:t>
      </w:r>
      <w:r w:rsidRPr="00DA7890">
        <w:tab/>
        <w:t xml:space="preserve">EPPR in </w:t>
      </w:r>
      <w:proofErr w:type="spellStart"/>
      <w:proofErr w:type="gramStart"/>
      <w:r w:rsidRPr="00DA7890">
        <w:t>S.Korea</w:t>
      </w:r>
      <w:proofErr w:type="spellEnd"/>
      <w:proofErr w:type="gramEnd"/>
      <w:r w:rsidRPr="00DA7890">
        <w:t xml:space="preserve"> – tbc</w:t>
      </w:r>
    </w:p>
    <w:p w:rsidR="00EC163A" w:rsidRPr="00DA7890" w:rsidRDefault="00EC163A" w:rsidP="00F526B2">
      <w:pPr>
        <w:pStyle w:val="bulletpoint"/>
      </w:pPr>
      <w:r w:rsidRPr="00DA7890">
        <w:t>Nov 2018</w:t>
      </w:r>
      <w:r w:rsidRPr="00DA7890">
        <w:tab/>
      </w:r>
      <w:r w:rsidRPr="00DA7890">
        <w:tab/>
        <w:t xml:space="preserve">EPPR telco </w:t>
      </w:r>
      <w:r w:rsidR="00092215" w:rsidRPr="00DA7890">
        <w:t>–</w:t>
      </w:r>
      <w:r w:rsidRPr="00DA7890">
        <w:t xml:space="preserve"> </w:t>
      </w:r>
      <w:proofErr w:type="spellStart"/>
      <w:r w:rsidRPr="00DA7890">
        <w:t>tbd</w:t>
      </w:r>
      <w:proofErr w:type="spellEnd"/>
    </w:p>
    <w:p w:rsidR="003608E7" w:rsidRPr="00DA7890" w:rsidRDefault="003608E7" w:rsidP="00F526B2">
      <w:pPr>
        <w:pStyle w:val="bulletpoint"/>
      </w:pPr>
      <w:r w:rsidRPr="00DA7890">
        <w:t>January 2019 GRPE</w:t>
      </w:r>
    </w:p>
    <w:p w:rsidR="003608E7" w:rsidRPr="00DA7890" w:rsidRDefault="003608E7" w:rsidP="003608E7">
      <w:pPr>
        <w:pStyle w:val="bulletIIpoint"/>
      </w:pPr>
      <w:r w:rsidRPr="00DA7890">
        <w:t>Consolidated GTR2 (all parts) formal document</w:t>
      </w:r>
    </w:p>
    <w:p w:rsidR="00092215" w:rsidRPr="00DA7890" w:rsidRDefault="00092215" w:rsidP="00092215">
      <w:pPr>
        <w:ind w:left="1080"/>
        <w:jc w:val="both"/>
        <w:rPr>
          <w:color w:val="000000"/>
          <w:lang w:val="en-GB"/>
        </w:rPr>
      </w:pPr>
    </w:p>
    <w:p w:rsidR="00F4422F" w:rsidRPr="00557A2F" w:rsidRDefault="002D2055" w:rsidP="00A3111B">
      <w:pPr>
        <w:tabs>
          <w:tab w:val="left" w:pos="314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A7890">
        <w:rPr>
          <w:rFonts w:ascii="Arial" w:hAnsi="Arial" w:cs="Arial"/>
          <w:b/>
          <w:sz w:val="22"/>
          <w:szCs w:val="22"/>
          <w:lang w:val="en-GB"/>
        </w:rPr>
        <w:t>_________________</w:t>
      </w:r>
    </w:p>
    <w:sectPr w:rsidR="00F4422F" w:rsidRPr="00557A2F" w:rsidSect="003775BB">
      <w:headerReference w:type="default" r:id="rId14"/>
      <w:pgSz w:w="12240" w:h="15840"/>
      <w:pgMar w:top="720" w:right="126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8F" w:rsidRDefault="002C118F">
      <w:r>
        <w:separator/>
      </w:r>
    </w:p>
  </w:endnote>
  <w:endnote w:type="continuationSeparator" w:id="0">
    <w:p w:rsidR="002C118F" w:rsidRDefault="002C118F">
      <w:r>
        <w:continuationSeparator/>
      </w:r>
    </w:p>
  </w:endnote>
  <w:endnote w:type="continuationNotice" w:id="1">
    <w:p w:rsidR="002C118F" w:rsidRDefault="002C1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8F" w:rsidRDefault="002C118F">
      <w:r>
        <w:separator/>
      </w:r>
    </w:p>
  </w:footnote>
  <w:footnote w:type="continuationSeparator" w:id="0">
    <w:p w:rsidR="002C118F" w:rsidRDefault="002C118F">
      <w:r>
        <w:continuationSeparator/>
      </w:r>
    </w:p>
  </w:footnote>
  <w:footnote w:type="continuationNotice" w:id="1">
    <w:p w:rsidR="002C118F" w:rsidRDefault="002C1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8A" w:rsidRDefault="00C8428A" w:rsidP="00AD51D2">
    <w:pPr>
      <w:pStyle w:val="Header"/>
      <w:jc w:val="right"/>
      <w:rPr>
        <w:rFonts w:ascii="Arial" w:hAnsi="Arial" w:cs="Arial"/>
        <w:b/>
        <w:sz w:val="22"/>
        <w:szCs w:val="22"/>
        <w:lang w:val="en-GB"/>
      </w:rPr>
    </w:pPr>
    <w:r w:rsidRPr="009D6785">
      <w:rPr>
        <w:rFonts w:ascii="Arial" w:hAnsi="Arial" w:cs="Arial"/>
        <w:b/>
        <w:sz w:val="22"/>
        <w:szCs w:val="22"/>
        <w:lang w:val="en-GB"/>
      </w:rPr>
      <w:t>E</w:t>
    </w:r>
    <w:r w:rsidR="000E1A64">
      <w:rPr>
        <w:rFonts w:ascii="Arial" w:hAnsi="Arial" w:cs="Arial"/>
        <w:b/>
        <w:sz w:val="22"/>
        <w:szCs w:val="22"/>
        <w:lang w:val="en-GB"/>
      </w:rPr>
      <w:t>PPR-22-</w:t>
    </w:r>
    <w:r w:rsidR="00486790">
      <w:rPr>
        <w:rFonts w:ascii="Arial" w:hAnsi="Arial" w:cs="Arial"/>
        <w:b/>
        <w:sz w:val="22"/>
        <w:szCs w:val="22"/>
        <w:lang w:val="en-GB"/>
      </w:rPr>
      <w:t>2</w:t>
    </w:r>
    <w:r w:rsidR="00DA7890">
      <w:rPr>
        <w:rFonts w:ascii="Arial" w:hAnsi="Arial" w:cs="Arial"/>
        <w:b/>
        <w:sz w:val="22"/>
        <w:szCs w:val="22"/>
        <w:lang w:val="en-GB"/>
      </w:rPr>
      <w:t>7</w:t>
    </w:r>
  </w:p>
  <w:p w:rsidR="00E84172" w:rsidRDefault="00E84172" w:rsidP="00AD51D2">
    <w:pPr>
      <w:pStyle w:val="Header"/>
      <w:jc w:val="right"/>
      <w:rPr>
        <w:rFonts w:ascii="Arial" w:hAnsi="Arial" w:cs="Arial"/>
        <w:b/>
        <w:sz w:val="22"/>
        <w:szCs w:val="22"/>
        <w:lang w:val="en-GB"/>
      </w:rPr>
    </w:pPr>
  </w:p>
  <w:p w:rsidR="00E84172" w:rsidRPr="00AD51D2" w:rsidRDefault="00E84172" w:rsidP="00AD51D2">
    <w:pPr>
      <w:pStyle w:val="Header"/>
      <w:jc w:val="right"/>
      <w:rPr>
        <w:rFonts w:ascii="Arial" w:hAnsi="Arial" w:cs="Arial"/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149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46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EC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A5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AC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DC3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8A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C4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EC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393E"/>
    <w:multiLevelType w:val="hybridMultilevel"/>
    <w:tmpl w:val="016E3146"/>
    <w:lvl w:ilvl="0" w:tplc="C1E4C1BE">
      <w:start w:val="1"/>
      <w:numFmt w:val="bullet"/>
      <w:pStyle w:val="bulle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A27026">
      <w:start w:val="1"/>
      <w:numFmt w:val="bullet"/>
      <w:pStyle w:val="bulletIIpoin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792886"/>
    <w:multiLevelType w:val="hybridMultilevel"/>
    <w:tmpl w:val="A892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E55A42"/>
    <w:multiLevelType w:val="hybridMultilevel"/>
    <w:tmpl w:val="4D24D370"/>
    <w:lvl w:ilvl="0" w:tplc="DDE065C2">
      <w:start w:val="2"/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EB38B4"/>
    <w:multiLevelType w:val="hybridMultilevel"/>
    <w:tmpl w:val="1DEC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E496C"/>
    <w:multiLevelType w:val="hybridMultilevel"/>
    <w:tmpl w:val="06C62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190A70"/>
    <w:multiLevelType w:val="hybridMultilevel"/>
    <w:tmpl w:val="2ECEDD70"/>
    <w:lvl w:ilvl="0" w:tplc="23328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3682B"/>
    <w:multiLevelType w:val="hybridMultilevel"/>
    <w:tmpl w:val="B9103EB4"/>
    <w:lvl w:ilvl="0" w:tplc="132E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87120"/>
    <w:multiLevelType w:val="hybridMultilevel"/>
    <w:tmpl w:val="0AE67008"/>
    <w:lvl w:ilvl="0" w:tplc="4CF0230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35CFF"/>
    <w:multiLevelType w:val="hybridMultilevel"/>
    <w:tmpl w:val="CEB8E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046C28"/>
    <w:multiLevelType w:val="hybridMultilevel"/>
    <w:tmpl w:val="C7127F80"/>
    <w:lvl w:ilvl="0" w:tplc="0F6C15C0">
      <w:start w:val="9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E600A"/>
    <w:multiLevelType w:val="hybridMultilevel"/>
    <w:tmpl w:val="4A68E1B4"/>
    <w:lvl w:ilvl="0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9F410C"/>
    <w:multiLevelType w:val="hybridMultilevel"/>
    <w:tmpl w:val="13CCFF6E"/>
    <w:lvl w:ilvl="0" w:tplc="4B7E98F2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717EA"/>
    <w:multiLevelType w:val="hybridMultilevel"/>
    <w:tmpl w:val="5120C47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567B94"/>
    <w:multiLevelType w:val="hybridMultilevel"/>
    <w:tmpl w:val="842AB6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2B6B"/>
    <w:multiLevelType w:val="hybridMultilevel"/>
    <w:tmpl w:val="79F6307A"/>
    <w:lvl w:ilvl="0" w:tplc="C310E8E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7186"/>
    <w:multiLevelType w:val="hybridMultilevel"/>
    <w:tmpl w:val="8C6814D6"/>
    <w:lvl w:ilvl="0" w:tplc="3D6CCB8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2A3F62"/>
    <w:multiLevelType w:val="hybridMultilevel"/>
    <w:tmpl w:val="9280DBF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2"/>
  </w:num>
  <w:num w:numId="15">
    <w:abstractNumId w:val="24"/>
  </w:num>
  <w:num w:numId="16">
    <w:abstractNumId w:val="19"/>
  </w:num>
  <w:num w:numId="17">
    <w:abstractNumId w:val="10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17"/>
  </w:num>
  <w:num w:numId="23">
    <w:abstractNumId w:val="10"/>
  </w:num>
  <w:num w:numId="24">
    <w:abstractNumId w:val="26"/>
  </w:num>
  <w:num w:numId="25">
    <w:abstractNumId w:val="14"/>
  </w:num>
  <w:num w:numId="26">
    <w:abstractNumId w:val="11"/>
  </w:num>
  <w:num w:numId="27">
    <w:abstractNumId w:val="18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83C7C"/>
    <w:rsid w:val="000008E2"/>
    <w:rsid w:val="00000F3E"/>
    <w:rsid w:val="000014F6"/>
    <w:rsid w:val="0000169D"/>
    <w:rsid w:val="0000196E"/>
    <w:rsid w:val="0000333C"/>
    <w:rsid w:val="0000358A"/>
    <w:rsid w:val="00004698"/>
    <w:rsid w:val="00006EED"/>
    <w:rsid w:val="00015432"/>
    <w:rsid w:val="000223BC"/>
    <w:rsid w:val="00022A18"/>
    <w:rsid w:val="000232FA"/>
    <w:rsid w:val="000234F0"/>
    <w:rsid w:val="00023877"/>
    <w:rsid w:val="000301D8"/>
    <w:rsid w:val="00030F88"/>
    <w:rsid w:val="000317FB"/>
    <w:rsid w:val="00031A75"/>
    <w:rsid w:val="000320CF"/>
    <w:rsid w:val="0003253C"/>
    <w:rsid w:val="000334F3"/>
    <w:rsid w:val="00035380"/>
    <w:rsid w:val="00037232"/>
    <w:rsid w:val="00037B09"/>
    <w:rsid w:val="000431D7"/>
    <w:rsid w:val="00047407"/>
    <w:rsid w:val="0005026C"/>
    <w:rsid w:val="00050BF0"/>
    <w:rsid w:val="000533B5"/>
    <w:rsid w:val="00053515"/>
    <w:rsid w:val="00054616"/>
    <w:rsid w:val="00054A00"/>
    <w:rsid w:val="000623A9"/>
    <w:rsid w:val="00065A98"/>
    <w:rsid w:val="000667EA"/>
    <w:rsid w:val="00066C25"/>
    <w:rsid w:val="00067EC5"/>
    <w:rsid w:val="00070410"/>
    <w:rsid w:val="000717B9"/>
    <w:rsid w:val="0007353A"/>
    <w:rsid w:val="0008154C"/>
    <w:rsid w:val="00081683"/>
    <w:rsid w:val="00081C04"/>
    <w:rsid w:val="000826E5"/>
    <w:rsid w:val="000829D7"/>
    <w:rsid w:val="00086D18"/>
    <w:rsid w:val="00092215"/>
    <w:rsid w:val="00092D07"/>
    <w:rsid w:val="00096A19"/>
    <w:rsid w:val="00096C69"/>
    <w:rsid w:val="000B0237"/>
    <w:rsid w:val="000B123E"/>
    <w:rsid w:val="000B4BAB"/>
    <w:rsid w:val="000B5A33"/>
    <w:rsid w:val="000B5A43"/>
    <w:rsid w:val="000C203F"/>
    <w:rsid w:val="000C3804"/>
    <w:rsid w:val="000D4BBF"/>
    <w:rsid w:val="000D5320"/>
    <w:rsid w:val="000D6F61"/>
    <w:rsid w:val="000E1A64"/>
    <w:rsid w:val="000E4B26"/>
    <w:rsid w:val="000E619B"/>
    <w:rsid w:val="000F1C3A"/>
    <w:rsid w:val="000F2F1E"/>
    <w:rsid w:val="000F44F3"/>
    <w:rsid w:val="001033A2"/>
    <w:rsid w:val="001037F0"/>
    <w:rsid w:val="00106ADE"/>
    <w:rsid w:val="00107796"/>
    <w:rsid w:val="00111FF0"/>
    <w:rsid w:val="0011443A"/>
    <w:rsid w:val="00115611"/>
    <w:rsid w:val="00120162"/>
    <w:rsid w:val="0012041B"/>
    <w:rsid w:val="001260A5"/>
    <w:rsid w:val="00132710"/>
    <w:rsid w:val="00132EF2"/>
    <w:rsid w:val="00135FD7"/>
    <w:rsid w:val="001364FF"/>
    <w:rsid w:val="00137458"/>
    <w:rsid w:val="00143006"/>
    <w:rsid w:val="001436C9"/>
    <w:rsid w:val="001439CE"/>
    <w:rsid w:val="0014457A"/>
    <w:rsid w:val="00145EED"/>
    <w:rsid w:val="0014706B"/>
    <w:rsid w:val="001500EC"/>
    <w:rsid w:val="0015117C"/>
    <w:rsid w:val="00151212"/>
    <w:rsid w:val="00155348"/>
    <w:rsid w:val="0015722D"/>
    <w:rsid w:val="001701BB"/>
    <w:rsid w:val="00171E4D"/>
    <w:rsid w:val="00174133"/>
    <w:rsid w:val="0017526A"/>
    <w:rsid w:val="0017530A"/>
    <w:rsid w:val="00181659"/>
    <w:rsid w:val="00181A6A"/>
    <w:rsid w:val="00182B8C"/>
    <w:rsid w:val="00183F2F"/>
    <w:rsid w:val="00183FBF"/>
    <w:rsid w:val="001841C4"/>
    <w:rsid w:val="00184ADA"/>
    <w:rsid w:val="0018617B"/>
    <w:rsid w:val="001868CF"/>
    <w:rsid w:val="001869F1"/>
    <w:rsid w:val="00191180"/>
    <w:rsid w:val="0019129D"/>
    <w:rsid w:val="00193F6B"/>
    <w:rsid w:val="00197227"/>
    <w:rsid w:val="00197698"/>
    <w:rsid w:val="001977D2"/>
    <w:rsid w:val="001A2E5A"/>
    <w:rsid w:val="001B04A9"/>
    <w:rsid w:val="001B2310"/>
    <w:rsid w:val="001B394F"/>
    <w:rsid w:val="001B52F0"/>
    <w:rsid w:val="001B7369"/>
    <w:rsid w:val="001C029A"/>
    <w:rsid w:val="001C3D32"/>
    <w:rsid w:val="001C5F47"/>
    <w:rsid w:val="001C614B"/>
    <w:rsid w:val="001C7C07"/>
    <w:rsid w:val="001D0941"/>
    <w:rsid w:val="001D0E2A"/>
    <w:rsid w:val="001D177C"/>
    <w:rsid w:val="001D6D91"/>
    <w:rsid w:val="001E0CA8"/>
    <w:rsid w:val="001E109A"/>
    <w:rsid w:val="001E1F7A"/>
    <w:rsid w:val="001E412C"/>
    <w:rsid w:val="001E508D"/>
    <w:rsid w:val="001E7506"/>
    <w:rsid w:val="001F30CE"/>
    <w:rsid w:val="001F6C3C"/>
    <w:rsid w:val="002004AD"/>
    <w:rsid w:val="00201358"/>
    <w:rsid w:val="00202F72"/>
    <w:rsid w:val="00203053"/>
    <w:rsid w:val="00203E2D"/>
    <w:rsid w:val="002068D3"/>
    <w:rsid w:val="00210D05"/>
    <w:rsid w:val="00210E0A"/>
    <w:rsid w:val="00211271"/>
    <w:rsid w:val="00212F34"/>
    <w:rsid w:val="0021492D"/>
    <w:rsid w:val="00214CEF"/>
    <w:rsid w:val="0021564A"/>
    <w:rsid w:val="002167F8"/>
    <w:rsid w:val="00217A86"/>
    <w:rsid w:val="002203AB"/>
    <w:rsid w:val="00222363"/>
    <w:rsid w:val="00222BC4"/>
    <w:rsid w:val="00225CB5"/>
    <w:rsid w:val="00225F81"/>
    <w:rsid w:val="00226497"/>
    <w:rsid w:val="002267F1"/>
    <w:rsid w:val="00226B65"/>
    <w:rsid w:val="00230175"/>
    <w:rsid w:val="002357D8"/>
    <w:rsid w:val="00250469"/>
    <w:rsid w:val="002519B3"/>
    <w:rsid w:val="002565E6"/>
    <w:rsid w:val="002569AF"/>
    <w:rsid w:val="00257CBF"/>
    <w:rsid w:val="00261E99"/>
    <w:rsid w:val="00262FEA"/>
    <w:rsid w:val="00264313"/>
    <w:rsid w:val="00265614"/>
    <w:rsid w:val="00267D1A"/>
    <w:rsid w:val="00270C60"/>
    <w:rsid w:val="00275AD4"/>
    <w:rsid w:val="00280D8C"/>
    <w:rsid w:val="002824A6"/>
    <w:rsid w:val="002840F1"/>
    <w:rsid w:val="00285E88"/>
    <w:rsid w:val="00286682"/>
    <w:rsid w:val="0028689F"/>
    <w:rsid w:val="002869A0"/>
    <w:rsid w:val="002929A9"/>
    <w:rsid w:val="00293C36"/>
    <w:rsid w:val="00295878"/>
    <w:rsid w:val="002A3111"/>
    <w:rsid w:val="002A3285"/>
    <w:rsid w:val="002A36E2"/>
    <w:rsid w:val="002A3BF3"/>
    <w:rsid w:val="002A5A32"/>
    <w:rsid w:val="002A70A3"/>
    <w:rsid w:val="002B123C"/>
    <w:rsid w:val="002B1595"/>
    <w:rsid w:val="002B224D"/>
    <w:rsid w:val="002B2D6E"/>
    <w:rsid w:val="002B3A7F"/>
    <w:rsid w:val="002B4966"/>
    <w:rsid w:val="002B4B76"/>
    <w:rsid w:val="002C08E2"/>
    <w:rsid w:val="002C0D81"/>
    <w:rsid w:val="002C118F"/>
    <w:rsid w:val="002C3914"/>
    <w:rsid w:val="002C39D9"/>
    <w:rsid w:val="002C5155"/>
    <w:rsid w:val="002C6DA2"/>
    <w:rsid w:val="002D2055"/>
    <w:rsid w:val="002E09E6"/>
    <w:rsid w:val="002E288A"/>
    <w:rsid w:val="002E2D66"/>
    <w:rsid w:val="002E5B7C"/>
    <w:rsid w:val="002F300B"/>
    <w:rsid w:val="002F733D"/>
    <w:rsid w:val="00300F50"/>
    <w:rsid w:val="00300FE9"/>
    <w:rsid w:val="00302A9E"/>
    <w:rsid w:val="0030427F"/>
    <w:rsid w:val="003070D8"/>
    <w:rsid w:val="00307855"/>
    <w:rsid w:val="00312082"/>
    <w:rsid w:val="003142DE"/>
    <w:rsid w:val="00315F55"/>
    <w:rsid w:val="003206F9"/>
    <w:rsid w:val="00321ACD"/>
    <w:rsid w:val="0032310D"/>
    <w:rsid w:val="0032592D"/>
    <w:rsid w:val="00325E18"/>
    <w:rsid w:val="003261B5"/>
    <w:rsid w:val="0032787B"/>
    <w:rsid w:val="00330A22"/>
    <w:rsid w:val="00334B59"/>
    <w:rsid w:val="003358F8"/>
    <w:rsid w:val="00343B56"/>
    <w:rsid w:val="00344892"/>
    <w:rsid w:val="00344D07"/>
    <w:rsid w:val="0034538F"/>
    <w:rsid w:val="003467B6"/>
    <w:rsid w:val="00346B38"/>
    <w:rsid w:val="00350E64"/>
    <w:rsid w:val="00355251"/>
    <w:rsid w:val="00355FDE"/>
    <w:rsid w:val="00357468"/>
    <w:rsid w:val="003608E7"/>
    <w:rsid w:val="00362B34"/>
    <w:rsid w:val="00366082"/>
    <w:rsid w:val="00366B41"/>
    <w:rsid w:val="00371539"/>
    <w:rsid w:val="00372EB5"/>
    <w:rsid w:val="00373080"/>
    <w:rsid w:val="003775BB"/>
    <w:rsid w:val="00380410"/>
    <w:rsid w:val="003819DF"/>
    <w:rsid w:val="00383C7C"/>
    <w:rsid w:val="00384515"/>
    <w:rsid w:val="00385E6B"/>
    <w:rsid w:val="00385F53"/>
    <w:rsid w:val="003908F9"/>
    <w:rsid w:val="00391ECC"/>
    <w:rsid w:val="00393B6C"/>
    <w:rsid w:val="00394319"/>
    <w:rsid w:val="00395042"/>
    <w:rsid w:val="00395068"/>
    <w:rsid w:val="003A12C0"/>
    <w:rsid w:val="003A1A49"/>
    <w:rsid w:val="003A1EA5"/>
    <w:rsid w:val="003A284A"/>
    <w:rsid w:val="003A4692"/>
    <w:rsid w:val="003A4931"/>
    <w:rsid w:val="003A679E"/>
    <w:rsid w:val="003B2DE9"/>
    <w:rsid w:val="003B2FBB"/>
    <w:rsid w:val="003B50D1"/>
    <w:rsid w:val="003B6AD9"/>
    <w:rsid w:val="003C09D5"/>
    <w:rsid w:val="003C4F18"/>
    <w:rsid w:val="003C57AB"/>
    <w:rsid w:val="003C606A"/>
    <w:rsid w:val="003C6F22"/>
    <w:rsid w:val="003C719A"/>
    <w:rsid w:val="003D027E"/>
    <w:rsid w:val="003D16DA"/>
    <w:rsid w:val="003D1730"/>
    <w:rsid w:val="003D2AA3"/>
    <w:rsid w:val="003D64AC"/>
    <w:rsid w:val="003D76FA"/>
    <w:rsid w:val="003E382D"/>
    <w:rsid w:val="003E3EE4"/>
    <w:rsid w:val="003E578F"/>
    <w:rsid w:val="003E7104"/>
    <w:rsid w:val="003F0135"/>
    <w:rsid w:val="003F1B8A"/>
    <w:rsid w:val="003F75E7"/>
    <w:rsid w:val="00402337"/>
    <w:rsid w:val="00406C84"/>
    <w:rsid w:val="00411C15"/>
    <w:rsid w:val="00412934"/>
    <w:rsid w:val="00412FDF"/>
    <w:rsid w:val="00415044"/>
    <w:rsid w:val="0041672A"/>
    <w:rsid w:val="00416851"/>
    <w:rsid w:val="00416E1A"/>
    <w:rsid w:val="00417A13"/>
    <w:rsid w:val="00417C65"/>
    <w:rsid w:val="004231F1"/>
    <w:rsid w:val="00424560"/>
    <w:rsid w:val="004245D9"/>
    <w:rsid w:val="00424CE9"/>
    <w:rsid w:val="004276BF"/>
    <w:rsid w:val="004315FC"/>
    <w:rsid w:val="00433496"/>
    <w:rsid w:val="004350F0"/>
    <w:rsid w:val="0044043E"/>
    <w:rsid w:val="0044097B"/>
    <w:rsid w:val="00442284"/>
    <w:rsid w:val="004462D7"/>
    <w:rsid w:val="00451D95"/>
    <w:rsid w:val="00452465"/>
    <w:rsid w:val="00454F8B"/>
    <w:rsid w:val="0045726E"/>
    <w:rsid w:val="00460134"/>
    <w:rsid w:val="00464599"/>
    <w:rsid w:val="0046620C"/>
    <w:rsid w:val="00467802"/>
    <w:rsid w:val="00467814"/>
    <w:rsid w:val="00471513"/>
    <w:rsid w:val="00472457"/>
    <w:rsid w:val="00472C85"/>
    <w:rsid w:val="0047398A"/>
    <w:rsid w:val="00473F2E"/>
    <w:rsid w:val="00476594"/>
    <w:rsid w:val="00480598"/>
    <w:rsid w:val="00480A90"/>
    <w:rsid w:val="00482344"/>
    <w:rsid w:val="004830C7"/>
    <w:rsid w:val="00486790"/>
    <w:rsid w:val="004901EB"/>
    <w:rsid w:val="004932D9"/>
    <w:rsid w:val="004A746D"/>
    <w:rsid w:val="004B23D1"/>
    <w:rsid w:val="004B3980"/>
    <w:rsid w:val="004B6CD9"/>
    <w:rsid w:val="004B7521"/>
    <w:rsid w:val="004B7EB9"/>
    <w:rsid w:val="004C3F2C"/>
    <w:rsid w:val="004C5BBC"/>
    <w:rsid w:val="004C62FD"/>
    <w:rsid w:val="004C688F"/>
    <w:rsid w:val="004D12A3"/>
    <w:rsid w:val="004D2198"/>
    <w:rsid w:val="004D264E"/>
    <w:rsid w:val="004D6147"/>
    <w:rsid w:val="004D6CF0"/>
    <w:rsid w:val="004D72B2"/>
    <w:rsid w:val="004E2909"/>
    <w:rsid w:val="004E4204"/>
    <w:rsid w:val="004E5864"/>
    <w:rsid w:val="004E769A"/>
    <w:rsid w:val="004F00D7"/>
    <w:rsid w:val="004F795A"/>
    <w:rsid w:val="0050120B"/>
    <w:rsid w:val="0050225C"/>
    <w:rsid w:val="0050629D"/>
    <w:rsid w:val="00513E4F"/>
    <w:rsid w:val="00514A07"/>
    <w:rsid w:val="00515890"/>
    <w:rsid w:val="00516E48"/>
    <w:rsid w:val="00517CF0"/>
    <w:rsid w:val="00520121"/>
    <w:rsid w:val="005203C8"/>
    <w:rsid w:val="0052061C"/>
    <w:rsid w:val="00521670"/>
    <w:rsid w:val="005216A1"/>
    <w:rsid w:val="00530C31"/>
    <w:rsid w:val="00535800"/>
    <w:rsid w:val="00536A66"/>
    <w:rsid w:val="00540349"/>
    <w:rsid w:val="00540E38"/>
    <w:rsid w:val="005476E3"/>
    <w:rsid w:val="005477EF"/>
    <w:rsid w:val="005500F1"/>
    <w:rsid w:val="0055108C"/>
    <w:rsid w:val="005515A0"/>
    <w:rsid w:val="00551AED"/>
    <w:rsid w:val="005535CB"/>
    <w:rsid w:val="005541AC"/>
    <w:rsid w:val="00557A03"/>
    <w:rsid w:val="00557A2F"/>
    <w:rsid w:val="00561F9E"/>
    <w:rsid w:val="00562D5C"/>
    <w:rsid w:val="00564291"/>
    <w:rsid w:val="00566859"/>
    <w:rsid w:val="00566D70"/>
    <w:rsid w:val="00567987"/>
    <w:rsid w:val="005736C9"/>
    <w:rsid w:val="00573B19"/>
    <w:rsid w:val="00581BA0"/>
    <w:rsid w:val="005861AE"/>
    <w:rsid w:val="005865D8"/>
    <w:rsid w:val="00590F29"/>
    <w:rsid w:val="00591FDB"/>
    <w:rsid w:val="0059212E"/>
    <w:rsid w:val="005921F4"/>
    <w:rsid w:val="005971F9"/>
    <w:rsid w:val="0059734D"/>
    <w:rsid w:val="005A1EA1"/>
    <w:rsid w:val="005A3CC6"/>
    <w:rsid w:val="005B2DAB"/>
    <w:rsid w:val="005B6ADF"/>
    <w:rsid w:val="005B6F7F"/>
    <w:rsid w:val="005B719E"/>
    <w:rsid w:val="005C214E"/>
    <w:rsid w:val="005C22C3"/>
    <w:rsid w:val="005C3F13"/>
    <w:rsid w:val="005C3FCE"/>
    <w:rsid w:val="005D2BE3"/>
    <w:rsid w:val="005D3B05"/>
    <w:rsid w:val="005D6E65"/>
    <w:rsid w:val="005E0E4E"/>
    <w:rsid w:val="005E0EFA"/>
    <w:rsid w:val="005E216D"/>
    <w:rsid w:val="005E3F14"/>
    <w:rsid w:val="005F4BC7"/>
    <w:rsid w:val="005F504B"/>
    <w:rsid w:val="005F71D5"/>
    <w:rsid w:val="00600863"/>
    <w:rsid w:val="006014A6"/>
    <w:rsid w:val="00601873"/>
    <w:rsid w:val="00602E5F"/>
    <w:rsid w:val="00603002"/>
    <w:rsid w:val="006052B6"/>
    <w:rsid w:val="0061226D"/>
    <w:rsid w:val="0062160E"/>
    <w:rsid w:val="006241BC"/>
    <w:rsid w:val="00624C3D"/>
    <w:rsid w:val="00624E9F"/>
    <w:rsid w:val="00624EBA"/>
    <w:rsid w:val="0062660F"/>
    <w:rsid w:val="00626D86"/>
    <w:rsid w:val="006318DB"/>
    <w:rsid w:val="006325ED"/>
    <w:rsid w:val="0063264F"/>
    <w:rsid w:val="00633174"/>
    <w:rsid w:val="00634480"/>
    <w:rsid w:val="0063622A"/>
    <w:rsid w:val="0064082D"/>
    <w:rsid w:val="00641849"/>
    <w:rsid w:val="00644B90"/>
    <w:rsid w:val="00644F13"/>
    <w:rsid w:val="00646A58"/>
    <w:rsid w:val="00653486"/>
    <w:rsid w:val="0065494B"/>
    <w:rsid w:val="0065508D"/>
    <w:rsid w:val="00657817"/>
    <w:rsid w:val="006613F3"/>
    <w:rsid w:val="006645A6"/>
    <w:rsid w:val="00664A33"/>
    <w:rsid w:val="0067099F"/>
    <w:rsid w:val="00673581"/>
    <w:rsid w:val="006759DE"/>
    <w:rsid w:val="00681D70"/>
    <w:rsid w:val="0068467A"/>
    <w:rsid w:val="00686BEC"/>
    <w:rsid w:val="00686E9B"/>
    <w:rsid w:val="0068751A"/>
    <w:rsid w:val="006922BA"/>
    <w:rsid w:val="0069373A"/>
    <w:rsid w:val="0069508C"/>
    <w:rsid w:val="006951B8"/>
    <w:rsid w:val="006961DA"/>
    <w:rsid w:val="006A121E"/>
    <w:rsid w:val="006A2058"/>
    <w:rsid w:val="006A3C64"/>
    <w:rsid w:val="006A4377"/>
    <w:rsid w:val="006A54E2"/>
    <w:rsid w:val="006A582F"/>
    <w:rsid w:val="006A75B4"/>
    <w:rsid w:val="006B3F54"/>
    <w:rsid w:val="006B444B"/>
    <w:rsid w:val="006B62F2"/>
    <w:rsid w:val="006C0652"/>
    <w:rsid w:val="006C0AC4"/>
    <w:rsid w:val="006C2391"/>
    <w:rsid w:val="006C40F0"/>
    <w:rsid w:val="006C50F3"/>
    <w:rsid w:val="006C570D"/>
    <w:rsid w:val="006D3188"/>
    <w:rsid w:val="006D32E3"/>
    <w:rsid w:val="006D569F"/>
    <w:rsid w:val="006D65A9"/>
    <w:rsid w:val="006D71DE"/>
    <w:rsid w:val="006D7DD7"/>
    <w:rsid w:val="006E092C"/>
    <w:rsid w:val="006E5037"/>
    <w:rsid w:val="006E6CF0"/>
    <w:rsid w:val="006E722A"/>
    <w:rsid w:val="006E7A98"/>
    <w:rsid w:val="006F005D"/>
    <w:rsid w:val="006F1AF8"/>
    <w:rsid w:val="006F35AA"/>
    <w:rsid w:val="006F392F"/>
    <w:rsid w:val="006F3F1D"/>
    <w:rsid w:val="00701058"/>
    <w:rsid w:val="007017CB"/>
    <w:rsid w:val="007033BA"/>
    <w:rsid w:val="00711DE4"/>
    <w:rsid w:val="007128AB"/>
    <w:rsid w:val="00714105"/>
    <w:rsid w:val="00714143"/>
    <w:rsid w:val="0071469F"/>
    <w:rsid w:val="00722A71"/>
    <w:rsid w:val="00723377"/>
    <w:rsid w:val="007240CC"/>
    <w:rsid w:val="007251A4"/>
    <w:rsid w:val="00727A84"/>
    <w:rsid w:val="0073029D"/>
    <w:rsid w:val="007333AE"/>
    <w:rsid w:val="00735FA9"/>
    <w:rsid w:val="0074142F"/>
    <w:rsid w:val="007416E4"/>
    <w:rsid w:val="0074362C"/>
    <w:rsid w:val="00746ECE"/>
    <w:rsid w:val="007474D9"/>
    <w:rsid w:val="00753378"/>
    <w:rsid w:val="00754E2A"/>
    <w:rsid w:val="007567EB"/>
    <w:rsid w:val="00761426"/>
    <w:rsid w:val="007617E0"/>
    <w:rsid w:val="007625C9"/>
    <w:rsid w:val="00766DAE"/>
    <w:rsid w:val="00767BA2"/>
    <w:rsid w:val="00772F77"/>
    <w:rsid w:val="007731BA"/>
    <w:rsid w:val="0077456F"/>
    <w:rsid w:val="007778CC"/>
    <w:rsid w:val="00780049"/>
    <w:rsid w:val="00782893"/>
    <w:rsid w:val="00784CEE"/>
    <w:rsid w:val="007861F6"/>
    <w:rsid w:val="00790CB4"/>
    <w:rsid w:val="00791DAE"/>
    <w:rsid w:val="0079498B"/>
    <w:rsid w:val="00795D18"/>
    <w:rsid w:val="007A020C"/>
    <w:rsid w:val="007A0444"/>
    <w:rsid w:val="007A1D4F"/>
    <w:rsid w:val="007A2CD9"/>
    <w:rsid w:val="007A5210"/>
    <w:rsid w:val="007A5E73"/>
    <w:rsid w:val="007B0CE0"/>
    <w:rsid w:val="007B2B99"/>
    <w:rsid w:val="007B2F89"/>
    <w:rsid w:val="007C0882"/>
    <w:rsid w:val="007C149F"/>
    <w:rsid w:val="007C2439"/>
    <w:rsid w:val="007C2E39"/>
    <w:rsid w:val="007C6744"/>
    <w:rsid w:val="007D0BF3"/>
    <w:rsid w:val="007D134F"/>
    <w:rsid w:val="007D16F5"/>
    <w:rsid w:val="007D2645"/>
    <w:rsid w:val="007D3C03"/>
    <w:rsid w:val="007D43B3"/>
    <w:rsid w:val="007D7D67"/>
    <w:rsid w:val="007E2109"/>
    <w:rsid w:val="007E21BF"/>
    <w:rsid w:val="007E25DC"/>
    <w:rsid w:val="007E42B5"/>
    <w:rsid w:val="007F142F"/>
    <w:rsid w:val="007F1837"/>
    <w:rsid w:val="007F2A42"/>
    <w:rsid w:val="007F309C"/>
    <w:rsid w:val="007F4291"/>
    <w:rsid w:val="007F4E69"/>
    <w:rsid w:val="007F76B0"/>
    <w:rsid w:val="007F78FC"/>
    <w:rsid w:val="0080122D"/>
    <w:rsid w:val="00801718"/>
    <w:rsid w:val="00801C2D"/>
    <w:rsid w:val="00804B77"/>
    <w:rsid w:val="0080729F"/>
    <w:rsid w:val="0081001A"/>
    <w:rsid w:val="0081083E"/>
    <w:rsid w:val="00815232"/>
    <w:rsid w:val="00817608"/>
    <w:rsid w:val="00835285"/>
    <w:rsid w:val="00835D37"/>
    <w:rsid w:val="00836193"/>
    <w:rsid w:val="008427AE"/>
    <w:rsid w:val="008453F9"/>
    <w:rsid w:val="0084631D"/>
    <w:rsid w:val="00847497"/>
    <w:rsid w:val="00860B01"/>
    <w:rsid w:val="008646A7"/>
    <w:rsid w:val="0086753D"/>
    <w:rsid w:val="0087223F"/>
    <w:rsid w:val="00872E35"/>
    <w:rsid w:val="008741A1"/>
    <w:rsid w:val="00884828"/>
    <w:rsid w:val="00885490"/>
    <w:rsid w:val="00886960"/>
    <w:rsid w:val="00890609"/>
    <w:rsid w:val="0089071C"/>
    <w:rsid w:val="00892EB8"/>
    <w:rsid w:val="00894CE3"/>
    <w:rsid w:val="008A054A"/>
    <w:rsid w:val="008A0A40"/>
    <w:rsid w:val="008A1AB4"/>
    <w:rsid w:val="008A339C"/>
    <w:rsid w:val="008B4C79"/>
    <w:rsid w:val="008B5ACD"/>
    <w:rsid w:val="008B5E99"/>
    <w:rsid w:val="008C00A6"/>
    <w:rsid w:val="008C4DC3"/>
    <w:rsid w:val="008C7FF6"/>
    <w:rsid w:val="008D20CE"/>
    <w:rsid w:val="008D2C97"/>
    <w:rsid w:val="008D455B"/>
    <w:rsid w:val="008D7949"/>
    <w:rsid w:val="008E0F11"/>
    <w:rsid w:val="008E2D76"/>
    <w:rsid w:val="008E5321"/>
    <w:rsid w:val="008E779A"/>
    <w:rsid w:val="008F08F3"/>
    <w:rsid w:val="008F2663"/>
    <w:rsid w:val="008F3CE4"/>
    <w:rsid w:val="008F499B"/>
    <w:rsid w:val="008F5805"/>
    <w:rsid w:val="008F6AC6"/>
    <w:rsid w:val="008F6C02"/>
    <w:rsid w:val="008F7E5F"/>
    <w:rsid w:val="0090277C"/>
    <w:rsid w:val="00902D2B"/>
    <w:rsid w:val="009032A9"/>
    <w:rsid w:val="009032DD"/>
    <w:rsid w:val="0090455E"/>
    <w:rsid w:val="009069B4"/>
    <w:rsid w:val="00910BB3"/>
    <w:rsid w:val="009116AB"/>
    <w:rsid w:val="00911BB3"/>
    <w:rsid w:val="0092123D"/>
    <w:rsid w:val="00921391"/>
    <w:rsid w:val="00922D61"/>
    <w:rsid w:val="00924143"/>
    <w:rsid w:val="009258D6"/>
    <w:rsid w:val="009268AD"/>
    <w:rsid w:val="00930D4B"/>
    <w:rsid w:val="00932BAC"/>
    <w:rsid w:val="00935963"/>
    <w:rsid w:val="00941D56"/>
    <w:rsid w:val="00944E30"/>
    <w:rsid w:val="009457E0"/>
    <w:rsid w:val="00945CE5"/>
    <w:rsid w:val="00946E60"/>
    <w:rsid w:val="00951EE1"/>
    <w:rsid w:val="00953CA6"/>
    <w:rsid w:val="00961784"/>
    <w:rsid w:val="00961EF6"/>
    <w:rsid w:val="00963398"/>
    <w:rsid w:val="00963ED2"/>
    <w:rsid w:val="00963F29"/>
    <w:rsid w:val="0096730E"/>
    <w:rsid w:val="00970511"/>
    <w:rsid w:val="00970920"/>
    <w:rsid w:val="00970C16"/>
    <w:rsid w:val="00971247"/>
    <w:rsid w:val="009718AA"/>
    <w:rsid w:val="009724C9"/>
    <w:rsid w:val="00972508"/>
    <w:rsid w:val="009733D0"/>
    <w:rsid w:val="0098032C"/>
    <w:rsid w:val="00980B4F"/>
    <w:rsid w:val="0098111E"/>
    <w:rsid w:val="00982903"/>
    <w:rsid w:val="00985EB4"/>
    <w:rsid w:val="00990C84"/>
    <w:rsid w:val="009913C6"/>
    <w:rsid w:val="009959F5"/>
    <w:rsid w:val="00995E8B"/>
    <w:rsid w:val="009A127F"/>
    <w:rsid w:val="009A1BD7"/>
    <w:rsid w:val="009A2452"/>
    <w:rsid w:val="009A5755"/>
    <w:rsid w:val="009A65F2"/>
    <w:rsid w:val="009B2709"/>
    <w:rsid w:val="009B609A"/>
    <w:rsid w:val="009C0D23"/>
    <w:rsid w:val="009C1E9A"/>
    <w:rsid w:val="009C6EE4"/>
    <w:rsid w:val="009D23FF"/>
    <w:rsid w:val="009D53AF"/>
    <w:rsid w:val="009D6785"/>
    <w:rsid w:val="009D7072"/>
    <w:rsid w:val="009D73E0"/>
    <w:rsid w:val="009E28EB"/>
    <w:rsid w:val="009E458B"/>
    <w:rsid w:val="009E4DCF"/>
    <w:rsid w:val="009E58FF"/>
    <w:rsid w:val="009F0558"/>
    <w:rsid w:val="009F2AA5"/>
    <w:rsid w:val="009F308A"/>
    <w:rsid w:val="009F5C29"/>
    <w:rsid w:val="00A020A2"/>
    <w:rsid w:val="00A05335"/>
    <w:rsid w:val="00A066FC"/>
    <w:rsid w:val="00A1560E"/>
    <w:rsid w:val="00A16D59"/>
    <w:rsid w:val="00A16E54"/>
    <w:rsid w:val="00A2159D"/>
    <w:rsid w:val="00A22892"/>
    <w:rsid w:val="00A24AEC"/>
    <w:rsid w:val="00A25511"/>
    <w:rsid w:val="00A3111B"/>
    <w:rsid w:val="00A3142D"/>
    <w:rsid w:val="00A319A6"/>
    <w:rsid w:val="00A36DFD"/>
    <w:rsid w:val="00A37E65"/>
    <w:rsid w:val="00A50169"/>
    <w:rsid w:val="00A51F3C"/>
    <w:rsid w:val="00A533E1"/>
    <w:rsid w:val="00A5678B"/>
    <w:rsid w:val="00A6149E"/>
    <w:rsid w:val="00A62162"/>
    <w:rsid w:val="00A622C8"/>
    <w:rsid w:val="00A6262B"/>
    <w:rsid w:val="00A635CD"/>
    <w:rsid w:val="00A63789"/>
    <w:rsid w:val="00A64981"/>
    <w:rsid w:val="00A65067"/>
    <w:rsid w:val="00A66869"/>
    <w:rsid w:val="00A66E6A"/>
    <w:rsid w:val="00A6744D"/>
    <w:rsid w:val="00A715E5"/>
    <w:rsid w:val="00A74B78"/>
    <w:rsid w:val="00A756CE"/>
    <w:rsid w:val="00A7580A"/>
    <w:rsid w:val="00A80503"/>
    <w:rsid w:val="00A80E3D"/>
    <w:rsid w:val="00A8262D"/>
    <w:rsid w:val="00A906ED"/>
    <w:rsid w:val="00A90B36"/>
    <w:rsid w:val="00A9203E"/>
    <w:rsid w:val="00A92804"/>
    <w:rsid w:val="00A97185"/>
    <w:rsid w:val="00A9735F"/>
    <w:rsid w:val="00AA0471"/>
    <w:rsid w:val="00AA714B"/>
    <w:rsid w:val="00AA749D"/>
    <w:rsid w:val="00AB48A5"/>
    <w:rsid w:val="00AB4990"/>
    <w:rsid w:val="00AB4CEB"/>
    <w:rsid w:val="00AB587F"/>
    <w:rsid w:val="00AC0A2D"/>
    <w:rsid w:val="00AC7993"/>
    <w:rsid w:val="00AD0CD2"/>
    <w:rsid w:val="00AD51D2"/>
    <w:rsid w:val="00AE1B56"/>
    <w:rsid w:val="00AE2A3D"/>
    <w:rsid w:val="00AE3BD9"/>
    <w:rsid w:val="00AE53C3"/>
    <w:rsid w:val="00AE762B"/>
    <w:rsid w:val="00AF1D96"/>
    <w:rsid w:val="00AF4EC5"/>
    <w:rsid w:val="00AF54E6"/>
    <w:rsid w:val="00B0194A"/>
    <w:rsid w:val="00B047E2"/>
    <w:rsid w:val="00B11F17"/>
    <w:rsid w:val="00B12EB3"/>
    <w:rsid w:val="00B130E8"/>
    <w:rsid w:val="00B13633"/>
    <w:rsid w:val="00B14F8C"/>
    <w:rsid w:val="00B2090E"/>
    <w:rsid w:val="00B2111E"/>
    <w:rsid w:val="00B2167F"/>
    <w:rsid w:val="00B21D40"/>
    <w:rsid w:val="00B224D5"/>
    <w:rsid w:val="00B23966"/>
    <w:rsid w:val="00B263EE"/>
    <w:rsid w:val="00B264A7"/>
    <w:rsid w:val="00B27170"/>
    <w:rsid w:val="00B27698"/>
    <w:rsid w:val="00B320EF"/>
    <w:rsid w:val="00B3383F"/>
    <w:rsid w:val="00B339D7"/>
    <w:rsid w:val="00B34F30"/>
    <w:rsid w:val="00B34FE1"/>
    <w:rsid w:val="00B36EF2"/>
    <w:rsid w:val="00B4101A"/>
    <w:rsid w:val="00B4343D"/>
    <w:rsid w:val="00B434D4"/>
    <w:rsid w:val="00B44D35"/>
    <w:rsid w:val="00B466C4"/>
    <w:rsid w:val="00B51DD1"/>
    <w:rsid w:val="00B52CC8"/>
    <w:rsid w:val="00B55645"/>
    <w:rsid w:val="00B559B6"/>
    <w:rsid w:val="00B56D93"/>
    <w:rsid w:val="00B57085"/>
    <w:rsid w:val="00B600F8"/>
    <w:rsid w:val="00B634DE"/>
    <w:rsid w:val="00B6391C"/>
    <w:rsid w:val="00B6456F"/>
    <w:rsid w:val="00B66A04"/>
    <w:rsid w:val="00B71A5E"/>
    <w:rsid w:val="00B7372C"/>
    <w:rsid w:val="00B76794"/>
    <w:rsid w:val="00B82087"/>
    <w:rsid w:val="00B828E7"/>
    <w:rsid w:val="00B84FE8"/>
    <w:rsid w:val="00B85358"/>
    <w:rsid w:val="00B87CD2"/>
    <w:rsid w:val="00B9065A"/>
    <w:rsid w:val="00B922A8"/>
    <w:rsid w:val="00B94806"/>
    <w:rsid w:val="00B95D2D"/>
    <w:rsid w:val="00B960DC"/>
    <w:rsid w:val="00B96391"/>
    <w:rsid w:val="00BA0483"/>
    <w:rsid w:val="00BA21B0"/>
    <w:rsid w:val="00BA3486"/>
    <w:rsid w:val="00BA447D"/>
    <w:rsid w:val="00BA4D0B"/>
    <w:rsid w:val="00BA6CB2"/>
    <w:rsid w:val="00BA72A7"/>
    <w:rsid w:val="00BB113D"/>
    <w:rsid w:val="00BB565E"/>
    <w:rsid w:val="00BB59EF"/>
    <w:rsid w:val="00BC019F"/>
    <w:rsid w:val="00BC068D"/>
    <w:rsid w:val="00BC2637"/>
    <w:rsid w:val="00BC5074"/>
    <w:rsid w:val="00BC6A51"/>
    <w:rsid w:val="00BD407D"/>
    <w:rsid w:val="00BD5169"/>
    <w:rsid w:val="00BD68B9"/>
    <w:rsid w:val="00BD6AA3"/>
    <w:rsid w:val="00BE06F6"/>
    <w:rsid w:val="00BE36F3"/>
    <w:rsid w:val="00BE6D3A"/>
    <w:rsid w:val="00BE7816"/>
    <w:rsid w:val="00BE7D74"/>
    <w:rsid w:val="00BF1391"/>
    <w:rsid w:val="00BF3744"/>
    <w:rsid w:val="00BF589B"/>
    <w:rsid w:val="00BF7864"/>
    <w:rsid w:val="00C02198"/>
    <w:rsid w:val="00C02C79"/>
    <w:rsid w:val="00C0310C"/>
    <w:rsid w:val="00C037C7"/>
    <w:rsid w:val="00C0555A"/>
    <w:rsid w:val="00C07B89"/>
    <w:rsid w:val="00C11280"/>
    <w:rsid w:val="00C15796"/>
    <w:rsid w:val="00C20C12"/>
    <w:rsid w:val="00C259C4"/>
    <w:rsid w:val="00C268EA"/>
    <w:rsid w:val="00C27942"/>
    <w:rsid w:val="00C306DB"/>
    <w:rsid w:val="00C32BC8"/>
    <w:rsid w:val="00C333D8"/>
    <w:rsid w:val="00C35C0C"/>
    <w:rsid w:val="00C3681F"/>
    <w:rsid w:val="00C417DC"/>
    <w:rsid w:val="00C42034"/>
    <w:rsid w:val="00C429D0"/>
    <w:rsid w:val="00C44A0D"/>
    <w:rsid w:val="00C457A9"/>
    <w:rsid w:val="00C4638F"/>
    <w:rsid w:val="00C47398"/>
    <w:rsid w:val="00C501B9"/>
    <w:rsid w:val="00C51D03"/>
    <w:rsid w:val="00C52D9F"/>
    <w:rsid w:val="00C54758"/>
    <w:rsid w:val="00C55F7A"/>
    <w:rsid w:val="00C560EB"/>
    <w:rsid w:val="00C5648B"/>
    <w:rsid w:val="00C61BBD"/>
    <w:rsid w:val="00C723D1"/>
    <w:rsid w:val="00C72ACA"/>
    <w:rsid w:val="00C737D4"/>
    <w:rsid w:val="00C807CB"/>
    <w:rsid w:val="00C829F9"/>
    <w:rsid w:val="00C8428A"/>
    <w:rsid w:val="00C84C9A"/>
    <w:rsid w:val="00C87962"/>
    <w:rsid w:val="00C9083C"/>
    <w:rsid w:val="00C948A8"/>
    <w:rsid w:val="00C9742B"/>
    <w:rsid w:val="00CA30C6"/>
    <w:rsid w:val="00CA47F3"/>
    <w:rsid w:val="00CA6EA0"/>
    <w:rsid w:val="00CA7DD4"/>
    <w:rsid w:val="00CB1386"/>
    <w:rsid w:val="00CB30D2"/>
    <w:rsid w:val="00CB5101"/>
    <w:rsid w:val="00CB6134"/>
    <w:rsid w:val="00CC0430"/>
    <w:rsid w:val="00CC1495"/>
    <w:rsid w:val="00CC28CD"/>
    <w:rsid w:val="00CD0872"/>
    <w:rsid w:val="00CD3B61"/>
    <w:rsid w:val="00CD4235"/>
    <w:rsid w:val="00CD4EF9"/>
    <w:rsid w:val="00CD67B4"/>
    <w:rsid w:val="00CE02C7"/>
    <w:rsid w:val="00CE2DA5"/>
    <w:rsid w:val="00CE5544"/>
    <w:rsid w:val="00CE6555"/>
    <w:rsid w:val="00CF444F"/>
    <w:rsid w:val="00CF765F"/>
    <w:rsid w:val="00CF76E4"/>
    <w:rsid w:val="00D0461E"/>
    <w:rsid w:val="00D04AE6"/>
    <w:rsid w:val="00D04DB6"/>
    <w:rsid w:val="00D04FC6"/>
    <w:rsid w:val="00D05189"/>
    <w:rsid w:val="00D06FFE"/>
    <w:rsid w:val="00D10C0F"/>
    <w:rsid w:val="00D10F24"/>
    <w:rsid w:val="00D11E60"/>
    <w:rsid w:val="00D159C1"/>
    <w:rsid w:val="00D16E72"/>
    <w:rsid w:val="00D222B9"/>
    <w:rsid w:val="00D27E29"/>
    <w:rsid w:val="00D32490"/>
    <w:rsid w:val="00D332A5"/>
    <w:rsid w:val="00D33DF7"/>
    <w:rsid w:val="00D3727F"/>
    <w:rsid w:val="00D37DFD"/>
    <w:rsid w:val="00D413BD"/>
    <w:rsid w:val="00D41E15"/>
    <w:rsid w:val="00D43402"/>
    <w:rsid w:val="00D454FE"/>
    <w:rsid w:val="00D525C9"/>
    <w:rsid w:val="00D52A9C"/>
    <w:rsid w:val="00D553A1"/>
    <w:rsid w:val="00D61677"/>
    <w:rsid w:val="00D62163"/>
    <w:rsid w:val="00D624B6"/>
    <w:rsid w:val="00D653CF"/>
    <w:rsid w:val="00D65F45"/>
    <w:rsid w:val="00D70594"/>
    <w:rsid w:val="00D707AD"/>
    <w:rsid w:val="00D71538"/>
    <w:rsid w:val="00D74F12"/>
    <w:rsid w:val="00D75C63"/>
    <w:rsid w:val="00D80731"/>
    <w:rsid w:val="00D8419B"/>
    <w:rsid w:val="00D84BAA"/>
    <w:rsid w:val="00D872F3"/>
    <w:rsid w:val="00D9124C"/>
    <w:rsid w:val="00D91A61"/>
    <w:rsid w:val="00D9525B"/>
    <w:rsid w:val="00DA18A9"/>
    <w:rsid w:val="00DA1DEC"/>
    <w:rsid w:val="00DA7890"/>
    <w:rsid w:val="00DB0276"/>
    <w:rsid w:val="00DB0AA6"/>
    <w:rsid w:val="00DB0C79"/>
    <w:rsid w:val="00DB3F5C"/>
    <w:rsid w:val="00DB3FB4"/>
    <w:rsid w:val="00DB426E"/>
    <w:rsid w:val="00DB4528"/>
    <w:rsid w:val="00DB5246"/>
    <w:rsid w:val="00DC1A75"/>
    <w:rsid w:val="00DC1AC6"/>
    <w:rsid w:val="00DC2060"/>
    <w:rsid w:val="00DC3DE7"/>
    <w:rsid w:val="00DC49A3"/>
    <w:rsid w:val="00DD080E"/>
    <w:rsid w:val="00DD1037"/>
    <w:rsid w:val="00DD248E"/>
    <w:rsid w:val="00DD257B"/>
    <w:rsid w:val="00DD3AE3"/>
    <w:rsid w:val="00DD4C35"/>
    <w:rsid w:val="00DD6A11"/>
    <w:rsid w:val="00DE0CC5"/>
    <w:rsid w:val="00DE3669"/>
    <w:rsid w:val="00DE560D"/>
    <w:rsid w:val="00DE6208"/>
    <w:rsid w:val="00DE7EE1"/>
    <w:rsid w:val="00DF0E8F"/>
    <w:rsid w:val="00DF1676"/>
    <w:rsid w:val="00DF3336"/>
    <w:rsid w:val="00DF4AA3"/>
    <w:rsid w:val="00DF7329"/>
    <w:rsid w:val="00E01DE6"/>
    <w:rsid w:val="00E0396F"/>
    <w:rsid w:val="00E05324"/>
    <w:rsid w:val="00E11B8E"/>
    <w:rsid w:val="00E11DE1"/>
    <w:rsid w:val="00E1356F"/>
    <w:rsid w:val="00E1467D"/>
    <w:rsid w:val="00E15E7E"/>
    <w:rsid w:val="00E20435"/>
    <w:rsid w:val="00E22123"/>
    <w:rsid w:val="00E2263A"/>
    <w:rsid w:val="00E2361D"/>
    <w:rsid w:val="00E239F6"/>
    <w:rsid w:val="00E23B2A"/>
    <w:rsid w:val="00E24095"/>
    <w:rsid w:val="00E2546C"/>
    <w:rsid w:val="00E25BF0"/>
    <w:rsid w:val="00E25F39"/>
    <w:rsid w:val="00E31EB0"/>
    <w:rsid w:val="00E339B2"/>
    <w:rsid w:val="00E37517"/>
    <w:rsid w:val="00E40358"/>
    <w:rsid w:val="00E41DF5"/>
    <w:rsid w:val="00E4298D"/>
    <w:rsid w:val="00E45157"/>
    <w:rsid w:val="00E458F2"/>
    <w:rsid w:val="00E464E8"/>
    <w:rsid w:val="00E51725"/>
    <w:rsid w:val="00E51C19"/>
    <w:rsid w:val="00E555A3"/>
    <w:rsid w:val="00E56BC2"/>
    <w:rsid w:val="00E707DA"/>
    <w:rsid w:val="00E76EA5"/>
    <w:rsid w:val="00E76F8F"/>
    <w:rsid w:val="00E81AF0"/>
    <w:rsid w:val="00E82109"/>
    <w:rsid w:val="00E84172"/>
    <w:rsid w:val="00E84C7A"/>
    <w:rsid w:val="00E90199"/>
    <w:rsid w:val="00E92174"/>
    <w:rsid w:val="00E95125"/>
    <w:rsid w:val="00E958CC"/>
    <w:rsid w:val="00E95D34"/>
    <w:rsid w:val="00EA0237"/>
    <w:rsid w:val="00EA5930"/>
    <w:rsid w:val="00EA5BCF"/>
    <w:rsid w:val="00EB0DAC"/>
    <w:rsid w:val="00EB52FF"/>
    <w:rsid w:val="00EB5D3F"/>
    <w:rsid w:val="00EB5FC3"/>
    <w:rsid w:val="00EC00D4"/>
    <w:rsid w:val="00EC141F"/>
    <w:rsid w:val="00EC163A"/>
    <w:rsid w:val="00EC42CC"/>
    <w:rsid w:val="00EC4F4A"/>
    <w:rsid w:val="00EC6190"/>
    <w:rsid w:val="00EC669D"/>
    <w:rsid w:val="00EC6F62"/>
    <w:rsid w:val="00EE02A7"/>
    <w:rsid w:val="00EE0E9D"/>
    <w:rsid w:val="00EE1F48"/>
    <w:rsid w:val="00EE5280"/>
    <w:rsid w:val="00EF1F42"/>
    <w:rsid w:val="00EF3586"/>
    <w:rsid w:val="00EF6F22"/>
    <w:rsid w:val="00EF7178"/>
    <w:rsid w:val="00F00359"/>
    <w:rsid w:val="00F00844"/>
    <w:rsid w:val="00F00A2F"/>
    <w:rsid w:val="00F00DCC"/>
    <w:rsid w:val="00F047FA"/>
    <w:rsid w:val="00F13786"/>
    <w:rsid w:val="00F15849"/>
    <w:rsid w:val="00F17636"/>
    <w:rsid w:val="00F2264B"/>
    <w:rsid w:val="00F23102"/>
    <w:rsid w:val="00F25816"/>
    <w:rsid w:val="00F26947"/>
    <w:rsid w:val="00F30D17"/>
    <w:rsid w:val="00F43886"/>
    <w:rsid w:val="00F4422F"/>
    <w:rsid w:val="00F44A1A"/>
    <w:rsid w:val="00F44B9A"/>
    <w:rsid w:val="00F526B2"/>
    <w:rsid w:val="00F532B7"/>
    <w:rsid w:val="00F540BB"/>
    <w:rsid w:val="00F547FE"/>
    <w:rsid w:val="00F55F43"/>
    <w:rsid w:val="00F561FD"/>
    <w:rsid w:val="00F56AB9"/>
    <w:rsid w:val="00F57A9D"/>
    <w:rsid w:val="00F57CD0"/>
    <w:rsid w:val="00F65E31"/>
    <w:rsid w:val="00F708D7"/>
    <w:rsid w:val="00F7222D"/>
    <w:rsid w:val="00F8080D"/>
    <w:rsid w:val="00F8218C"/>
    <w:rsid w:val="00F84311"/>
    <w:rsid w:val="00F86BD8"/>
    <w:rsid w:val="00F86EEF"/>
    <w:rsid w:val="00F95CD2"/>
    <w:rsid w:val="00FA0863"/>
    <w:rsid w:val="00FA0A84"/>
    <w:rsid w:val="00FB1ABA"/>
    <w:rsid w:val="00FB314B"/>
    <w:rsid w:val="00FB52F8"/>
    <w:rsid w:val="00FB60AA"/>
    <w:rsid w:val="00FB652C"/>
    <w:rsid w:val="00FB66D2"/>
    <w:rsid w:val="00FB7269"/>
    <w:rsid w:val="00FC3D33"/>
    <w:rsid w:val="00FC3E03"/>
    <w:rsid w:val="00FC4CB2"/>
    <w:rsid w:val="00FC75BC"/>
    <w:rsid w:val="00FD00F8"/>
    <w:rsid w:val="00FD068E"/>
    <w:rsid w:val="00FD175F"/>
    <w:rsid w:val="00FD2D79"/>
    <w:rsid w:val="00FE189D"/>
    <w:rsid w:val="00FE1A54"/>
    <w:rsid w:val="00FE3A02"/>
    <w:rsid w:val="00FE7FCB"/>
    <w:rsid w:val="00FF353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0553F7"/>
  <w15:chartTrackingRefBased/>
  <w15:docId w15:val="{C00B4003-4EFE-4ABB-AC96-A8CC75B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ja-JP"/>
    </w:rPr>
  </w:style>
  <w:style w:type="paragraph" w:styleId="Heading1">
    <w:name w:val="heading 1"/>
    <w:basedOn w:val="Normal"/>
    <w:next w:val="Normal"/>
    <w:link w:val="Heading1Char"/>
    <w:qFormat/>
    <w:rsid w:val="009C6EE4"/>
    <w:pPr>
      <w:numPr>
        <w:numId w:val="1"/>
      </w:numPr>
      <w:tabs>
        <w:tab w:val="left" w:pos="3142"/>
      </w:tabs>
      <w:spacing w:after="120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C7C"/>
    <w:pPr>
      <w:tabs>
        <w:tab w:val="center" w:pos="4536"/>
        <w:tab w:val="right" w:pos="9072"/>
      </w:tabs>
    </w:pPr>
  </w:style>
  <w:style w:type="character" w:styleId="Hyperlink">
    <w:name w:val="Hyperlink"/>
    <w:rsid w:val="006922BA"/>
    <w:rPr>
      <w:color w:val="0000FF"/>
      <w:u w:val="single"/>
    </w:rPr>
  </w:style>
  <w:style w:type="paragraph" w:styleId="FootnoteText">
    <w:name w:val="footnote text"/>
    <w:basedOn w:val="Normal"/>
    <w:semiHidden/>
    <w:rsid w:val="005E0EFA"/>
    <w:rPr>
      <w:sz w:val="20"/>
      <w:szCs w:val="20"/>
    </w:rPr>
  </w:style>
  <w:style w:type="character" w:styleId="FootnoteReference">
    <w:name w:val="footnote reference"/>
    <w:semiHidden/>
    <w:rsid w:val="005E0EFA"/>
    <w:rPr>
      <w:vertAlign w:val="superscript"/>
    </w:rPr>
  </w:style>
  <w:style w:type="character" w:styleId="FollowedHyperlink">
    <w:name w:val="FollowedHyperlink"/>
    <w:rsid w:val="00945CE5"/>
    <w:rPr>
      <w:color w:val="606420"/>
      <w:u w:val="single"/>
    </w:rPr>
  </w:style>
  <w:style w:type="paragraph" w:customStyle="1" w:styleId="REF">
    <w:name w:val="REF"/>
    <w:basedOn w:val="Normal"/>
    <w:rsid w:val="00106ADE"/>
    <w:pPr>
      <w:tabs>
        <w:tab w:val="left" w:pos="7371"/>
      </w:tabs>
      <w:ind w:left="7371"/>
      <w:jc w:val="both"/>
    </w:pPr>
    <w:rPr>
      <w:rFonts w:ascii="Arial" w:eastAsia="Times New Roman" w:hAnsi="Arial"/>
      <w:b/>
      <w:sz w:val="22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EB52FF"/>
    <w:pPr>
      <w:ind w:left="708"/>
    </w:pPr>
  </w:style>
  <w:style w:type="paragraph" w:customStyle="1" w:styleId="Default">
    <w:name w:val="Default"/>
    <w:rsid w:val="00D616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rsid w:val="00031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1A75"/>
    <w:rPr>
      <w:rFonts w:ascii="Segoe UI" w:hAnsi="Segoe UI" w:cs="Segoe UI"/>
      <w:sz w:val="18"/>
      <w:szCs w:val="18"/>
      <w:lang w:val="fr-FR" w:eastAsia="ja-JP"/>
    </w:rPr>
  </w:style>
  <w:style w:type="paragraph" w:styleId="PlainText">
    <w:name w:val="Plain Text"/>
    <w:basedOn w:val="Normal"/>
    <w:link w:val="PlainTextChar"/>
    <w:uiPriority w:val="99"/>
    <w:unhideWhenUsed/>
    <w:rsid w:val="009D23FF"/>
    <w:rPr>
      <w:rFonts w:ascii="Calibri" w:eastAsia="Calibri" w:hAnsi="Calibri"/>
      <w:sz w:val="22"/>
      <w:szCs w:val="22"/>
      <w:lang w:val="nl-BE" w:eastAsia="en-US"/>
    </w:rPr>
  </w:style>
  <w:style w:type="character" w:customStyle="1" w:styleId="PlainTextChar">
    <w:name w:val="Plain Text Char"/>
    <w:link w:val="PlainText"/>
    <w:uiPriority w:val="99"/>
    <w:rsid w:val="009D23FF"/>
    <w:rPr>
      <w:rFonts w:ascii="Calibri" w:eastAsia="Calibri" w:hAnsi="Calibri"/>
      <w:sz w:val="22"/>
      <w:szCs w:val="22"/>
      <w:lang w:eastAsia="en-US"/>
    </w:rPr>
  </w:style>
  <w:style w:type="character" w:customStyle="1" w:styleId="attachment-comment2">
    <w:name w:val="attachment-comment2"/>
    <w:rsid w:val="009D23FF"/>
  </w:style>
  <w:style w:type="character" w:customStyle="1" w:styleId="icon1">
    <w:name w:val="icon1"/>
    <w:rsid w:val="00A65067"/>
    <w:rPr>
      <w:sz w:val="2"/>
      <w:szCs w:val="2"/>
    </w:rPr>
  </w:style>
  <w:style w:type="character" w:styleId="CommentReference">
    <w:name w:val="annotation reference"/>
    <w:rsid w:val="007E2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1BF"/>
    <w:rPr>
      <w:sz w:val="20"/>
      <w:szCs w:val="20"/>
    </w:rPr>
  </w:style>
  <w:style w:type="character" w:customStyle="1" w:styleId="CommentTextChar">
    <w:name w:val="Comment Text Char"/>
    <w:link w:val="CommentText"/>
    <w:rsid w:val="007E21BF"/>
    <w:rPr>
      <w:lang w:val="fr-FR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E21BF"/>
    <w:rPr>
      <w:b/>
      <w:bCs/>
    </w:rPr>
  </w:style>
  <w:style w:type="character" w:customStyle="1" w:styleId="CommentSubjectChar">
    <w:name w:val="Comment Subject Char"/>
    <w:link w:val="CommentSubject"/>
    <w:rsid w:val="007E21BF"/>
    <w:rPr>
      <w:b/>
      <w:bCs/>
      <w:lang w:val="fr-FR" w:eastAsia="ja-JP"/>
    </w:rPr>
  </w:style>
  <w:style w:type="character" w:customStyle="1" w:styleId="Heading1Char">
    <w:name w:val="Heading 1 Char"/>
    <w:link w:val="Heading1"/>
    <w:rsid w:val="009C6EE4"/>
    <w:rPr>
      <w:b/>
      <w:sz w:val="24"/>
      <w:szCs w:val="24"/>
      <w:lang w:val="en-GB" w:eastAsia="ja-JP"/>
    </w:rPr>
  </w:style>
  <w:style w:type="character" w:customStyle="1" w:styleId="SingleTxtGChar">
    <w:name w:val="_ Single Txt_G Char"/>
    <w:link w:val="SingleTxtG"/>
    <w:locked/>
    <w:rsid w:val="00DD1037"/>
  </w:style>
  <w:style w:type="paragraph" w:customStyle="1" w:styleId="SingleTxtG">
    <w:name w:val="_ Single Txt_G"/>
    <w:basedOn w:val="Normal"/>
    <w:link w:val="SingleTxtGChar"/>
    <w:rsid w:val="00DD1037"/>
    <w:pPr>
      <w:spacing w:after="120" w:line="240" w:lineRule="atLeast"/>
      <w:ind w:left="1134" w:right="1134"/>
      <w:jc w:val="both"/>
    </w:pPr>
    <w:rPr>
      <w:sz w:val="20"/>
      <w:szCs w:val="20"/>
      <w:lang w:val="fr-CH" w:eastAsia="fr-CH"/>
    </w:rPr>
  </w:style>
  <w:style w:type="paragraph" w:customStyle="1" w:styleId="bulletpoint">
    <w:name w:val="bullet point"/>
    <w:basedOn w:val="Normal"/>
    <w:link w:val="bulletpointChar"/>
    <w:qFormat/>
    <w:rsid w:val="00F526B2"/>
    <w:pPr>
      <w:numPr>
        <w:numId w:val="17"/>
      </w:numPr>
      <w:ind w:left="360"/>
      <w:jc w:val="both"/>
    </w:pPr>
    <w:rPr>
      <w:color w:val="000000"/>
      <w:sz w:val="22"/>
      <w:szCs w:val="22"/>
      <w:lang w:val="en-GB"/>
    </w:rPr>
  </w:style>
  <w:style w:type="character" w:styleId="Mention">
    <w:name w:val="Mention"/>
    <w:uiPriority w:val="99"/>
    <w:semiHidden/>
    <w:unhideWhenUsed/>
    <w:rsid w:val="007474D9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E1A64"/>
    <w:rPr>
      <w:color w:val="808080"/>
      <w:shd w:val="clear" w:color="auto" w:fill="E6E6E6"/>
    </w:rPr>
  </w:style>
  <w:style w:type="paragraph" w:customStyle="1" w:styleId="bullettII">
    <w:name w:val="bullett II"/>
    <w:basedOn w:val="ListParagraph"/>
    <w:rsid w:val="00985EB4"/>
    <w:pPr>
      <w:ind w:left="1418" w:right="720" w:hanging="284"/>
      <w:jc w:val="both"/>
    </w:pPr>
    <w:rPr>
      <w:color w:val="000000"/>
      <w:lang w:val="en-GB"/>
    </w:rPr>
  </w:style>
  <w:style w:type="paragraph" w:customStyle="1" w:styleId="bulletIIpoint">
    <w:name w:val="bullet II point"/>
    <w:basedOn w:val="Normal"/>
    <w:qFormat/>
    <w:rsid w:val="00F526B2"/>
    <w:pPr>
      <w:numPr>
        <w:ilvl w:val="1"/>
        <w:numId w:val="17"/>
      </w:numPr>
      <w:ind w:left="720"/>
    </w:pPr>
    <w:rPr>
      <w:color w:val="000000"/>
      <w:sz w:val="20"/>
      <w:szCs w:val="20"/>
      <w:lang w:val="en-GB"/>
    </w:rPr>
  </w:style>
  <w:style w:type="character" w:customStyle="1" w:styleId="bulletpointChar">
    <w:name w:val="bullet point Char"/>
    <w:link w:val="bulletpoint"/>
    <w:rsid w:val="00F526B2"/>
    <w:rPr>
      <w:color w:val="000000"/>
      <w:sz w:val="22"/>
      <w:szCs w:val="22"/>
      <w:lang w:eastAsia="ja-JP"/>
    </w:rPr>
  </w:style>
  <w:style w:type="paragraph" w:styleId="Subtitle">
    <w:name w:val="Subtitle"/>
    <w:basedOn w:val="ListParagraph"/>
    <w:next w:val="Normal"/>
    <w:link w:val="SubtitleChar"/>
    <w:qFormat/>
    <w:rsid w:val="00F526B2"/>
    <w:pPr>
      <w:ind w:left="0"/>
      <w:jc w:val="both"/>
    </w:pPr>
    <w:rPr>
      <w:color w:val="000000"/>
      <w:sz w:val="22"/>
      <w:szCs w:val="22"/>
      <w:u w:val="single"/>
      <w:lang w:val="en-GB"/>
    </w:rPr>
  </w:style>
  <w:style w:type="character" w:customStyle="1" w:styleId="SubtitleChar">
    <w:name w:val="Subtitle Char"/>
    <w:link w:val="Subtitle"/>
    <w:rsid w:val="00F526B2"/>
    <w:rPr>
      <w:color w:val="000000"/>
      <w:sz w:val="22"/>
      <w:szCs w:val="22"/>
      <w:u w:val="single"/>
      <w:lang w:eastAsia="ja-JP"/>
    </w:rPr>
  </w:style>
  <w:style w:type="paragraph" w:customStyle="1" w:styleId="bul1">
    <w:name w:val="bul 1"/>
    <w:basedOn w:val="bulletpoint"/>
    <w:autoRedefine/>
    <w:qFormat/>
    <w:rsid w:val="00CD4EF9"/>
  </w:style>
  <w:style w:type="paragraph" w:styleId="Revision">
    <w:name w:val="Revision"/>
    <w:hidden/>
    <w:uiPriority w:val="99"/>
    <w:semiHidden/>
    <w:rsid w:val="00791DAE"/>
    <w:rPr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6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488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901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20222739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10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unece.org/wiki/display/trans/EPPR+22nd+ses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og.webex.com/unog/j.php?MTID=m8ab9899af75cc5c17c865b696aa8178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3412C7D473B4882B265F270954C8A" ma:contentTypeVersion="0" ma:contentTypeDescription="Skapa ett nytt dokument." ma:contentTypeScope="" ma:versionID="e7295ac137925a1b40618bf729d06a68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BE05-3350-4ABA-96AD-50D37281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62E3A8-5041-4F77-8330-44313A556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EA851-2EEA-4AE3-AB7B-A369C759D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4EEF7-A5E8-41D2-A3FC-A9355E8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1937</Words>
  <Characters>10654</Characters>
  <Application>Microsoft Office Word</Application>
  <DocSecurity>0</DocSecurity>
  <Lines>88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eppr-22</vt:lpstr>
      <vt:lpstr>Draft Agenda</vt:lpstr>
      <vt:lpstr>Draft Agenda</vt:lpstr>
    </vt:vector>
  </TitlesOfParts>
  <Company>European Commission</Company>
  <LinksUpToDate>false</LinksUpToDate>
  <CharactersWithSpaces>12566</CharactersWithSpaces>
  <SharedDoc>false</SharedDoc>
  <HLinks>
    <vt:vector size="12" baseType="variant"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https://www2.unece.org/wiki/display/trans/EPPR+22nd+session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https://unog.webex.com/unog/j.php?MTID=m8ab9899af75cc5c17c865b696aa81780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eppr-22</dc:title>
  <dc:subject/>
  <dc:creator>Daniela Leveratto</dc:creator>
  <cp:keywords/>
  <cp:lastModifiedBy>IMMA TD</cp:lastModifiedBy>
  <cp:revision>8</cp:revision>
  <cp:lastPrinted>2015-02-03T08:18:00Z</cp:lastPrinted>
  <dcterms:created xsi:type="dcterms:W3CDTF">2018-02-20T15:51:00Z</dcterms:created>
  <dcterms:modified xsi:type="dcterms:W3CDTF">2018-02-23T13:17:00Z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0x010100C043412C7D473B4882B265F270954C8A</vt:lpwstr>
  </property>
</Properties>
</file>