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1280" w14:textId="77777777" w:rsidR="00B80E8E" w:rsidRPr="00B80E8E" w:rsidRDefault="00B80E8E" w:rsidP="00B80E8E">
      <w:pPr>
        <w:pStyle w:val="HChG"/>
      </w:pPr>
      <w:r w:rsidRPr="00786AA5">
        <w:tab/>
      </w:r>
      <w:bookmarkStart w:id="0" w:name="_Toc384106334"/>
      <w:r w:rsidRPr="00B80E8E">
        <w:t>13.</w:t>
      </w:r>
      <w:r w:rsidRPr="00B80E8E">
        <w:tab/>
      </w:r>
      <w:r w:rsidRPr="00B80E8E">
        <w:tab/>
        <w:t>Transitional provisions</w:t>
      </w:r>
      <w:bookmarkEnd w:id="0"/>
    </w:p>
    <w:p w14:paraId="67637A5C" w14:textId="77777777" w:rsidR="00B80E8E" w:rsidRPr="00B80E8E" w:rsidRDefault="00B80E8E" w:rsidP="00B80E8E">
      <w:pPr>
        <w:pStyle w:val="SingleTxtG"/>
        <w:ind w:left="2268" w:hanging="1134"/>
        <w:rPr>
          <w:strike/>
        </w:rPr>
      </w:pPr>
      <w:r w:rsidRPr="00B80E8E">
        <w:rPr>
          <w:strike/>
        </w:rPr>
        <w:t>13.1.</w:t>
      </w:r>
      <w:r w:rsidRPr="00B80E8E">
        <w:rPr>
          <w:strike/>
        </w:rPr>
        <w:tab/>
        <w:t>As from the official date of entry into force of the 03 series of amendments, no Contracting Party applying this Regulation shall refuse to grant approval under this Regulation as amended by the 03 series of amendments.</w:t>
      </w:r>
    </w:p>
    <w:p w14:paraId="6E5A0EA9" w14:textId="77777777" w:rsidR="00B80E8E" w:rsidRPr="00B80E8E" w:rsidRDefault="00B80E8E" w:rsidP="00B80E8E">
      <w:pPr>
        <w:pStyle w:val="SingleTxtG"/>
        <w:ind w:left="2268" w:hanging="1134"/>
        <w:rPr>
          <w:strike/>
        </w:rPr>
      </w:pPr>
      <w:r w:rsidRPr="00B80E8E">
        <w:rPr>
          <w:strike/>
        </w:rPr>
        <w:t>13.2.</w:t>
      </w:r>
      <w:r w:rsidRPr="00B80E8E">
        <w:rPr>
          <w:strike/>
        </w:rPr>
        <w:tab/>
        <w:t>As from 12 months after the date of entry into force of this Regulation, as amended by the 03 series of amendments, Contracting Parties applying this Regulation shall grant approvals only if the vehicle type, component or separate technical unit to be approved meets the requirements of this Regulation as amended by the 03 series of amendments.</w:t>
      </w:r>
    </w:p>
    <w:p w14:paraId="0FF1512C" w14:textId="77777777" w:rsidR="00B80E8E" w:rsidRPr="00B80E8E" w:rsidRDefault="00B80E8E" w:rsidP="00B80E8E">
      <w:pPr>
        <w:pStyle w:val="SingleTxtG"/>
        <w:ind w:left="2268" w:hanging="1134"/>
        <w:rPr>
          <w:strike/>
          <w:spacing w:val="-2"/>
        </w:rPr>
      </w:pPr>
      <w:r w:rsidRPr="00B80E8E">
        <w:rPr>
          <w:strike/>
          <w:spacing w:val="-2"/>
        </w:rPr>
        <w:t>13.3.</w:t>
      </w:r>
      <w:r w:rsidRPr="00B80E8E">
        <w:rPr>
          <w:strike/>
          <w:spacing w:val="-2"/>
        </w:rPr>
        <w:tab/>
        <w:t>Contracting Parties applying this Regulation shall not refuse to grant extensions of approval to the preceding series of amendments to this Regulation.</w:t>
      </w:r>
    </w:p>
    <w:p w14:paraId="37C3CE7D" w14:textId="77777777" w:rsidR="00B80E8E" w:rsidRPr="00B80E8E" w:rsidRDefault="00B80E8E" w:rsidP="00B80E8E">
      <w:pPr>
        <w:pStyle w:val="SingleTxtG"/>
        <w:ind w:left="2268" w:hanging="1134"/>
        <w:rPr>
          <w:strike/>
        </w:rPr>
      </w:pPr>
      <w:r w:rsidRPr="00B80E8E">
        <w:rPr>
          <w:strike/>
        </w:rPr>
        <w:t>13.4.</w:t>
      </w:r>
      <w:r w:rsidRPr="00B80E8E">
        <w:rPr>
          <w:strike/>
        </w:rPr>
        <w:tab/>
        <w:t>Starting 48 months after the entry into force of the 03 series of amendments to this Regulation, Contracting Parties applying this Regulation may refuse first national registration (first entry into service) of a vehicle, component or separate technical unit which does not meet the requirements of the 03 series of amendments to this Regulation.</w:t>
      </w:r>
    </w:p>
    <w:p w14:paraId="6DD57284" w14:textId="77777777" w:rsidR="00B80E8E" w:rsidRPr="00B80E8E" w:rsidRDefault="00B80E8E" w:rsidP="00B80E8E">
      <w:pPr>
        <w:spacing w:after="120"/>
        <w:ind w:left="2259" w:right="1134" w:hanging="1125"/>
        <w:jc w:val="both"/>
        <w:rPr>
          <w:strike/>
        </w:rPr>
      </w:pPr>
      <w:r w:rsidRPr="00B80E8E">
        <w:rPr>
          <w:strike/>
        </w:rPr>
        <w:t>13.</w:t>
      </w:r>
      <w:r w:rsidRPr="00B80E8E">
        <w:rPr>
          <w:strike/>
          <w:lang w:eastAsia="ja-JP"/>
        </w:rPr>
        <w:t>5</w:t>
      </w:r>
      <w:r w:rsidRPr="00B80E8E">
        <w:rPr>
          <w:strike/>
        </w:rPr>
        <w:t>.</w:t>
      </w:r>
      <w:r w:rsidRPr="00B80E8E">
        <w:rPr>
          <w:strike/>
        </w:rPr>
        <w:tab/>
        <w:t>As from the official date of entry into force of the 0</w:t>
      </w:r>
      <w:r w:rsidRPr="00B80E8E">
        <w:rPr>
          <w:strike/>
          <w:lang w:eastAsia="ja-JP"/>
        </w:rPr>
        <w:t>4</w:t>
      </w:r>
      <w:r w:rsidRPr="00B80E8E">
        <w:rPr>
          <w:strike/>
        </w:rPr>
        <w:t xml:space="preserve"> series of amendments, no Contracting Party applying this Regulation shall refuse to grant type approvals under this Regulation as amended by the</w:t>
      </w:r>
      <w:r w:rsidRPr="00B80E8E">
        <w:rPr>
          <w:strike/>
          <w:lang w:eastAsia="ja-JP"/>
        </w:rPr>
        <w:t xml:space="preserve"> </w:t>
      </w:r>
      <w:r w:rsidRPr="00B80E8E">
        <w:rPr>
          <w:strike/>
        </w:rPr>
        <w:t>0</w:t>
      </w:r>
      <w:r w:rsidRPr="00B80E8E">
        <w:rPr>
          <w:strike/>
          <w:lang w:eastAsia="ja-JP"/>
        </w:rPr>
        <w:t xml:space="preserve">4 </w:t>
      </w:r>
      <w:r w:rsidRPr="00B80E8E">
        <w:rPr>
          <w:strike/>
        </w:rPr>
        <w:t>series of amendments</w:t>
      </w:r>
      <w:r w:rsidRPr="00B80E8E">
        <w:rPr>
          <w:strike/>
          <w:lang w:eastAsia="ja-JP"/>
        </w:rPr>
        <w:t>.</w:t>
      </w:r>
    </w:p>
    <w:p w14:paraId="30971B61" w14:textId="77777777" w:rsidR="00B80E8E" w:rsidRPr="00B80E8E" w:rsidRDefault="00B80E8E" w:rsidP="00B80E8E">
      <w:pPr>
        <w:spacing w:after="120"/>
        <w:ind w:left="2268" w:right="1134" w:hanging="1134"/>
        <w:jc w:val="both"/>
        <w:rPr>
          <w:strike/>
          <w:lang w:eastAsia="ja-JP"/>
        </w:rPr>
      </w:pPr>
      <w:r w:rsidRPr="00B80E8E">
        <w:rPr>
          <w:strike/>
        </w:rPr>
        <w:t>13.</w:t>
      </w:r>
      <w:r w:rsidRPr="00B80E8E">
        <w:rPr>
          <w:strike/>
          <w:lang w:eastAsia="ja-JP"/>
        </w:rPr>
        <w:t>6</w:t>
      </w:r>
      <w:r w:rsidRPr="00B80E8E">
        <w:rPr>
          <w:strike/>
        </w:rPr>
        <w:t>.</w:t>
      </w:r>
      <w:r w:rsidRPr="00B80E8E">
        <w:rPr>
          <w:strike/>
        </w:rPr>
        <w:tab/>
        <w:t>As from</w:t>
      </w:r>
      <w:r w:rsidRPr="00B80E8E">
        <w:rPr>
          <w:strike/>
          <w:lang w:eastAsia="ja-JP"/>
        </w:rPr>
        <w:t xml:space="preserve"> 36</w:t>
      </w:r>
      <w:r w:rsidRPr="00B80E8E">
        <w:rPr>
          <w:strike/>
        </w:rPr>
        <w:t xml:space="preserve"> months after the official date of entry into force of this Regulation, as amended by the</w:t>
      </w:r>
      <w:r w:rsidRPr="00B80E8E">
        <w:rPr>
          <w:strike/>
          <w:lang w:eastAsia="ja-JP"/>
        </w:rPr>
        <w:t xml:space="preserve"> </w:t>
      </w:r>
      <w:r w:rsidRPr="00B80E8E">
        <w:rPr>
          <w:strike/>
        </w:rPr>
        <w:t xml:space="preserve">04 series of amendments, Contracting Parties applying this Regulation shall grant approvals only if </w:t>
      </w:r>
      <w:r w:rsidRPr="00B80E8E">
        <w:rPr>
          <w:strike/>
          <w:lang w:eastAsia="ja-JP"/>
        </w:rPr>
        <w:t xml:space="preserve">the vehicle type, </w:t>
      </w:r>
      <w:r w:rsidRPr="00B80E8E">
        <w:rPr>
          <w:strike/>
        </w:rPr>
        <w:t>component or</w:t>
      </w:r>
      <w:r w:rsidRPr="00B80E8E">
        <w:rPr>
          <w:strike/>
          <w:lang w:eastAsia="ja-JP"/>
        </w:rPr>
        <w:t xml:space="preserve"> </w:t>
      </w:r>
      <w:r w:rsidRPr="00B80E8E">
        <w:rPr>
          <w:strike/>
        </w:rPr>
        <w:t>separate technical unit, to be approved meets the requirements of this Regulation as amended by the</w:t>
      </w:r>
      <w:r w:rsidRPr="00B80E8E">
        <w:rPr>
          <w:strike/>
          <w:lang w:eastAsia="ja-JP"/>
        </w:rPr>
        <w:t xml:space="preserve"> </w:t>
      </w:r>
      <w:r w:rsidRPr="00B80E8E">
        <w:rPr>
          <w:strike/>
        </w:rPr>
        <w:t>04</w:t>
      </w:r>
      <w:r w:rsidRPr="00B80E8E">
        <w:rPr>
          <w:strike/>
          <w:lang w:eastAsia="ja-JP"/>
        </w:rPr>
        <w:t xml:space="preserve"> </w:t>
      </w:r>
      <w:r w:rsidRPr="00B80E8E">
        <w:rPr>
          <w:strike/>
        </w:rPr>
        <w:t>series of amendments.</w:t>
      </w:r>
    </w:p>
    <w:p w14:paraId="30022198" w14:textId="77777777" w:rsidR="00B80E8E" w:rsidRPr="00B80E8E" w:rsidRDefault="00B80E8E" w:rsidP="00B80E8E">
      <w:pPr>
        <w:spacing w:after="120"/>
        <w:ind w:left="2268" w:right="1134" w:hanging="1134"/>
        <w:jc w:val="both"/>
        <w:rPr>
          <w:strike/>
        </w:rPr>
      </w:pPr>
      <w:r w:rsidRPr="00B80E8E">
        <w:rPr>
          <w:strike/>
        </w:rPr>
        <w:t>13.7.</w:t>
      </w:r>
      <w:r w:rsidRPr="00B80E8E">
        <w:rPr>
          <w:strike/>
        </w:rPr>
        <w:tab/>
        <w:t>Contracting Parties applying this Regulation shall continue to grant approvals to those types of vehicles or component or separate technical unit type which comply with the requirements of this Regulation as amended by the preceding series of amendments during the 36 months period which follows the date of entry into force of the 04 series of amendments.</w:t>
      </w:r>
    </w:p>
    <w:p w14:paraId="5CCF9763" w14:textId="77777777" w:rsidR="00B80E8E" w:rsidRPr="00B80E8E" w:rsidRDefault="00B80E8E" w:rsidP="00B80E8E">
      <w:pPr>
        <w:spacing w:after="120"/>
        <w:ind w:left="2268" w:right="1134" w:hanging="1134"/>
        <w:jc w:val="both"/>
        <w:rPr>
          <w:strike/>
        </w:rPr>
      </w:pPr>
      <w:r w:rsidRPr="00B80E8E">
        <w:rPr>
          <w:strike/>
        </w:rPr>
        <w:t>13.8.</w:t>
      </w:r>
      <w:r w:rsidRPr="00B80E8E">
        <w:rPr>
          <w:strike/>
        </w:rPr>
        <w:tab/>
        <w:t>Until 60 months after the date of entry into force of the 04 series of amendments, no Contracting Parties shall refuse national or regional type approval of a vehicle, component or separate technical unit type approved to the preceding series of amendments to this Regulation.</w:t>
      </w:r>
    </w:p>
    <w:p w14:paraId="22EFA2A2" w14:textId="77777777" w:rsidR="00B80E8E" w:rsidRPr="00B80E8E" w:rsidRDefault="00B80E8E" w:rsidP="00B80E8E">
      <w:pPr>
        <w:spacing w:after="120"/>
        <w:ind w:left="2268" w:right="1134" w:hanging="1134"/>
        <w:jc w:val="both"/>
        <w:rPr>
          <w:strike/>
        </w:rPr>
      </w:pPr>
      <w:r w:rsidRPr="00B80E8E">
        <w:rPr>
          <w:strike/>
        </w:rPr>
        <w:t>13.9.</w:t>
      </w:r>
      <w:r w:rsidRPr="00B80E8E">
        <w:rPr>
          <w:strike/>
        </w:rPr>
        <w:tab/>
        <w:t>As from 60 months after the date of entry into force of the 04 series of amendments, Contracting Parties applying this Regulation may refuse national or regional type approval and may refuse first registration of a vehicle type, or first entry into service of component or separate technical unit which does not meet the requirements of the 04 series of amendments to this Regulation.</w:t>
      </w:r>
    </w:p>
    <w:p w14:paraId="5E3EE961" w14:textId="77777777" w:rsidR="00B80E8E" w:rsidRPr="00B80E8E" w:rsidRDefault="00B80E8E" w:rsidP="00B80E8E">
      <w:pPr>
        <w:pStyle w:val="SingleTxtG"/>
        <w:tabs>
          <w:tab w:val="left" w:pos="2300"/>
        </w:tabs>
        <w:ind w:left="2268" w:hanging="1134"/>
        <w:rPr>
          <w:strike/>
        </w:rPr>
      </w:pPr>
      <w:r w:rsidRPr="00B80E8E">
        <w:rPr>
          <w:strike/>
        </w:rPr>
        <w:t>13.10.</w:t>
      </w:r>
      <w:r w:rsidRPr="00B80E8E">
        <w:rPr>
          <w:strike/>
        </w:rPr>
        <w:tab/>
        <w:t>Notwithstanding paragraphs 13.8. and 13.9. above, approvals granted to the preceding series of amendments to the Regulation for vehicle type which are not equipped with a coupling system to charge the REESS, or for component or separate technical unit which doesn’t include a coupling part to charge the REESS, shall remain valid and Contracting Parties applying this Regulation shall continue to accept them.</w:t>
      </w:r>
    </w:p>
    <w:p w14:paraId="2E8C27D9" w14:textId="77777777" w:rsidR="00B80E8E" w:rsidRPr="00B80E8E" w:rsidRDefault="00B80E8E" w:rsidP="00B80E8E">
      <w:pPr>
        <w:pStyle w:val="SingleTxtG"/>
        <w:tabs>
          <w:tab w:val="left" w:pos="2300"/>
        </w:tabs>
        <w:ind w:left="2268" w:hanging="1134"/>
        <w:rPr>
          <w:strike/>
        </w:rPr>
      </w:pPr>
    </w:p>
    <w:p w14:paraId="51E1821A" w14:textId="77777777" w:rsidR="00B80E8E" w:rsidRPr="00B80E8E" w:rsidRDefault="00B80E8E" w:rsidP="00B80E8E">
      <w:pPr>
        <w:pStyle w:val="SingleTxtG"/>
        <w:tabs>
          <w:tab w:val="left" w:pos="2300"/>
        </w:tabs>
        <w:ind w:left="2268" w:hanging="1134"/>
        <w:rPr>
          <w:strike/>
        </w:rPr>
      </w:pPr>
    </w:p>
    <w:p w14:paraId="53490A38" w14:textId="77777777" w:rsidR="00B80E8E" w:rsidRPr="00B80E8E" w:rsidRDefault="00B80E8E" w:rsidP="00B80E8E">
      <w:pPr>
        <w:pStyle w:val="SingleTxtG"/>
        <w:tabs>
          <w:tab w:val="left" w:pos="2300"/>
        </w:tabs>
        <w:ind w:left="2268" w:hanging="1134"/>
        <w:rPr>
          <w:strike/>
        </w:rPr>
      </w:pPr>
    </w:p>
    <w:p w14:paraId="3419D9F7" w14:textId="77777777" w:rsidR="00B80E8E" w:rsidRPr="00B80E8E" w:rsidRDefault="00B80E8E" w:rsidP="00B80E8E">
      <w:pPr>
        <w:pStyle w:val="SingleTxtG"/>
        <w:tabs>
          <w:tab w:val="left" w:pos="2300"/>
        </w:tabs>
        <w:ind w:left="2268" w:hanging="1134"/>
        <w:rPr>
          <w:strike/>
        </w:rPr>
      </w:pPr>
    </w:p>
    <w:p w14:paraId="5ECBA77B" w14:textId="77777777" w:rsidR="00B80E8E" w:rsidRPr="00B80E8E" w:rsidRDefault="00B80E8E" w:rsidP="00B80E8E">
      <w:pPr>
        <w:pStyle w:val="SingleTxtG"/>
        <w:tabs>
          <w:tab w:val="left" w:pos="2300"/>
        </w:tabs>
        <w:ind w:left="2268" w:hanging="1134"/>
        <w:rPr>
          <w:strike/>
        </w:rPr>
      </w:pPr>
    </w:p>
    <w:p w14:paraId="45E4EFDA" w14:textId="77777777" w:rsidR="00B80E8E" w:rsidRPr="00B80E8E" w:rsidRDefault="00B80E8E" w:rsidP="00B80E8E">
      <w:pPr>
        <w:pStyle w:val="SingleTxtG"/>
        <w:tabs>
          <w:tab w:val="left" w:pos="2300"/>
        </w:tabs>
        <w:ind w:left="2268" w:hanging="1134"/>
        <w:rPr>
          <w:strike/>
        </w:rPr>
      </w:pPr>
    </w:p>
    <w:p w14:paraId="7AD253AF" w14:textId="77777777" w:rsidR="00B80E8E" w:rsidRPr="00B80E8E" w:rsidRDefault="00B80E8E" w:rsidP="00B80E8E">
      <w:pPr>
        <w:pStyle w:val="SingleTxtG"/>
        <w:tabs>
          <w:tab w:val="left" w:pos="2300"/>
        </w:tabs>
        <w:ind w:left="2268" w:hanging="1134"/>
        <w:rPr>
          <w:strike/>
        </w:rPr>
      </w:pPr>
    </w:p>
    <w:p w14:paraId="71E16A71" w14:textId="77777777" w:rsidR="00B80E8E" w:rsidRPr="00B80E8E" w:rsidRDefault="00B80E8E" w:rsidP="00B80E8E">
      <w:pPr>
        <w:pStyle w:val="SingleTxtG"/>
        <w:tabs>
          <w:tab w:val="left" w:pos="2300"/>
        </w:tabs>
        <w:ind w:left="2268" w:hanging="1134"/>
        <w:rPr>
          <w:strike/>
        </w:rPr>
      </w:pPr>
    </w:p>
    <w:p w14:paraId="6FBD5347" w14:textId="77777777" w:rsidR="00B80E8E" w:rsidRPr="00B80E8E" w:rsidRDefault="00B80E8E" w:rsidP="00B80E8E">
      <w:pPr>
        <w:pStyle w:val="SingleTxtG"/>
        <w:tabs>
          <w:tab w:val="left" w:pos="2300"/>
        </w:tabs>
        <w:ind w:left="2268" w:hanging="1134"/>
      </w:pPr>
      <w:r w:rsidRPr="00B80E8E">
        <w:t>13.1</w:t>
      </w:r>
      <w:r w:rsidRPr="00B80E8E">
        <w:tab/>
      </w:r>
      <w:r w:rsidRPr="00B80E8E">
        <w:rPr>
          <w:b/>
        </w:rPr>
        <w:t>Transitional Provisions Applicable to 05 Series of Amendments</w:t>
      </w:r>
    </w:p>
    <w:p w14:paraId="4D30D017" w14:textId="77777777" w:rsidR="00B80E8E" w:rsidRPr="00ED15ED" w:rsidRDefault="00B80E8E" w:rsidP="00B80E8E">
      <w:pPr>
        <w:pStyle w:val="SingleTxtG"/>
        <w:tabs>
          <w:tab w:val="left" w:pos="2300"/>
        </w:tabs>
        <w:ind w:left="2268" w:hanging="1134"/>
        <w:rPr>
          <w:b/>
          <w:color w:val="FF0000"/>
          <w:highlight w:val="green"/>
        </w:rPr>
      </w:pPr>
      <w:r w:rsidRPr="00ED15ED">
        <w:rPr>
          <w:highlight w:val="green"/>
        </w:rPr>
        <w:t>13.1.1.</w:t>
      </w:r>
      <w:r w:rsidRPr="00ED15ED">
        <w:rPr>
          <w:b/>
          <w:color w:val="FF0000"/>
          <w:highlight w:val="green"/>
        </w:rPr>
        <w:tab/>
      </w:r>
      <w:r w:rsidRPr="00ED15ED">
        <w:rPr>
          <w:highlight w:val="green"/>
        </w:rPr>
        <w:t>As from 09 October 2014, no Contracting Party applying this UN Regulation shall refuse to grant or refuse to accept UN type-approvals under this UN Regulation as amended by the 05 series of amendments.</w:t>
      </w:r>
    </w:p>
    <w:p w14:paraId="64ABE196" w14:textId="49AD4951" w:rsidR="00B80E8E" w:rsidRDefault="00B80E8E" w:rsidP="00B80E8E">
      <w:pPr>
        <w:spacing w:after="120"/>
        <w:ind w:left="2268" w:right="1134" w:hanging="1134"/>
        <w:jc w:val="both"/>
      </w:pPr>
      <w:r w:rsidRPr="00ED15ED">
        <w:rPr>
          <w:highlight w:val="green"/>
        </w:rPr>
        <w:t>13.1.2.</w:t>
      </w:r>
      <w:r w:rsidRPr="00ED15ED">
        <w:rPr>
          <w:b/>
          <w:color w:val="FF0000"/>
          <w:highlight w:val="green"/>
        </w:rPr>
        <w:tab/>
      </w:r>
      <w:r w:rsidRPr="00ED15ED">
        <w:rPr>
          <w:highlight w:val="green"/>
        </w:rPr>
        <w:t>As from 09 October 2017, Contracting Parties applying this UN Regulation shall grant type approvals only if a vehicle, component or separate unit to be approved meets the requirements of this UN Regulation as amended by the 05 series of amendments.</w:t>
      </w:r>
    </w:p>
    <w:p w14:paraId="46C5A7E1" w14:textId="20179FA7" w:rsidR="00191466" w:rsidRDefault="00B80E8E" w:rsidP="00191466">
      <w:pPr>
        <w:spacing w:after="120"/>
        <w:ind w:left="2268" w:right="1134" w:hanging="1134"/>
        <w:jc w:val="both"/>
      </w:pPr>
      <w:r w:rsidRPr="00ED15ED">
        <w:rPr>
          <w:highlight w:val="yellow"/>
        </w:rPr>
        <w:t>13.1.3.</w:t>
      </w:r>
      <w:r w:rsidRPr="00ED15ED">
        <w:rPr>
          <w:b/>
          <w:color w:val="FF0000"/>
          <w:highlight w:val="yellow"/>
        </w:rPr>
        <w:tab/>
      </w:r>
      <w:r w:rsidRPr="00ED15ED">
        <w:rPr>
          <w:highlight w:val="yellow"/>
        </w:rPr>
        <w:t>As from [09 October 2017], Contracting Parties applying this UN Regulation, shall not be obliged to accept UN type-approvals granted according to the series preceding 05 series of amendments, first issued</w:t>
      </w:r>
      <w:r w:rsidR="00F66A64">
        <w:rPr>
          <w:highlight w:val="yellow"/>
        </w:rPr>
        <w:t xml:space="preserve"> </w:t>
      </w:r>
      <w:r w:rsidR="00F66A64" w:rsidRPr="00F66A64">
        <w:rPr>
          <w:highlight w:val="yellow"/>
        </w:rPr>
        <w:t>after [09 October 2017].</w:t>
      </w:r>
      <w:r w:rsidRPr="00F66A64">
        <w:rPr>
          <w:highlight w:val="yellow"/>
        </w:rPr>
        <w:t xml:space="preserve"> </w:t>
      </w:r>
    </w:p>
    <w:p w14:paraId="404402A0" w14:textId="1AD1444E" w:rsidR="000B61F3" w:rsidRDefault="00B80E8E" w:rsidP="00B80E8E">
      <w:pPr>
        <w:spacing w:after="120"/>
        <w:ind w:left="2268" w:right="1134" w:hanging="1134"/>
        <w:jc w:val="both"/>
        <w:rPr>
          <w:highlight w:val="green"/>
        </w:rPr>
      </w:pPr>
      <w:r w:rsidRPr="000B61F3">
        <w:rPr>
          <w:highlight w:val="green"/>
        </w:rPr>
        <w:t>13.1.4.</w:t>
      </w:r>
      <w:r w:rsidRPr="000B61F3">
        <w:rPr>
          <w:b/>
          <w:iCs/>
          <w:color w:val="FF0000"/>
          <w:highlight w:val="green"/>
          <w:lang w:eastAsia="ja-JP"/>
        </w:rPr>
        <w:tab/>
      </w:r>
      <w:r w:rsidRPr="000B61F3">
        <w:rPr>
          <w:highlight w:val="green"/>
        </w:rPr>
        <w:t>Contracting Parties applying this UN Regulation shall continue to accept UN type-approvals granted according to the series preceding 05  series of amendments to this UN Regulation, first issued before [09 October 2017]</w:t>
      </w:r>
      <w:r w:rsidR="000B61F3" w:rsidRPr="000B61F3">
        <w:rPr>
          <w:highlight w:val="green"/>
        </w:rPr>
        <w:t xml:space="preserve">  </w:t>
      </w:r>
    </w:p>
    <w:p w14:paraId="543C272D" w14:textId="3F3A724B" w:rsidR="00B80E8E" w:rsidRDefault="00B80E8E" w:rsidP="00B80E8E">
      <w:pPr>
        <w:spacing w:after="120"/>
        <w:ind w:left="2268" w:right="1134" w:hanging="1134"/>
        <w:jc w:val="both"/>
      </w:pPr>
      <w:r w:rsidRPr="000B61F3">
        <w:rPr>
          <w:highlight w:val="green"/>
        </w:rPr>
        <w:t>13.1.5.</w:t>
      </w:r>
      <w:r w:rsidRPr="000B61F3">
        <w:rPr>
          <w:highlight w:val="green"/>
        </w:rPr>
        <w:tab/>
        <w:t xml:space="preserve">Contracting Parties applying this UN Regulation shall not refuse to grant extensions of UN type-approvals, the latter first issued before [09 October </w:t>
      </w:r>
      <w:r w:rsidR="000B61F3" w:rsidRPr="000B61F3">
        <w:rPr>
          <w:highlight w:val="green"/>
        </w:rPr>
        <w:t>2017</w:t>
      </w:r>
      <w:r w:rsidRPr="000B61F3">
        <w:rPr>
          <w:highlight w:val="green"/>
        </w:rPr>
        <w:t>], for existing types which have been granted according to any series preceding 05 series of amendments to this UN Regulation.</w:t>
      </w:r>
    </w:p>
    <w:p w14:paraId="7EEA588E" w14:textId="383C59FE" w:rsidR="00B80E8E" w:rsidRDefault="00B80E8E" w:rsidP="00B80E8E">
      <w:pPr>
        <w:spacing w:after="120"/>
        <w:ind w:left="2268" w:right="1134" w:hanging="1134"/>
        <w:jc w:val="both"/>
      </w:pPr>
    </w:p>
    <w:p w14:paraId="7E5528A1" w14:textId="2404B402" w:rsidR="00F66A64" w:rsidRDefault="00F66A64" w:rsidP="00B80E8E">
      <w:pPr>
        <w:spacing w:after="120"/>
        <w:ind w:left="2268" w:right="1134" w:hanging="1134"/>
        <w:jc w:val="both"/>
      </w:pPr>
      <w:bookmarkStart w:id="1" w:name="_GoBack"/>
      <w:bookmarkEnd w:id="1"/>
    </w:p>
    <w:p w14:paraId="637A6C98" w14:textId="6AA4E213" w:rsidR="00F66A64" w:rsidRDefault="00F66A64" w:rsidP="00B80E8E">
      <w:pPr>
        <w:spacing w:after="120"/>
        <w:ind w:left="2268" w:right="1134" w:hanging="1134"/>
        <w:jc w:val="both"/>
      </w:pPr>
    </w:p>
    <w:p w14:paraId="5281F175" w14:textId="5E18E753" w:rsidR="00F66A64" w:rsidRDefault="00F66A64" w:rsidP="00B80E8E">
      <w:pPr>
        <w:spacing w:after="120"/>
        <w:ind w:left="2268" w:right="1134" w:hanging="1134"/>
        <w:jc w:val="both"/>
      </w:pPr>
    </w:p>
    <w:p w14:paraId="7C6F427A" w14:textId="53562EAA" w:rsidR="00F66A64" w:rsidRDefault="00F66A64" w:rsidP="00B80E8E">
      <w:pPr>
        <w:spacing w:after="120"/>
        <w:ind w:left="2268" w:right="1134" w:hanging="1134"/>
        <w:jc w:val="both"/>
      </w:pPr>
    </w:p>
    <w:p w14:paraId="2C4922C6" w14:textId="0CC7D8CE" w:rsidR="00F66A64" w:rsidRDefault="00F66A64" w:rsidP="00B80E8E">
      <w:pPr>
        <w:spacing w:after="120"/>
        <w:ind w:left="2268" w:right="1134" w:hanging="1134"/>
        <w:jc w:val="both"/>
      </w:pPr>
    </w:p>
    <w:p w14:paraId="69D50643" w14:textId="2C5E37B8" w:rsidR="00F66A64" w:rsidRDefault="00F66A64" w:rsidP="00B80E8E">
      <w:pPr>
        <w:spacing w:after="120"/>
        <w:ind w:left="2268" w:right="1134" w:hanging="1134"/>
        <w:jc w:val="both"/>
      </w:pPr>
    </w:p>
    <w:p w14:paraId="358C5F97" w14:textId="653C0436" w:rsidR="00F66A64" w:rsidRDefault="00F66A64" w:rsidP="00B80E8E">
      <w:pPr>
        <w:spacing w:after="120"/>
        <w:ind w:left="2268" w:right="1134" w:hanging="1134"/>
        <w:jc w:val="both"/>
      </w:pPr>
    </w:p>
    <w:p w14:paraId="4A7A7C16" w14:textId="57F7241E" w:rsidR="00F66A64" w:rsidRDefault="00F66A64" w:rsidP="00B80E8E">
      <w:pPr>
        <w:spacing w:after="120"/>
        <w:ind w:left="2268" w:right="1134" w:hanging="1134"/>
        <w:jc w:val="both"/>
      </w:pPr>
    </w:p>
    <w:p w14:paraId="3F3181B8" w14:textId="694A3C1E" w:rsidR="00F66A64" w:rsidRDefault="00F66A64" w:rsidP="00B80E8E">
      <w:pPr>
        <w:spacing w:after="120"/>
        <w:ind w:left="2268" w:right="1134" w:hanging="1134"/>
        <w:jc w:val="both"/>
      </w:pPr>
    </w:p>
    <w:p w14:paraId="5FF147A7" w14:textId="4656BC11" w:rsidR="00F66A64" w:rsidRDefault="00F66A64" w:rsidP="00B80E8E">
      <w:pPr>
        <w:spacing w:after="120"/>
        <w:ind w:left="2268" w:right="1134" w:hanging="1134"/>
        <w:jc w:val="both"/>
      </w:pPr>
    </w:p>
    <w:p w14:paraId="0879AF52" w14:textId="3F4799C8" w:rsidR="00F66A64" w:rsidRDefault="00F66A64" w:rsidP="00B80E8E">
      <w:pPr>
        <w:spacing w:after="120"/>
        <w:ind w:left="2268" w:right="1134" w:hanging="1134"/>
        <w:jc w:val="both"/>
      </w:pPr>
    </w:p>
    <w:p w14:paraId="38E361F4" w14:textId="06318E62" w:rsidR="00F66A64" w:rsidRDefault="00F66A64" w:rsidP="00B80E8E">
      <w:pPr>
        <w:spacing w:after="120"/>
        <w:ind w:left="2268" w:right="1134" w:hanging="1134"/>
        <w:jc w:val="both"/>
      </w:pPr>
    </w:p>
    <w:p w14:paraId="362FF6AE" w14:textId="69174A13" w:rsidR="00F66A64" w:rsidRDefault="00F66A64" w:rsidP="00B80E8E">
      <w:pPr>
        <w:spacing w:after="120"/>
        <w:ind w:left="2268" w:right="1134" w:hanging="1134"/>
        <w:jc w:val="both"/>
      </w:pPr>
    </w:p>
    <w:p w14:paraId="3D81A514" w14:textId="31A6B281" w:rsidR="00F66A64" w:rsidRDefault="00F66A64" w:rsidP="00B80E8E">
      <w:pPr>
        <w:spacing w:after="120"/>
        <w:ind w:left="2268" w:right="1134" w:hanging="1134"/>
        <w:jc w:val="both"/>
      </w:pPr>
    </w:p>
    <w:p w14:paraId="631AC837" w14:textId="157FDF84" w:rsidR="00F66A64" w:rsidRDefault="00F66A64" w:rsidP="00B80E8E">
      <w:pPr>
        <w:spacing w:after="120"/>
        <w:ind w:left="2268" w:right="1134" w:hanging="1134"/>
        <w:jc w:val="both"/>
      </w:pPr>
    </w:p>
    <w:p w14:paraId="65AE9641" w14:textId="77777777" w:rsidR="00F66A64" w:rsidRPr="00B80E8E" w:rsidRDefault="00F66A64" w:rsidP="00B80E8E">
      <w:pPr>
        <w:spacing w:after="120"/>
        <w:ind w:left="2268" w:right="1134" w:hanging="1134"/>
        <w:jc w:val="both"/>
      </w:pPr>
    </w:p>
    <w:p w14:paraId="7F54343F" w14:textId="77777777" w:rsidR="00B80E8E" w:rsidRPr="00B80E8E" w:rsidRDefault="00B80E8E" w:rsidP="00B80E8E">
      <w:pPr>
        <w:pStyle w:val="SingleTxtG"/>
        <w:tabs>
          <w:tab w:val="left" w:pos="2300"/>
        </w:tabs>
        <w:ind w:left="2268" w:hanging="1134"/>
      </w:pPr>
      <w:r w:rsidRPr="00B80E8E">
        <w:t>13.2</w:t>
      </w:r>
      <w:r w:rsidRPr="00B80E8E">
        <w:tab/>
      </w:r>
      <w:r w:rsidRPr="00B80E8E">
        <w:rPr>
          <w:b/>
        </w:rPr>
        <w:t>Transitional Provisions Applicable to 06 Series of Amendments</w:t>
      </w:r>
    </w:p>
    <w:p w14:paraId="5C654E0B" w14:textId="77777777" w:rsidR="00B80E8E" w:rsidRPr="00B80E8E" w:rsidRDefault="00B80E8E" w:rsidP="00B80E8E">
      <w:pPr>
        <w:pStyle w:val="SingleTxtG"/>
        <w:tabs>
          <w:tab w:val="left" w:pos="2300"/>
        </w:tabs>
        <w:ind w:left="2268" w:hanging="1134"/>
      </w:pPr>
      <w:r w:rsidRPr="000B61F3">
        <w:rPr>
          <w:highlight w:val="green"/>
        </w:rPr>
        <w:t>13.2.1.</w:t>
      </w:r>
      <w:r w:rsidRPr="000B61F3">
        <w:rPr>
          <w:highlight w:val="green"/>
        </w:rPr>
        <w:tab/>
        <w:t>As from the official date of entry into force of the 06 series of amendments, no Contracting Party applying this UN Regulation shall refuse to grant or refuse to accept UN type-approvals under this UN Regulation as amended by the 06 series of amendments.</w:t>
      </w:r>
    </w:p>
    <w:p w14:paraId="356FF143" w14:textId="77777777" w:rsidR="00B80E8E" w:rsidRPr="0036045D" w:rsidRDefault="00B80E8E" w:rsidP="00B80E8E">
      <w:pPr>
        <w:spacing w:after="120"/>
        <w:ind w:left="2268" w:right="1134" w:hanging="1134"/>
        <w:jc w:val="both"/>
        <w:rPr>
          <w:strike/>
        </w:rPr>
      </w:pPr>
      <w:r w:rsidRPr="00191466">
        <w:rPr>
          <w:highlight w:val="green"/>
        </w:rPr>
        <w:t>13.2.2.</w:t>
      </w:r>
      <w:r w:rsidRPr="00191466">
        <w:rPr>
          <w:highlight w:val="green"/>
        </w:rPr>
        <w:tab/>
        <w:t>As from [01 September 2022], Contracting Parties applying this UN Regulation shall grant type approvals only if a vehicle, component or separate unit to be approved meets the requirements of this UN Regulation as amended by the 06 series of amendments.</w:t>
      </w:r>
    </w:p>
    <w:p w14:paraId="29DC662A" w14:textId="59F49466" w:rsidR="00395C4F" w:rsidRPr="00F66A64" w:rsidRDefault="00B80E8E" w:rsidP="00B80E8E">
      <w:pPr>
        <w:spacing w:after="120"/>
        <w:ind w:left="2268" w:right="1134" w:hanging="1134"/>
        <w:jc w:val="both"/>
      </w:pPr>
      <w:r w:rsidRPr="00F66A64">
        <w:rPr>
          <w:highlight w:val="yellow"/>
        </w:rPr>
        <w:t>13.2.3.</w:t>
      </w:r>
      <w:r w:rsidRPr="00F66A64">
        <w:rPr>
          <w:highlight w:val="yellow"/>
        </w:rPr>
        <w:tab/>
        <w:t>As from [01 September 2022], Contracting Parties applying this UN Regulation shall not be obliged to accept UN type-approvals granted according to the series preceding 06 series of amendments, first issued after [01 September 2022].</w:t>
      </w:r>
    </w:p>
    <w:p w14:paraId="3CD7D3E1" w14:textId="5E748D22" w:rsidR="00B80E8E" w:rsidRPr="00F55A34" w:rsidRDefault="00B80E8E" w:rsidP="00B80E8E">
      <w:pPr>
        <w:spacing w:after="120"/>
        <w:ind w:left="2268" w:right="1134" w:hanging="1134"/>
        <w:jc w:val="both"/>
        <w:rPr>
          <w:highlight w:val="green"/>
        </w:rPr>
      </w:pPr>
      <w:r w:rsidRPr="00F55A34">
        <w:rPr>
          <w:highlight w:val="green"/>
        </w:rPr>
        <w:t>13.2.4.</w:t>
      </w:r>
      <w:r w:rsidRPr="00F55A34">
        <w:rPr>
          <w:highlight w:val="green"/>
        </w:rPr>
        <w:tab/>
        <w:t>Contracting Parties applying this UN Regulation shall continue to accept UN type-approvals granted according to the series preceding 06 series of amendments to this UN Regulation, first issued before [01 September 2022]</w:t>
      </w:r>
    </w:p>
    <w:p w14:paraId="3EE842FE" w14:textId="7196B71E" w:rsidR="00B80E8E" w:rsidRDefault="00B80E8E" w:rsidP="00B80E8E">
      <w:pPr>
        <w:spacing w:after="120"/>
        <w:ind w:left="2268" w:right="1134" w:hanging="1134"/>
        <w:jc w:val="both"/>
      </w:pPr>
      <w:r w:rsidRPr="00F55A34">
        <w:rPr>
          <w:highlight w:val="green"/>
        </w:rPr>
        <w:t>13.2.5.</w:t>
      </w:r>
      <w:r w:rsidRPr="00F55A34">
        <w:rPr>
          <w:highlight w:val="green"/>
        </w:rPr>
        <w:tab/>
        <w:t>Contracting Parties applying this UN Regulation shall not refuse to grant extensions of UN type-approvals, the latter first issued before [01 September 2022], for existing types which have been granted according to any series preceding 06 series of amendments to this UN Regulation.</w:t>
      </w:r>
    </w:p>
    <w:p w14:paraId="2DCE6285" w14:textId="77777777" w:rsidR="0036045D" w:rsidRDefault="0036045D" w:rsidP="00C662BD">
      <w:pPr>
        <w:spacing w:after="120"/>
        <w:ind w:left="2268" w:right="1134" w:hanging="1134"/>
        <w:jc w:val="both"/>
        <w:rPr>
          <w:b/>
          <w:highlight w:val="cyan"/>
        </w:rPr>
      </w:pPr>
    </w:p>
    <w:p w14:paraId="08E83B9D" w14:textId="77777777" w:rsidR="00BA7C1D" w:rsidRDefault="00BA7C1D"/>
    <w:sectPr w:rsidR="00BA7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09"/>
    <w:rsid w:val="000B61F3"/>
    <w:rsid w:val="00184783"/>
    <w:rsid w:val="00191466"/>
    <w:rsid w:val="002C77D9"/>
    <w:rsid w:val="0036045D"/>
    <w:rsid w:val="0036337A"/>
    <w:rsid w:val="00395C4F"/>
    <w:rsid w:val="004D7B09"/>
    <w:rsid w:val="0074214B"/>
    <w:rsid w:val="00750B1C"/>
    <w:rsid w:val="00950AB6"/>
    <w:rsid w:val="00B80E8E"/>
    <w:rsid w:val="00BA7C1D"/>
    <w:rsid w:val="00C662BD"/>
    <w:rsid w:val="00E113A7"/>
    <w:rsid w:val="00E23B2F"/>
    <w:rsid w:val="00ED15ED"/>
    <w:rsid w:val="00F55A34"/>
    <w:rsid w:val="00F66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CBF"/>
  <w15:chartTrackingRefBased/>
  <w15:docId w15:val="{ED6D7940-A309-4BAF-BE43-72EB7DBD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09"/>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7B09"/>
    <w:pPr>
      <w:spacing w:after="120"/>
      <w:ind w:left="1134" w:right="1134"/>
      <w:jc w:val="both"/>
    </w:pPr>
  </w:style>
  <w:style w:type="paragraph" w:customStyle="1" w:styleId="HChG">
    <w:name w:val="_ H _Ch_G"/>
    <w:basedOn w:val="Normal"/>
    <w:next w:val="Normal"/>
    <w:link w:val="HChGChar"/>
    <w:rsid w:val="004D7B09"/>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4D7B09"/>
    <w:rPr>
      <w:rFonts w:ascii="Times New Roman" w:eastAsia="Times New Roman" w:hAnsi="Times New Roman" w:cs="Times New Roman"/>
      <w:sz w:val="20"/>
      <w:szCs w:val="20"/>
      <w:lang w:val="en-GB" w:eastAsia="en-US"/>
    </w:rPr>
  </w:style>
  <w:style w:type="character" w:customStyle="1" w:styleId="HChGChar">
    <w:name w:val="_ H _Ch_G Char"/>
    <w:link w:val="HChG"/>
    <w:rsid w:val="004D7B09"/>
    <w:rPr>
      <w:rFonts w:ascii="Times New Roman" w:eastAsia="Times New Roman" w:hAnsi="Times New Roman" w:cs="Times New Roman"/>
      <w:b/>
      <w:sz w:val="28"/>
      <w:szCs w:val="20"/>
      <w:lang w:val="en-GB" w:eastAsia="en-US"/>
    </w:rPr>
  </w:style>
  <w:style w:type="character" w:styleId="Marquedecommentaire">
    <w:name w:val="annotation reference"/>
    <w:semiHidden/>
    <w:rsid w:val="004D7B09"/>
    <w:rPr>
      <w:sz w:val="16"/>
      <w:szCs w:val="16"/>
    </w:rPr>
  </w:style>
  <w:style w:type="paragraph" w:styleId="Commentaire">
    <w:name w:val="annotation text"/>
    <w:basedOn w:val="Normal"/>
    <w:link w:val="CommentaireCar"/>
    <w:semiHidden/>
    <w:rsid w:val="004D7B09"/>
  </w:style>
  <w:style w:type="character" w:customStyle="1" w:styleId="CommentaireCar">
    <w:name w:val="Commentaire Car"/>
    <w:basedOn w:val="Policepardfaut"/>
    <w:link w:val="Commentaire"/>
    <w:semiHidden/>
    <w:rsid w:val="004D7B09"/>
    <w:rPr>
      <w:rFonts w:ascii="Times New Roman" w:eastAsia="Times New Roman" w:hAnsi="Times New Roman" w:cs="Times New Roman"/>
      <w:sz w:val="20"/>
      <w:szCs w:val="20"/>
      <w:lang w:val="en-GB" w:eastAsia="en-US"/>
    </w:rPr>
  </w:style>
  <w:style w:type="paragraph" w:styleId="Textedebulles">
    <w:name w:val="Balloon Text"/>
    <w:basedOn w:val="Normal"/>
    <w:link w:val="TextedebullesCar"/>
    <w:uiPriority w:val="99"/>
    <w:semiHidden/>
    <w:unhideWhenUsed/>
    <w:rsid w:val="004D7B0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B09"/>
    <w:rPr>
      <w:rFonts w:ascii="Segoe UI" w:eastAsia="Times New Roman" w:hAnsi="Segoe UI" w:cs="Segoe UI"/>
      <w:sz w:val="18"/>
      <w:szCs w:val="18"/>
      <w:lang w:val="en-GB" w:eastAsia="en-US"/>
    </w:rPr>
  </w:style>
  <w:style w:type="paragraph" w:styleId="NormalWeb">
    <w:name w:val="Normal (Web)"/>
    <w:basedOn w:val="Normal"/>
    <w:uiPriority w:val="99"/>
    <w:semiHidden/>
    <w:unhideWhenUsed/>
    <w:rsid w:val="00395C4F"/>
    <w:pPr>
      <w:suppressAutoHyphens w:val="0"/>
      <w:spacing w:before="100" w:beforeAutospacing="1" w:after="100" w:afterAutospacing="1" w:line="240" w:lineRule="auto"/>
    </w:pPr>
    <w:rPr>
      <w:sz w:val="24"/>
      <w:szCs w:val="24"/>
      <w:lang w:val="en-US"/>
    </w:rPr>
  </w:style>
  <w:style w:type="character" w:styleId="Lienhypertexte">
    <w:name w:val="Hyperlink"/>
    <w:basedOn w:val="Policepardfaut"/>
    <w:uiPriority w:val="99"/>
    <w:semiHidden/>
    <w:unhideWhenUsed/>
    <w:rsid w:val="00395C4F"/>
    <w:rPr>
      <w:color w:val="0000FF"/>
      <w:u w:val="single"/>
    </w:rPr>
  </w:style>
  <w:style w:type="paragraph" w:styleId="Objetducommentaire">
    <w:name w:val="annotation subject"/>
    <w:basedOn w:val="Commentaire"/>
    <w:next w:val="Commentaire"/>
    <w:link w:val="ObjetducommentaireCar"/>
    <w:uiPriority w:val="99"/>
    <w:semiHidden/>
    <w:unhideWhenUsed/>
    <w:rsid w:val="00750B1C"/>
    <w:pPr>
      <w:spacing w:line="240" w:lineRule="auto"/>
    </w:pPr>
    <w:rPr>
      <w:b/>
      <w:bCs/>
    </w:rPr>
  </w:style>
  <w:style w:type="character" w:customStyle="1" w:styleId="ObjetducommentaireCar">
    <w:name w:val="Objet du commentaire Car"/>
    <w:basedOn w:val="CommentaireCar"/>
    <w:link w:val="Objetducommentaire"/>
    <w:uiPriority w:val="99"/>
    <w:semiHidden/>
    <w:rsid w:val="00750B1C"/>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251">
      <w:bodyDiv w:val="1"/>
      <w:marLeft w:val="0"/>
      <w:marRight w:val="0"/>
      <w:marTop w:val="0"/>
      <w:marBottom w:val="0"/>
      <w:divBdr>
        <w:top w:val="none" w:sz="0" w:space="0" w:color="auto"/>
        <w:left w:val="none" w:sz="0" w:space="0" w:color="auto"/>
        <w:bottom w:val="none" w:sz="0" w:space="0" w:color="auto"/>
        <w:right w:val="none" w:sz="0" w:space="0" w:color="auto"/>
      </w:divBdr>
    </w:div>
    <w:div w:id="755591612">
      <w:bodyDiv w:val="1"/>
      <w:marLeft w:val="0"/>
      <w:marRight w:val="0"/>
      <w:marTop w:val="0"/>
      <w:marBottom w:val="0"/>
      <w:divBdr>
        <w:top w:val="none" w:sz="0" w:space="0" w:color="auto"/>
        <w:left w:val="none" w:sz="0" w:space="0" w:color="auto"/>
        <w:bottom w:val="none" w:sz="0" w:space="0" w:color="auto"/>
        <w:right w:val="none" w:sz="0" w:space="0" w:color="auto"/>
      </w:divBdr>
    </w:div>
    <w:div w:id="1628195490">
      <w:bodyDiv w:val="1"/>
      <w:marLeft w:val="0"/>
      <w:marRight w:val="0"/>
      <w:marTop w:val="0"/>
      <w:marBottom w:val="0"/>
      <w:divBdr>
        <w:top w:val="none" w:sz="0" w:space="0" w:color="auto"/>
        <w:left w:val="none" w:sz="0" w:space="0" w:color="auto"/>
        <w:bottom w:val="none" w:sz="0" w:space="0" w:color="auto"/>
        <w:right w:val="none" w:sz="0" w:space="0" w:color="auto"/>
      </w:divBdr>
    </w:div>
    <w:div w:id="18202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7CF2-09AF-4760-BCB9-2FBD1CFC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897</Words>
  <Characters>4939</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PEUGEOT CITROEN</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LECCA - J556824</dc:creator>
  <cp:keywords/>
  <dc:description/>
  <cp:lastModifiedBy>ARIEL LECCA - J556824</cp:lastModifiedBy>
  <cp:revision>3</cp:revision>
  <dcterms:created xsi:type="dcterms:W3CDTF">2018-01-08T08:46:00Z</dcterms:created>
  <dcterms:modified xsi:type="dcterms:W3CDTF">2018-01-08T09:57:00Z</dcterms:modified>
</cp:coreProperties>
</file>