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53" w:rsidRPr="003C20B7" w:rsidRDefault="00667C88" w:rsidP="00AE35E9">
      <w:pPr>
        <w:pStyle w:val="HChG"/>
        <w:keepNext w:val="0"/>
        <w:keepLines w:val="0"/>
        <w:widowControl w:val="0"/>
        <w:tabs>
          <w:tab w:val="clear" w:pos="851"/>
          <w:tab w:val="center" w:pos="4248"/>
        </w:tabs>
        <w:suppressAutoHyphens w:val="0"/>
        <w:ind w:left="0" w:firstLine="0"/>
        <w:jc w:val="both"/>
      </w:pPr>
      <w:r>
        <w:t xml:space="preserve"> </w:t>
      </w:r>
      <w:r w:rsidR="00AE35E9" w:rsidRPr="003C20B7">
        <w:tab/>
      </w:r>
      <w:r w:rsidR="0022402F">
        <w:t>Provisional minutes</w:t>
      </w:r>
      <w:r w:rsidR="00D6469C" w:rsidRPr="003C20B7">
        <w:t xml:space="preserve"> for the </w:t>
      </w:r>
      <w:r w:rsidR="00882257">
        <w:t>thirteenth</w:t>
      </w:r>
      <w:r w:rsidR="00D6469C" w:rsidRPr="003C20B7">
        <w:t xml:space="preserve"> </w:t>
      </w:r>
      <w:r w:rsidR="00400B6D" w:rsidRPr="003C20B7">
        <w:t>session</w:t>
      </w:r>
      <w:r w:rsidR="00D6469C" w:rsidRPr="003C20B7">
        <w:t xml:space="preserve"> of</w:t>
      </w:r>
    </w:p>
    <w:p w:rsidR="009935A8" w:rsidRPr="003C20B7" w:rsidRDefault="00D6469C" w:rsidP="00AE35E9">
      <w:pPr>
        <w:pStyle w:val="HChG"/>
        <w:keepNext w:val="0"/>
        <w:keepLines w:val="0"/>
        <w:widowControl w:val="0"/>
        <w:tabs>
          <w:tab w:val="clear" w:pos="851"/>
        </w:tabs>
        <w:suppressAutoHyphens w:val="0"/>
        <w:ind w:left="0" w:firstLine="0"/>
        <w:jc w:val="center"/>
        <w:rPr>
          <w:rFonts w:eastAsiaTheme="minorEastAsia"/>
          <w:lang w:eastAsia="ja-JP"/>
        </w:rPr>
      </w:pPr>
      <w:proofErr w:type="gramStart"/>
      <w:r w:rsidRPr="003C20B7">
        <w:t>the</w:t>
      </w:r>
      <w:proofErr w:type="gramEnd"/>
      <w:r w:rsidRPr="003C20B7">
        <w:t xml:space="preserve"> </w:t>
      </w:r>
      <w:r w:rsidR="00400B6D" w:rsidRPr="003C20B7">
        <w:t>UN Task Force on Cyber Security and OTA issues</w:t>
      </w:r>
      <w:r w:rsidR="006A5E60" w:rsidRPr="003C20B7">
        <w:rPr>
          <w:rFonts w:eastAsiaTheme="minorEastAsia"/>
          <w:lang w:eastAsia="ja-JP"/>
        </w:rPr>
        <w:t xml:space="preserve"> (Draft)</w:t>
      </w:r>
    </w:p>
    <w:p w:rsidR="00745762" w:rsidRPr="003C20B7" w:rsidRDefault="00745762" w:rsidP="00745762">
      <w:pPr>
        <w:pStyle w:val="SingleTxtG"/>
        <w:spacing w:after="0"/>
        <w:ind w:left="0" w:right="767"/>
        <w:jc w:val="center"/>
        <w:rPr>
          <w:b/>
          <w:sz w:val="28"/>
        </w:rPr>
      </w:pPr>
    </w:p>
    <w:p w:rsidR="00684FB8" w:rsidRPr="00684FB8" w:rsidRDefault="00684FB8" w:rsidP="00684FB8">
      <w:pPr>
        <w:tabs>
          <w:tab w:val="center" w:pos="4248"/>
          <w:tab w:val="right" w:pos="8496"/>
        </w:tabs>
        <w:autoSpaceDE w:val="0"/>
        <w:autoSpaceDN w:val="0"/>
        <w:adjustRightInd w:val="0"/>
        <w:spacing w:after="120" w:line="240" w:lineRule="atLeast"/>
        <w:ind w:right="1134"/>
        <w:jc w:val="center"/>
        <w:rPr>
          <w:rFonts w:ascii="Times New Roman" w:hAnsi="Times New Roman"/>
          <w:color w:val="000000"/>
          <w:kern w:val="0"/>
          <w:sz w:val="24"/>
        </w:rPr>
      </w:pPr>
      <w:r w:rsidRPr="00684FB8">
        <w:rPr>
          <w:rFonts w:ascii="Times New Roman" w:hAnsi="Times New Roman"/>
          <w:color w:val="000000"/>
          <w:kern w:val="0"/>
          <w:sz w:val="24"/>
        </w:rPr>
        <w:t>18th September 2018, 09:00-17:00 (BST) – Cyber security</w:t>
      </w:r>
    </w:p>
    <w:p w:rsidR="00684FB8" w:rsidRPr="00684FB8" w:rsidRDefault="00684FB8" w:rsidP="00684FB8">
      <w:pPr>
        <w:tabs>
          <w:tab w:val="center" w:pos="4248"/>
          <w:tab w:val="right" w:pos="8496"/>
        </w:tabs>
        <w:autoSpaceDE w:val="0"/>
        <w:autoSpaceDN w:val="0"/>
        <w:adjustRightInd w:val="0"/>
        <w:spacing w:after="120" w:line="240" w:lineRule="atLeast"/>
        <w:ind w:right="1134"/>
        <w:jc w:val="center"/>
        <w:rPr>
          <w:rFonts w:ascii="Times New Roman" w:hAnsi="Times New Roman"/>
          <w:color w:val="000000"/>
          <w:kern w:val="0"/>
          <w:sz w:val="24"/>
        </w:rPr>
      </w:pPr>
      <w:r w:rsidRPr="00684FB8">
        <w:rPr>
          <w:rFonts w:ascii="Times New Roman" w:hAnsi="Times New Roman"/>
          <w:color w:val="000000"/>
          <w:kern w:val="0"/>
          <w:sz w:val="24"/>
        </w:rPr>
        <w:t>19th September 2018, 09:00-17:00 (BST) – Software updates</w:t>
      </w:r>
    </w:p>
    <w:p w:rsidR="00684FB8" w:rsidRPr="00684FB8" w:rsidRDefault="00684FB8" w:rsidP="00684FB8">
      <w:pPr>
        <w:tabs>
          <w:tab w:val="center" w:pos="4248"/>
          <w:tab w:val="right" w:pos="8496"/>
        </w:tabs>
        <w:autoSpaceDE w:val="0"/>
        <w:autoSpaceDN w:val="0"/>
        <w:adjustRightInd w:val="0"/>
        <w:spacing w:after="120" w:line="240" w:lineRule="atLeast"/>
        <w:ind w:right="1134"/>
        <w:jc w:val="center"/>
        <w:rPr>
          <w:rFonts w:ascii="Times New Roman" w:hAnsi="Times New Roman"/>
          <w:color w:val="000000"/>
          <w:kern w:val="0"/>
          <w:sz w:val="24"/>
        </w:rPr>
      </w:pPr>
      <w:r w:rsidRPr="00684FB8">
        <w:rPr>
          <w:rFonts w:ascii="Times New Roman" w:hAnsi="Times New Roman"/>
          <w:color w:val="000000"/>
          <w:kern w:val="0"/>
          <w:sz w:val="24"/>
        </w:rPr>
        <w:t>20th September 2018, 09:00-16:00 (BST) – Software updates (a.m.) / Cyber security (p.m.)</w:t>
      </w:r>
    </w:p>
    <w:p w:rsidR="00684FB8" w:rsidRPr="00684FB8" w:rsidRDefault="00684FB8" w:rsidP="00684FB8">
      <w:pPr>
        <w:tabs>
          <w:tab w:val="center" w:pos="4248"/>
          <w:tab w:val="right" w:pos="8496"/>
        </w:tabs>
        <w:autoSpaceDE w:val="0"/>
        <w:autoSpaceDN w:val="0"/>
        <w:adjustRightInd w:val="0"/>
        <w:spacing w:after="120" w:line="240" w:lineRule="atLeast"/>
        <w:ind w:right="1134"/>
        <w:jc w:val="center"/>
        <w:rPr>
          <w:rFonts w:ascii="Times New Roman" w:hAnsi="Times New Roman"/>
          <w:color w:val="000000"/>
          <w:kern w:val="0"/>
          <w:sz w:val="24"/>
        </w:rPr>
      </w:pPr>
      <w:r w:rsidRPr="00684FB8">
        <w:rPr>
          <w:rFonts w:ascii="Times New Roman" w:hAnsi="Times New Roman"/>
          <w:color w:val="000000"/>
          <w:kern w:val="0"/>
          <w:sz w:val="24"/>
        </w:rPr>
        <w:t xml:space="preserve">All hosted at The </w:t>
      </w:r>
      <w:proofErr w:type="spellStart"/>
      <w:r w:rsidRPr="00684FB8">
        <w:rPr>
          <w:rFonts w:ascii="Times New Roman" w:hAnsi="Times New Roman"/>
          <w:color w:val="000000"/>
          <w:kern w:val="0"/>
          <w:sz w:val="24"/>
        </w:rPr>
        <w:t>Amba</w:t>
      </w:r>
      <w:proofErr w:type="spellEnd"/>
      <w:r w:rsidRPr="00684FB8">
        <w:rPr>
          <w:rFonts w:ascii="Times New Roman" w:hAnsi="Times New Roman"/>
          <w:color w:val="000000"/>
          <w:kern w:val="0"/>
          <w:sz w:val="24"/>
        </w:rPr>
        <w:t xml:space="preserve"> Hotel, </w:t>
      </w:r>
      <w:proofErr w:type="spellStart"/>
      <w:r w:rsidRPr="00684FB8">
        <w:rPr>
          <w:rFonts w:ascii="Times New Roman" w:hAnsi="Times New Roman"/>
          <w:color w:val="000000"/>
          <w:kern w:val="0"/>
          <w:sz w:val="24"/>
        </w:rPr>
        <w:t>Charing</w:t>
      </w:r>
      <w:proofErr w:type="spellEnd"/>
      <w:r w:rsidRPr="00684FB8">
        <w:rPr>
          <w:rFonts w:ascii="Times New Roman" w:hAnsi="Times New Roman"/>
          <w:color w:val="000000"/>
          <w:kern w:val="0"/>
          <w:sz w:val="24"/>
        </w:rPr>
        <w:t xml:space="preserve"> Cross</w:t>
      </w:r>
    </w:p>
    <w:p w:rsidR="001E2AFD" w:rsidRPr="003C20B7" w:rsidRDefault="00684FB8" w:rsidP="00684FB8">
      <w:pPr>
        <w:tabs>
          <w:tab w:val="center" w:pos="4248"/>
          <w:tab w:val="right" w:pos="8496"/>
        </w:tabs>
        <w:autoSpaceDE w:val="0"/>
        <w:autoSpaceDN w:val="0"/>
        <w:adjustRightInd w:val="0"/>
        <w:spacing w:after="120" w:line="240" w:lineRule="atLeast"/>
        <w:ind w:right="1134"/>
        <w:jc w:val="center"/>
        <w:rPr>
          <w:rFonts w:ascii="Times New Roman" w:hAnsi="Times New Roman"/>
        </w:rPr>
      </w:pPr>
      <w:r w:rsidRPr="00684FB8">
        <w:rPr>
          <w:rFonts w:ascii="Times New Roman" w:hAnsi="Times New Roman"/>
          <w:color w:val="000000"/>
          <w:kern w:val="0"/>
          <w:sz w:val="24"/>
        </w:rPr>
        <w:t>(The Strand, London, WC2N 5HX)</w:t>
      </w:r>
      <w:r w:rsidR="008E1E83" w:rsidRPr="003C20B7">
        <w:rPr>
          <w:rFonts w:ascii="Times New Roman" w:hAnsi="Times New Roman"/>
          <w:color w:val="000000"/>
          <w:kern w:val="0"/>
          <w:sz w:val="24"/>
        </w:rPr>
        <w:br/>
      </w:r>
    </w:p>
    <w:p w:rsidR="001E2AFD" w:rsidRPr="003C20B7" w:rsidRDefault="001E2AFD" w:rsidP="00522D3A">
      <w:pPr>
        <w:pStyle w:val="SingleTxtG"/>
        <w:spacing w:after="0"/>
        <w:ind w:left="0" w:right="567"/>
        <w:jc w:val="center"/>
        <w:rPr>
          <w:color w:val="000000"/>
          <w:sz w:val="28"/>
          <w:szCs w:val="28"/>
          <w:u w:val="single"/>
        </w:rPr>
      </w:pPr>
      <w:r w:rsidRPr="003C20B7">
        <w:rPr>
          <w:color w:val="000000"/>
          <w:sz w:val="28"/>
          <w:szCs w:val="28"/>
          <w:u w:val="single"/>
        </w:rPr>
        <w:t>Introduction</w:t>
      </w:r>
    </w:p>
    <w:p w:rsidR="007A29B1" w:rsidRPr="003C20B7" w:rsidRDefault="00467470" w:rsidP="00522D3A">
      <w:pPr>
        <w:pStyle w:val="HChG"/>
        <w:numPr>
          <w:ilvl w:val="0"/>
          <w:numId w:val="9"/>
        </w:numPr>
        <w:tabs>
          <w:tab w:val="clear" w:pos="851"/>
        </w:tabs>
        <w:ind w:left="720" w:right="567"/>
      </w:pPr>
      <w:r w:rsidRPr="003C20B7">
        <w:t>Welcome and a</w:t>
      </w:r>
      <w:r w:rsidR="00D6469C" w:rsidRPr="003C20B7">
        <w:t>doption of the Agenda</w:t>
      </w:r>
      <w:bookmarkStart w:id="0" w:name="_GoBack"/>
      <w:bookmarkEnd w:id="0"/>
    </w:p>
    <w:p w:rsidR="009C5FCE" w:rsidRPr="003C20B7" w:rsidRDefault="00400B6D" w:rsidP="00522D3A">
      <w:pPr>
        <w:pStyle w:val="SingleTxtG"/>
        <w:ind w:left="0" w:right="567"/>
        <w:rPr>
          <w:lang w:val="en-US"/>
        </w:rPr>
      </w:pPr>
      <w:r w:rsidRPr="003C20B7">
        <w:rPr>
          <w:lang w:val="en-US"/>
        </w:rPr>
        <w:t>The Task Force may wish to adopt the provisional agenda.</w:t>
      </w:r>
    </w:p>
    <w:p w:rsidR="00B92565" w:rsidRDefault="00400B6D" w:rsidP="00522D3A">
      <w:pPr>
        <w:pStyle w:val="SingleTxtG"/>
        <w:ind w:left="0" w:right="567"/>
        <w:jc w:val="left"/>
        <w:rPr>
          <w:lang w:val="en-US"/>
        </w:rPr>
      </w:pPr>
      <w:r w:rsidRPr="003C20B7">
        <w:rPr>
          <w:i/>
          <w:lang w:val="en-US"/>
        </w:rPr>
        <w:t>Documentation:</w:t>
      </w:r>
      <w:r w:rsidRPr="003C20B7">
        <w:rPr>
          <w:lang w:val="en-US"/>
        </w:rPr>
        <w:tab/>
      </w:r>
      <w:r w:rsidR="003F6B99" w:rsidRPr="003C20B7">
        <w:rPr>
          <w:lang w:val="en-US"/>
        </w:rPr>
        <w:tab/>
      </w:r>
      <w:r w:rsidR="00684FB8" w:rsidRPr="003524AE">
        <w:rPr>
          <w:lang w:val="en-US"/>
        </w:rPr>
        <w:t>TFCS-13-01</w:t>
      </w:r>
      <w:r w:rsidR="00684FB8">
        <w:rPr>
          <w:lang w:val="en-US"/>
        </w:rPr>
        <w:t xml:space="preserve"> rev1</w:t>
      </w:r>
      <w:r w:rsidR="00684FB8" w:rsidRPr="003524AE">
        <w:rPr>
          <w:lang w:val="en-US"/>
        </w:rPr>
        <w:t xml:space="preserve"> (</w:t>
      </w:r>
      <w:r w:rsidR="00684FB8" w:rsidRPr="003524AE">
        <w:rPr>
          <w:rFonts w:eastAsiaTheme="minorEastAsia"/>
          <w:lang w:val="en-US" w:eastAsia="ja-JP"/>
        </w:rPr>
        <w:t>Sec</w:t>
      </w:r>
      <w:r w:rsidR="00684FB8" w:rsidRPr="003524AE">
        <w:rPr>
          <w:lang w:val="en-US"/>
        </w:rPr>
        <w:t>) Agenda</w:t>
      </w:r>
    </w:p>
    <w:p w:rsidR="00044011" w:rsidRPr="0077783B" w:rsidRDefault="00044011" w:rsidP="00044011">
      <w:pPr>
        <w:pStyle w:val="SingleTxtG"/>
        <w:ind w:left="0" w:right="567"/>
        <w:jc w:val="left"/>
        <w:rPr>
          <w:color w:val="0000CC"/>
          <w:lang w:val="en-US"/>
        </w:rPr>
      </w:pPr>
      <w:r>
        <w:rPr>
          <w:color w:val="0000CC"/>
          <w:lang w:val="en-US"/>
        </w:rPr>
        <w:t>A</w:t>
      </w:r>
      <w:r w:rsidR="0022402F">
        <w:rPr>
          <w:color w:val="0000CC"/>
          <w:lang w:val="en-US"/>
        </w:rPr>
        <w:t>genda was a</w:t>
      </w:r>
      <w:r>
        <w:rPr>
          <w:color w:val="0000CC"/>
          <w:lang w:val="en-US"/>
        </w:rPr>
        <w:t>dopted without changes</w:t>
      </w:r>
    </w:p>
    <w:p w:rsidR="00B92565" w:rsidRPr="003C20B7" w:rsidRDefault="00B92565" w:rsidP="00522D3A">
      <w:pPr>
        <w:pStyle w:val="HChG"/>
        <w:numPr>
          <w:ilvl w:val="0"/>
          <w:numId w:val="9"/>
        </w:numPr>
        <w:tabs>
          <w:tab w:val="clear" w:pos="851"/>
        </w:tabs>
        <w:ind w:left="720" w:right="567"/>
        <w:rPr>
          <w:lang w:val="en-US"/>
        </w:rPr>
      </w:pPr>
      <w:r w:rsidRPr="003C20B7">
        <w:t>Adoption of minutes</w:t>
      </w:r>
      <w:r w:rsidR="000E7BCB" w:rsidRPr="003C20B7">
        <w:t xml:space="preserve"> and report from </w:t>
      </w:r>
      <w:r w:rsidR="00FF5D98" w:rsidRPr="003C20B7">
        <w:t>tenth</w:t>
      </w:r>
      <w:r w:rsidR="000E7BCB" w:rsidRPr="003C20B7">
        <w:t xml:space="preserve"> session</w:t>
      </w:r>
      <w:r w:rsidR="002379E2" w:rsidRPr="003C20B7">
        <w:t xml:space="preserve"> and the ad hoc sessions</w:t>
      </w:r>
    </w:p>
    <w:p w:rsidR="00B92565" w:rsidRPr="003C20B7" w:rsidRDefault="00B92565" w:rsidP="00522D3A">
      <w:pPr>
        <w:pStyle w:val="SingleTxtG"/>
        <w:ind w:left="0" w:right="567"/>
        <w:rPr>
          <w:lang w:val="en-US"/>
        </w:rPr>
      </w:pPr>
      <w:r w:rsidRPr="003C20B7">
        <w:rPr>
          <w:lang w:val="en-US"/>
        </w:rPr>
        <w:t xml:space="preserve">The </w:t>
      </w:r>
      <w:r w:rsidR="000E7BCB" w:rsidRPr="003C20B7">
        <w:rPr>
          <w:lang w:val="en-US"/>
        </w:rPr>
        <w:t xml:space="preserve">chair will report the outcomes of the </w:t>
      </w:r>
      <w:r w:rsidR="00FF5D98" w:rsidRPr="003C20B7">
        <w:rPr>
          <w:lang w:val="en-US"/>
        </w:rPr>
        <w:t>tenth</w:t>
      </w:r>
      <w:r w:rsidR="000E7BCB" w:rsidRPr="003C20B7">
        <w:rPr>
          <w:lang w:val="en-US"/>
        </w:rPr>
        <w:t xml:space="preserve"> session</w:t>
      </w:r>
      <w:r w:rsidR="002379E2" w:rsidRPr="003C20B7">
        <w:rPr>
          <w:lang w:val="en-US"/>
        </w:rPr>
        <w:t xml:space="preserve"> and ad hoc sessions</w:t>
      </w:r>
      <w:r w:rsidR="000E7BCB" w:rsidRPr="003C20B7">
        <w:rPr>
          <w:lang w:val="en-US"/>
        </w:rPr>
        <w:t xml:space="preserve">. The </w:t>
      </w:r>
      <w:r w:rsidRPr="003C20B7">
        <w:rPr>
          <w:lang w:val="en-US"/>
        </w:rPr>
        <w:t xml:space="preserve">Task Force will be asked to adopt the minutes from the previous </w:t>
      </w:r>
      <w:r w:rsidR="00BD5C2F" w:rsidRPr="003C20B7">
        <w:rPr>
          <w:lang w:val="en-US"/>
        </w:rPr>
        <w:t>meeting</w:t>
      </w:r>
      <w:r w:rsidR="002379E2" w:rsidRPr="003C20B7">
        <w:rPr>
          <w:lang w:val="en-US"/>
        </w:rPr>
        <w:t>s</w:t>
      </w:r>
    </w:p>
    <w:p w:rsidR="00684FB8" w:rsidRDefault="00B92565" w:rsidP="00684FB8">
      <w:pPr>
        <w:pStyle w:val="SingleTxtG"/>
        <w:spacing w:after="0"/>
        <w:ind w:left="0" w:right="767"/>
        <w:jc w:val="left"/>
        <w:rPr>
          <w:lang w:val="en-US"/>
        </w:rPr>
      </w:pPr>
      <w:r w:rsidRPr="003C20B7">
        <w:rPr>
          <w:i/>
          <w:lang w:val="en-US"/>
        </w:rPr>
        <w:t>Documentation:</w:t>
      </w:r>
      <w:r w:rsidRPr="003C20B7">
        <w:rPr>
          <w:lang w:val="en-US"/>
        </w:rPr>
        <w:tab/>
      </w:r>
      <w:r w:rsidR="003F6B99" w:rsidRPr="003C20B7">
        <w:rPr>
          <w:lang w:val="en-US"/>
        </w:rPr>
        <w:tab/>
      </w:r>
      <w:r w:rsidR="00684FB8" w:rsidRPr="00384C93">
        <w:rPr>
          <w:lang w:val="en-US"/>
        </w:rPr>
        <w:t>TFCS-</w:t>
      </w:r>
      <w:r w:rsidR="00684FB8">
        <w:rPr>
          <w:lang w:val="en-US"/>
        </w:rPr>
        <w:t>13-02 (Sec</w:t>
      </w:r>
      <w:r w:rsidR="00684FB8" w:rsidRPr="00384C93">
        <w:rPr>
          <w:lang w:val="en-US"/>
        </w:rPr>
        <w:t xml:space="preserve">) Minutes of </w:t>
      </w:r>
      <w:r w:rsidR="00684FB8">
        <w:rPr>
          <w:lang w:val="en-US"/>
        </w:rPr>
        <w:t>TFCS-12</w:t>
      </w:r>
    </w:p>
    <w:p w:rsidR="00684FB8" w:rsidRDefault="00684FB8" w:rsidP="00684FB8">
      <w:pPr>
        <w:pStyle w:val="SingleTxtG"/>
        <w:spacing w:after="0"/>
        <w:ind w:left="0" w:right="767"/>
        <w:jc w:val="lef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Pr="003524AE">
        <w:rPr>
          <w:lang w:val="en-US"/>
        </w:rPr>
        <w:t>TFCS-ahRSUP3-07 (Chair) Minutes of ad-h</w:t>
      </w:r>
      <w:r>
        <w:rPr>
          <w:lang w:val="en-US"/>
        </w:rPr>
        <w:t>oc meetings on software updates</w:t>
      </w:r>
    </w:p>
    <w:p w:rsidR="00684FB8" w:rsidRDefault="00684FB8" w:rsidP="00684FB8">
      <w:pPr>
        <w:pStyle w:val="SingleTxtG"/>
        <w:spacing w:after="0"/>
        <w:ind w:left="0" w:right="767"/>
        <w:jc w:val="lef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Pr="003524AE">
        <w:rPr>
          <w:lang w:val="en-US"/>
        </w:rPr>
        <w:t>TFCS-ahRCSP3-05 (Chai</w:t>
      </w:r>
      <w:r>
        <w:rPr>
          <w:lang w:val="en-US"/>
        </w:rPr>
        <w:t>r) Draft minutes of ahRCSP3</w:t>
      </w:r>
    </w:p>
    <w:p w:rsidR="00044011" w:rsidRDefault="00044011" w:rsidP="00684FB8">
      <w:pPr>
        <w:pStyle w:val="SingleTxtG"/>
        <w:spacing w:after="0"/>
        <w:ind w:left="0" w:right="767"/>
        <w:jc w:val="left"/>
        <w:rPr>
          <w:color w:val="0000CC"/>
          <w:lang w:val="en-US"/>
        </w:rPr>
      </w:pPr>
      <w:r w:rsidRPr="0077783B">
        <w:rPr>
          <w:color w:val="0000CC"/>
          <w:lang w:val="en-US"/>
        </w:rPr>
        <w:t>Minutes</w:t>
      </w:r>
      <w:r w:rsidR="0022402F">
        <w:rPr>
          <w:color w:val="0000CC"/>
          <w:lang w:val="en-US"/>
        </w:rPr>
        <w:t xml:space="preserve"> were</w:t>
      </w:r>
      <w:r w:rsidRPr="0077783B">
        <w:rPr>
          <w:color w:val="0000CC"/>
          <w:lang w:val="en-US"/>
        </w:rPr>
        <w:t xml:space="preserve"> adopted without changes/additions</w:t>
      </w:r>
    </w:p>
    <w:p w:rsidR="00684FB8" w:rsidRDefault="00684FB8">
      <w:pPr>
        <w:widowControl/>
        <w:jc w:val="left"/>
        <w:rPr>
          <w:rFonts w:ascii="Times New Roman" w:hAnsi="Times New Roman"/>
          <w:color w:val="000000"/>
          <w:sz w:val="28"/>
          <w:szCs w:val="28"/>
          <w:u w:val="single"/>
        </w:rPr>
      </w:pPr>
      <w:r>
        <w:rPr>
          <w:rFonts w:ascii="Times New Roman" w:hAnsi="Times New Roman"/>
          <w:color w:val="000000"/>
          <w:sz w:val="28"/>
          <w:szCs w:val="28"/>
          <w:u w:val="single"/>
        </w:rPr>
        <w:br w:type="page"/>
      </w:r>
    </w:p>
    <w:p w:rsidR="00522D3A" w:rsidRPr="003C20B7" w:rsidRDefault="001C1185" w:rsidP="00522D3A">
      <w:pPr>
        <w:autoSpaceDE w:val="0"/>
        <w:autoSpaceDN w:val="0"/>
        <w:adjustRightInd w:val="0"/>
        <w:spacing w:after="120" w:line="240" w:lineRule="atLeast"/>
        <w:ind w:right="1134"/>
        <w:jc w:val="center"/>
        <w:rPr>
          <w:rFonts w:ascii="Times New Roman" w:hAnsi="Times New Roman"/>
          <w:color w:val="000000"/>
          <w:kern w:val="0"/>
          <w:sz w:val="28"/>
          <w:szCs w:val="28"/>
          <w:u w:val="single"/>
        </w:rPr>
      </w:pPr>
      <w:r w:rsidRPr="003C20B7">
        <w:rPr>
          <w:rFonts w:ascii="Times New Roman" w:hAnsi="Times New Roman"/>
          <w:color w:val="000000"/>
          <w:sz w:val="28"/>
          <w:szCs w:val="28"/>
          <w:u w:val="single"/>
        </w:rPr>
        <w:lastRenderedPageBreak/>
        <w:t>Cyber Security</w:t>
      </w:r>
    </w:p>
    <w:p w:rsidR="001C1185" w:rsidRPr="003C20B7" w:rsidRDefault="001C1185" w:rsidP="001C1185">
      <w:pPr>
        <w:pStyle w:val="HChG"/>
        <w:numPr>
          <w:ilvl w:val="0"/>
          <w:numId w:val="9"/>
        </w:numPr>
        <w:tabs>
          <w:tab w:val="clear" w:pos="851"/>
        </w:tabs>
        <w:ind w:left="720" w:right="567"/>
        <w:rPr>
          <w:lang w:val="en-US"/>
        </w:rPr>
      </w:pPr>
      <w:r w:rsidRPr="003C20B7">
        <w:t>Review of actions relating to cyber security</w:t>
      </w:r>
    </w:p>
    <w:p w:rsidR="00684FB8" w:rsidRPr="00684FB8" w:rsidRDefault="00684FB8" w:rsidP="00684FB8">
      <w:pPr>
        <w:rPr>
          <w:rFonts w:ascii="Times New Roman" w:eastAsia="Times New Roman" w:hAnsi="Times New Roman"/>
          <w:kern w:val="0"/>
          <w:sz w:val="20"/>
          <w:szCs w:val="20"/>
          <w:lang w:eastAsia="en-US"/>
        </w:rPr>
      </w:pPr>
      <w:r w:rsidRPr="00684FB8">
        <w:rPr>
          <w:rFonts w:ascii="Times New Roman" w:eastAsia="Times New Roman" w:hAnsi="Times New Roman"/>
          <w:kern w:val="0"/>
          <w:sz w:val="20"/>
          <w:szCs w:val="20"/>
          <w:lang w:eastAsia="en-US"/>
        </w:rPr>
        <w:t>The Task Force will review progress and actions from previous meetings</w:t>
      </w:r>
    </w:p>
    <w:p w:rsidR="00684FB8" w:rsidRPr="00684FB8" w:rsidRDefault="00684FB8" w:rsidP="00684FB8">
      <w:pPr>
        <w:rPr>
          <w:rFonts w:ascii="Times New Roman" w:eastAsia="Times New Roman" w:hAnsi="Times New Roman"/>
          <w:kern w:val="0"/>
          <w:sz w:val="20"/>
          <w:szCs w:val="20"/>
          <w:lang w:eastAsia="en-US"/>
        </w:rPr>
      </w:pPr>
      <w:r w:rsidRPr="00684FB8">
        <w:rPr>
          <w:rFonts w:ascii="Times New Roman" w:eastAsia="Times New Roman" w:hAnsi="Times New Roman"/>
          <w:kern w:val="0"/>
          <w:sz w:val="20"/>
          <w:szCs w:val="20"/>
          <w:lang w:eastAsia="en-US"/>
        </w:rPr>
        <w:t>Documentation:</w:t>
      </w:r>
      <w:r w:rsidRPr="00684FB8">
        <w:rPr>
          <w:rFonts w:ascii="Times New Roman" w:eastAsia="Times New Roman" w:hAnsi="Times New Roman"/>
          <w:kern w:val="0"/>
          <w:sz w:val="20"/>
          <w:szCs w:val="20"/>
          <w:lang w:eastAsia="en-US"/>
        </w:rPr>
        <w:tab/>
      </w:r>
      <w:r w:rsidRPr="00684FB8">
        <w:rPr>
          <w:rFonts w:ascii="Times New Roman" w:eastAsia="Times New Roman" w:hAnsi="Times New Roman"/>
          <w:kern w:val="0"/>
          <w:sz w:val="20"/>
          <w:szCs w:val="20"/>
          <w:lang w:eastAsia="en-US"/>
        </w:rPr>
        <w:tab/>
        <w:t>TFCS-13-02 (Sec) Minutes of TFCS-12</w:t>
      </w:r>
      <w:r w:rsidRPr="00684FB8">
        <w:rPr>
          <w:rFonts w:ascii="Times New Roman" w:eastAsia="Times New Roman" w:hAnsi="Times New Roman"/>
          <w:kern w:val="0"/>
          <w:sz w:val="20"/>
          <w:szCs w:val="20"/>
          <w:lang w:eastAsia="en-US"/>
        </w:rPr>
        <w:tab/>
      </w:r>
    </w:p>
    <w:p w:rsidR="00684FB8" w:rsidRDefault="00684FB8" w:rsidP="00684FB8">
      <w:pPr>
        <w:rPr>
          <w:rFonts w:ascii="Times New Roman" w:eastAsia="Times New Roman" w:hAnsi="Times New Roman"/>
          <w:color w:val="0000CC"/>
          <w:kern w:val="0"/>
          <w:sz w:val="20"/>
          <w:szCs w:val="20"/>
          <w:lang w:eastAsia="en-US"/>
        </w:rPr>
      </w:pPr>
      <w:r w:rsidRPr="00684FB8">
        <w:rPr>
          <w:rFonts w:ascii="Times New Roman" w:eastAsia="Times New Roman" w:hAnsi="Times New Roman"/>
          <w:kern w:val="0"/>
          <w:sz w:val="20"/>
          <w:szCs w:val="20"/>
          <w:lang w:eastAsia="en-US"/>
        </w:rPr>
        <w:tab/>
      </w:r>
      <w:r w:rsidRPr="00684FB8">
        <w:rPr>
          <w:rFonts w:ascii="Times New Roman" w:eastAsia="Times New Roman" w:hAnsi="Times New Roman"/>
          <w:kern w:val="0"/>
          <w:sz w:val="20"/>
          <w:szCs w:val="20"/>
          <w:lang w:eastAsia="en-US"/>
        </w:rPr>
        <w:tab/>
      </w:r>
      <w:r w:rsidRPr="00684FB8">
        <w:rPr>
          <w:rFonts w:ascii="Times New Roman" w:eastAsia="Times New Roman" w:hAnsi="Times New Roman"/>
          <w:kern w:val="0"/>
          <w:sz w:val="20"/>
          <w:szCs w:val="20"/>
          <w:lang w:eastAsia="en-US"/>
        </w:rPr>
        <w:tab/>
      </w:r>
      <w:r w:rsidRPr="00684FB8">
        <w:rPr>
          <w:rFonts w:ascii="Times New Roman" w:eastAsia="Times New Roman" w:hAnsi="Times New Roman"/>
          <w:kern w:val="0"/>
          <w:sz w:val="20"/>
          <w:szCs w:val="20"/>
          <w:lang w:eastAsia="en-US"/>
        </w:rPr>
        <w:tab/>
      </w:r>
      <w:r w:rsidRPr="00684FB8">
        <w:rPr>
          <w:rFonts w:ascii="Times New Roman" w:eastAsia="Times New Roman" w:hAnsi="Times New Roman"/>
          <w:kern w:val="0"/>
          <w:sz w:val="20"/>
          <w:szCs w:val="20"/>
          <w:lang w:eastAsia="en-US"/>
        </w:rPr>
        <w:tab/>
      </w:r>
      <w:r w:rsidRPr="00684FB8">
        <w:rPr>
          <w:rFonts w:ascii="Times New Roman" w:eastAsia="Times New Roman" w:hAnsi="Times New Roman"/>
          <w:kern w:val="0"/>
          <w:sz w:val="20"/>
          <w:szCs w:val="20"/>
          <w:lang w:eastAsia="en-US"/>
        </w:rPr>
        <w:tab/>
      </w:r>
      <w:r w:rsidRPr="00684FB8">
        <w:rPr>
          <w:rFonts w:ascii="Times New Roman" w:eastAsia="Times New Roman" w:hAnsi="Times New Roman"/>
          <w:kern w:val="0"/>
          <w:sz w:val="20"/>
          <w:szCs w:val="20"/>
          <w:lang w:eastAsia="en-US"/>
        </w:rPr>
        <w:tab/>
        <w:t>TFCS-ahRCSP3-05 (Chair) Draft minutes of ahRCSP3</w:t>
      </w:r>
      <w:r w:rsidR="00141EB6">
        <w:rPr>
          <w:rFonts w:ascii="Times New Roman" w:hAnsi="Times New Roman"/>
          <w:lang w:val="en-GB" w:eastAsia="en-US"/>
        </w:rPr>
        <w:br/>
      </w:r>
    </w:p>
    <w:p w:rsidR="00044011" w:rsidRDefault="00044011" w:rsidP="00044011">
      <w:pPr>
        <w:rPr>
          <w:rFonts w:ascii="Times New Roman" w:eastAsia="Times New Roman" w:hAnsi="Times New Roman"/>
          <w:color w:val="0000CC"/>
          <w:kern w:val="0"/>
          <w:sz w:val="20"/>
          <w:szCs w:val="20"/>
          <w:lang w:eastAsia="en-US"/>
        </w:rPr>
      </w:pPr>
      <w:r>
        <w:rPr>
          <w:rFonts w:ascii="Times New Roman" w:eastAsia="Times New Roman" w:hAnsi="Times New Roman"/>
          <w:color w:val="0000CC"/>
          <w:kern w:val="0"/>
          <w:sz w:val="20"/>
          <w:szCs w:val="20"/>
          <w:lang w:eastAsia="en-US"/>
        </w:rPr>
        <w:t xml:space="preserve">Action items </w:t>
      </w:r>
      <w:r w:rsidR="0022402F">
        <w:rPr>
          <w:rFonts w:ascii="Times New Roman" w:eastAsia="Times New Roman" w:hAnsi="Times New Roman"/>
          <w:color w:val="0000CC"/>
          <w:kern w:val="0"/>
          <w:sz w:val="20"/>
          <w:szCs w:val="20"/>
          <w:lang w:eastAsia="en-US"/>
        </w:rPr>
        <w:t xml:space="preserve">were </w:t>
      </w:r>
      <w:r w:rsidR="00684FB8">
        <w:rPr>
          <w:rFonts w:ascii="Times New Roman" w:eastAsia="Times New Roman" w:hAnsi="Times New Roman"/>
          <w:color w:val="0000CC"/>
          <w:kern w:val="0"/>
          <w:sz w:val="20"/>
          <w:szCs w:val="20"/>
          <w:lang w:eastAsia="en-US"/>
        </w:rPr>
        <w:t>reviewed. All</w:t>
      </w:r>
      <w:r>
        <w:rPr>
          <w:rFonts w:ascii="Times New Roman" w:eastAsia="Times New Roman" w:hAnsi="Times New Roman"/>
          <w:color w:val="0000CC"/>
          <w:kern w:val="0"/>
          <w:sz w:val="20"/>
          <w:szCs w:val="20"/>
          <w:lang w:eastAsia="en-US"/>
        </w:rPr>
        <w:t xml:space="preserve"> actions</w:t>
      </w:r>
      <w:r w:rsidR="0022402F">
        <w:rPr>
          <w:rFonts w:ascii="Times New Roman" w:eastAsia="Times New Roman" w:hAnsi="Times New Roman"/>
          <w:color w:val="0000CC"/>
          <w:kern w:val="0"/>
          <w:sz w:val="20"/>
          <w:szCs w:val="20"/>
          <w:lang w:eastAsia="en-US"/>
        </w:rPr>
        <w:t xml:space="preserve"> </w:t>
      </w:r>
      <w:r>
        <w:rPr>
          <w:rFonts w:ascii="Times New Roman" w:eastAsia="Times New Roman" w:hAnsi="Times New Roman"/>
          <w:color w:val="0000CC"/>
          <w:kern w:val="0"/>
          <w:sz w:val="20"/>
          <w:szCs w:val="20"/>
          <w:lang w:eastAsia="en-US"/>
        </w:rPr>
        <w:t>were completed</w:t>
      </w:r>
      <w:r w:rsidR="00684FB8">
        <w:rPr>
          <w:rFonts w:ascii="Times New Roman" w:eastAsia="Times New Roman" w:hAnsi="Times New Roman"/>
          <w:color w:val="0000CC"/>
          <w:kern w:val="0"/>
          <w:sz w:val="20"/>
          <w:szCs w:val="20"/>
          <w:lang w:eastAsia="en-US"/>
        </w:rPr>
        <w:t xml:space="preserve"> either before or within the meeting.</w:t>
      </w:r>
    </w:p>
    <w:p w:rsidR="001C1185" w:rsidRPr="003C20B7" w:rsidRDefault="001C1185" w:rsidP="001C1185">
      <w:pPr>
        <w:pStyle w:val="HChG"/>
        <w:numPr>
          <w:ilvl w:val="0"/>
          <w:numId w:val="9"/>
        </w:numPr>
        <w:tabs>
          <w:tab w:val="clear" w:pos="851"/>
        </w:tabs>
        <w:ind w:left="720" w:right="567"/>
      </w:pPr>
      <w:r w:rsidRPr="003C20B7">
        <w:t xml:space="preserve">Development of working paper </w:t>
      </w:r>
    </w:p>
    <w:p w:rsidR="00684FB8" w:rsidRDefault="00684FB8" w:rsidP="00684FB8">
      <w:pPr>
        <w:pStyle w:val="SingleTxtG"/>
        <w:ind w:left="0" w:right="567"/>
        <w:rPr>
          <w:lang w:val="en-US"/>
        </w:rPr>
      </w:pPr>
      <w:r w:rsidRPr="00384C93">
        <w:rPr>
          <w:lang w:val="en-US"/>
        </w:rPr>
        <w:t>The Task Force will look to further develop the paper on cyber security and progress any areas identified for discussion.</w:t>
      </w:r>
    </w:p>
    <w:p w:rsidR="00684FB8" w:rsidRDefault="00684FB8" w:rsidP="00684FB8">
      <w:pPr>
        <w:pStyle w:val="SingleTxtG"/>
        <w:ind w:left="0" w:right="567"/>
        <w:rPr>
          <w:rFonts w:eastAsiaTheme="minorEastAsia"/>
          <w:lang w:val="en-US" w:eastAsia="ja-JP"/>
        </w:rPr>
      </w:pPr>
      <w:r>
        <w:rPr>
          <w:rFonts w:eastAsiaTheme="minorEastAsia"/>
          <w:lang w:val="en-US" w:eastAsia="ja-JP"/>
        </w:rPr>
        <w:t>Discussions to cover:</w:t>
      </w:r>
    </w:p>
    <w:p w:rsidR="00684FB8" w:rsidRDefault="00684FB8" w:rsidP="00684FB8">
      <w:pPr>
        <w:pStyle w:val="SingleTxtG"/>
        <w:numPr>
          <w:ilvl w:val="0"/>
          <w:numId w:val="18"/>
        </w:numPr>
        <w:ind w:right="567"/>
        <w:rPr>
          <w:rFonts w:eastAsiaTheme="minorEastAsia"/>
          <w:lang w:val="en-US" w:eastAsia="ja-JP"/>
        </w:rPr>
      </w:pPr>
      <w:r>
        <w:rPr>
          <w:rFonts w:eastAsiaTheme="minorEastAsia"/>
          <w:lang w:val="en-US" w:eastAsia="ja-JP"/>
        </w:rPr>
        <w:t>Review the outstanding comments in</w:t>
      </w:r>
      <w:r w:rsidRPr="00EB056A">
        <w:rPr>
          <w:lang w:val="en-US"/>
        </w:rPr>
        <w:t xml:space="preserve"> </w:t>
      </w:r>
      <w:r w:rsidRPr="003524AE">
        <w:rPr>
          <w:lang w:val="en-US"/>
        </w:rPr>
        <w:t xml:space="preserve">TFCS-ahRCSP3-04 (Chair) Draft CS recommendation paper - post </w:t>
      </w:r>
      <w:proofErr w:type="spellStart"/>
      <w:r w:rsidRPr="003524AE">
        <w:rPr>
          <w:lang w:val="en-US"/>
        </w:rPr>
        <w:t>webex</w:t>
      </w:r>
      <w:proofErr w:type="spellEnd"/>
      <w:r w:rsidRPr="003524AE">
        <w:rPr>
          <w:lang w:val="en-US"/>
        </w:rPr>
        <w:t xml:space="preserve"> version</w:t>
      </w:r>
    </w:p>
    <w:p w:rsidR="00684FB8" w:rsidRDefault="00684FB8" w:rsidP="00684FB8">
      <w:pPr>
        <w:pStyle w:val="SingleTxtG"/>
        <w:numPr>
          <w:ilvl w:val="0"/>
          <w:numId w:val="18"/>
        </w:numPr>
        <w:ind w:right="567"/>
        <w:rPr>
          <w:rFonts w:eastAsiaTheme="minorEastAsia"/>
          <w:lang w:val="en-US" w:eastAsia="ja-JP"/>
        </w:rPr>
      </w:pPr>
      <w:r>
        <w:rPr>
          <w:rFonts w:eastAsiaTheme="minorEastAsia"/>
          <w:lang w:val="en-US" w:eastAsia="ja-JP"/>
        </w:rPr>
        <w:t xml:space="preserve">Review the proposed restructuring of Annex A to fit standard UNECE terminology and formatting, as provided in </w:t>
      </w:r>
      <w:r w:rsidRPr="00EB056A">
        <w:rPr>
          <w:rFonts w:eastAsiaTheme="minorEastAsia"/>
          <w:lang w:val="en-US" w:eastAsia="ja-JP"/>
        </w:rPr>
        <w:t>TFCS-13-04 (Sec) Restructured Draft Regulation on Cyber Security (Annex A)</w:t>
      </w:r>
    </w:p>
    <w:p w:rsidR="00684FB8" w:rsidRDefault="00684FB8" w:rsidP="00684FB8">
      <w:pPr>
        <w:pStyle w:val="SingleTxtG"/>
        <w:numPr>
          <w:ilvl w:val="0"/>
          <w:numId w:val="18"/>
        </w:numPr>
        <w:ind w:right="567"/>
        <w:rPr>
          <w:rFonts w:eastAsiaTheme="minorEastAsia"/>
          <w:lang w:val="en-US" w:eastAsia="ja-JP"/>
        </w:rPr>
      </w:pPr>
      <w:r>
        <w:rPr>
          <w:rFonts w:eastAsiaTheme="minorEastAsia"/>
          <w:lang w:val="en-US" w:eastAsia="ja-JP"/>
        </w:rPr>
        <w:t xml:space="preserve">Review a proposal by the USA/NHTSA </w:t>
      </w:r>
      <w:r>
        <w:rPr>
          <w:lang w:val="en-US"/>
        </w:rPr>
        <w:t>to submit the requirements in the format of a Global Technical Regulation according to the 1998 Agreement of UNECE in order to aid the work of the parent group. This draft GTR could be brought forward as an additional regulatory annex to the group’s recommendation on cyber security.</w:t>
      </w:r>
    </w:p>
    <w:p w:rsidR="00684FB8" w:rsidRDefault="00684FB8" w:rsidP="00684FB8">
      <w:pPr>
        <w:pStyle w:val="SingleTxtG"/>
        <w:numPr>
          <w:ilvl w:val="0"/>
          <w:numId w:val="18"/>
        </w:numPr>
        <w:ind w:right="567"/>
        <w:rPr>
          <w:rFonts w:eastAsiaTheme="minorEastAsia"/>
          <w:lang w:val="en-US" w:eastAsia="ja-JP"/>
        </w:rPr>
      </w:pPr>
      <w:r>
        <w:rPr>
          <w:rFonts w:eastAsiaTheme="minorEastAsia"/>
          <w:lang w:val="en-US" w:eastAsia="ja-JP"/>
        </w:rPr>
        <w:t>Proposal to rename “Certificate of Compliance”</w:t>
      </w:r>
    </w:p>
    <w:p w:rsidR="00684FB8" w:rsidRPr="00F22825" w:rsidRDefault="00684FB8" w:rsidP="00684FB8">
      <w:pPr>
        <w:pStyle w:val="SingleTxtG"/>
        <w:ind w:left="720" w:right="567"/>
        <w:rPr>
          <w:rFonts w:eastAsiaTheme="minorEastAsia"/>
          <w:lang w:val="en-US" w:eastAsia="ja-JP"/>
        </w:rPr>
      </w:pPr>
      <w:r w:rsidRPr="00F22825">
        <w:rPr>
          <w:rFonts w:eastAsiaTheme="minorEastAsia"/>
          <w:lang w:val="en-US" w:eastAsia="ja-JP"/>
        </w:rPr>
        <w:t>The use of the term “Certificate of Compliance” may confuse people that have not participated to the UN TF because there is already in the current legislation</w:t>
      </w:r>
      <w:r>
        <w:rPr>
          <w:rFonts w:eastAsiaTheme="minorEastAsia"/>
          <w:lang w:val="en-US" w:eastAsia="ja-JP"/>
        </w:rPr>
        <w:t xml:space="preserve">. </w:t>
      </w:r>
      <w:r w:rsidRPr="00F22825">
        <w:rPr>
          <w:rFonts w:eastAsiaTheme="minorEastAsia"/>
          <w:lang w:val="en-US" w:eastAsia="ja-JP"/>
        </w:rPr>
        <w:t>Possible solutions could be</w:t>
      </w:r>
      <w:r w:rsidRPr="00D03D67">
        <w:rPr>
          <w:rFonts w:eastAsiaTheme="minorEastAsia"/>
          <w:lang w:val="en-US" w:eastAsia="ja-JP"/>
        </w:rPr>
        <w:t xml:space="preserve"> </w:t>
      </w:r>
      <w:r>
        <w:rPr>
          <w:rFonts w:eastAsiaTheme="minorEastAsia"/>
          <w:lang w:val="en-US" w:eastAsia="ja-JP"/>
        </w:rPr>
        <w:t>to</w:t>
      </w:r>
      <w:r w:rsidRPr="00F22825">
        <w:rPr>
          <w:rFonts w:eastAsiaTheme="minorEastAsia"/>
          <w:lang w:val="en-US" w:eastAsia="ja-JP"/>
        </w:rPr>
        <w:t xml:space="preserve"> systematically replace the </w:t>
      </w:r>
      <w:r>
        <w:rPr>
          <w:rFonts w:eastAsiaTheme="minorEastAsia"/>
          <w:lang w:val="en-US" w:eastAsia="ja-JP"/>
        </w:rPr>
        <w:t>t</w:t>
      </w:r>
      <w:r w:rsidRPr="00F22825">
        <w:rPr>
          <w:rFonts w:eastAsiaTheme="minorEastAsia"/>
          <w:lang w:val="en-US" w:eastAsia="ja-JP"/>
        </w:rPr>
        <w:t xml:space="preserve">erm “Certificate of Compliance” </w:t>
      </w:r>
      <w:r>
        <w:rPr>
          <w:rFonts w:eastAsiaTheme="minorEastAsia"/>
          <w:lang w:val="en-US" w:eastAsia="ja-JP"/>
        </w:rPr>
        <w:t>with either:</w:t>
      </w:r>
    </w:p>
    <w:p w:rsidR="00684FB8" w:rsidRPr="00F22825" w:rsidRDefault="00684FB8" w:rsidP="00684FB8">
      <w:pPr>
        <w:pStyle w:val="SingleTxtG"/>
        <w:ind w:left="720" w:right="567" w:firstLine="188"/>
        <w:rPr>
          <w:rFonts w:eastAsiaTheme="minorEastAsia"/>
          <w:lang w:val="en-US" w:eastAsia="ja-JP"/>
        </w:rPr>
      </w:pPr>
      <w:r>
        <w:rPr>
          <w:rFonts w:eastAsiaTheme="minorEastAsia"/>
          <w:lang w:val="en-US" w:eastAsia="ja-JP"/>
        </w:rPr>
        <w:t>a)</w:t>
      </w:r>
      <w:r w:rsidRPr="00F22825">
        <w:rPr>
          <w:rFonts w:eastAsiaTheme="minorEastAsia"/>
          <w:lang w:val="en-US" w:eastAsia="ja-JP"/>
        </w:rPr>
        <w:t xml:space="preserve"> “Cybersecurity Certificate of Compliance” </w:t>
      </w:r>
    </w:p>
    <w:p w:rsidR="00684FB8" w:rsidRDefault="00684FB8" w:rsidP="00684FB8">
      <w:pPr>
        <w:pStyle w:val="SingleTxtG"/>
        <w:ind w:left="720" w:right="567" w:firstLine="188"/>
        <w:rPr>
          <w:rFonts w:eastAsiaTheme="minorEastAsia"/>
          <w:lang w:val="en-US" w:eastAsia="ja-JP"/>
        </w:rPr>
      </w:pPr>
      <w:r>
        <w:rPr>
          <w:rFonts w:eastAsiaTheme="minorEastAsia"/>
          <w:lang w:val="en-US" w:eastAsia="ja-JP"/>
        </w:rPr>
        <w:t xml:space="preserve">b) </w:t>
      </w:r>
      <w:r w:rsidRPr="00F22825">
        <w:rPr>
          <w:rFonts w:eastAsiaTheme="minorEastAsia"/>
          <w:lang w:val="en-US" w:eastAsia="ja-JP"/>
        </w:rPr>
        <w:t>“Certificate of Compliance with Annex X to Regulation xxx” (this is the case of Regulation 133)</w:t>
      </w:r>
    </w:p>
    <w:p w:rsidR="00684FB8" w:rsidRPr="007F758D" w:rsidRDefault="00684FB8" w:rsidP="00684FB8">
      <w:pPr>
        <w:pStyle w:val="SingleTxtG"/>
        <w:ind w:left="0" w:right="567"/>
        <w:rPr>
          <w:rFonts w:eastAsiaTheme="minorEastAsia"/>
          <w:i/>
          <w:lang w:val="en-US" w:eastAsia="ja-JP"/>
        </w:rPr>
      </w:pPr>
      <w:r w:rsidRPr="007F758D">
        <w:rPr>
          <w:rFonts w:eastAsiaTheme="minorEastAsia"/>
          <w:i/>
          <w:lang w:val="en-US" w:eastAsia="ja-JP"/>
        </w:rPr>
        <w:t>Proposed order of discussion:</w:t>
      </w:r>
    </w:p>
    <w:p w:rsidR="00684FB8" w:rsidRDefault="00684FB8" w:rsidP="00684FB8">
      <w:pPr>
        <w:pStyle w:val="SingleTxtG"/>
        <w:numPr>
          <w:ilvl w:val="0"/>
          <w:numId w:val="19"/>
        </w:numPr>
        <w:ind w:right="567"/>
        <w:rPr>
          <w:rFonts w:eastAsiaTheme="minorEastAsia"/>
          <w:lang w:val="en-US" w:eastAsia="ja-JP"/>
        </w:rPr>
      </w:pPr>
      <w:r>
        <w:rPr>
          <w:rFonts w:eastAsiaTheme="minorEastAsia"/>
          <w:lang w:val="en-US" w:eastAsia="ja-JP"/>
        </w:rPr>
        <w:t>Presentation from Japan</w:t>
      </w:r>
    </w:p>
    <w:p w:rsidR="00684FB8" w:rsidRDefault="00684FB8" w:rsidP="00684FB8">
      <w:pPr>
        <w:pStyle w:val="SingleTxtG"/>
        <w:numPr>
          <w:ilvl w:val="0"/>
          <w:numId w:val="19"/>
        </w:numPr>
        <w:ind w:right="567"/>
        <w:rPr>
          <w:rFonts w:eastAsiaTheme="minorEastAsia"/>
          <w:lang w:val="en-US" w:eastAsia="ja-JP"/>
        </w:rPr>
      </w:pPr>
      <w:r>
        <w:rPr>
          <w:rFonts w:eastAsiaTheme="minorEastAsia"/>
          <w:lang w:val="en-US" w:eastAsia="ja-JP"/>
        </w:rPr>
        <w:t>Presentation from Switzerland</w:t>
      </w:r>
    </w:p>
    <w:p w:rsidR="00684FB8" w:rsidRDefault="00684FB8" w:rsidP="00684FB8">
      <w:pPr>
        <w:pStyle w:val="SingleTxtG"/>
        <w:numPr>
          <w:ilvl w:val="0"/>
          <w:numId w:val="19"/>
        </w:numPr>
        <w:ind w:right="567"/>
        <w:rPr>
          <w:rFonts w:eastAsiaTheme="minorEastAsia"/>
          <w:lang w:val="en-US" w:eastAsia="ja-JP"/>
        </w:rPr>
      </w:pPr>
      <w:r>
        <w:rPr>
          <w:rFonts w:eastAsiaTheme="minorEastAsia"/>
          <w:lang w:val="en-US" w:eastAsia="ja-JP"/>
        </w:rPr>
        <w:t>Presentation from OICA-CLEPA</w:t>
      </w:r>
    </w:p>
    <w:p w:rsidR="00684FB8" w:rsidRDefault="00684FB8" w:rsidP="00684FB8">
      <w:pPr>
        <w:pStyle w:val="SingleTxtG"/>
        <w:numPr>
          <w:ilvl w:val="0"/>
          <w:numId w:val="19"/>
        </w:numPr>
        <w:ind w:right="567"/>
        <w:rPr>
          <w:rFonts w:eastAsiaTheme="minorEastAsia"/>
          <w:lang w:val="en-US" w:eastAsia="ja-JP"/>
        </w:rPr>
      </w:pPr>
      <w:r>
        <w:rPr>
          <w:rFonts w:eastAsiaTheme="minorEastAsia"/>
          <w:lang w:val="en-US" w:eastAsia="ja-JP"/>
        </w:rPr>
        <w:t>Review of cyber security paper</w:t>
      </w:r>
    </w:p>
    <w:p w:rsidR="00684FB8" w:rsidRPr="00F22825" w:rsidRDefault="00684FB8" w:rsidP="00684FB8">
      <w:pPr>
        <w:pStyle w:val="SingleTxtG"/>
        <w:ind w:left="1589" w:right="567" w:hanging="1589"/>
        <w:jc w:val="left"/>
        <w:rPr>
          <w:rFonts w:eastAsiaTheme="minorEastAsia"/>
          <w:b/>
          <w:highlight w:val="yellow"/>
          <w:lang w:val="en-US" w:eastAsia="ja-JP"/>
        </w:rPr>
      </w:pPr>
      <w:r w:rsidRPr="00384C93">
        <w:rPr>
          <w:i/>
          <w:lang w:val="en-US"/>
        </w:rPr>
        <w:t>Documentation:</w:t>
      </w:r>
      <w:r w:rsidRPr="00384C93">
        <w:rPr>
          <w:lang w:val="en-US"/>
        </w:rPr>
        <w:tab/>
      </w:r>
      <w:r w:rsidRPr="00384C93">
        <w:rPr>
          <w:lang w:val="en-US"/>
        </w:rPr>
        <w:tab/>
      </w:r>
      <w:r w:rsidRPr="003524AE">
        <w:rPr>
          <w:lang w:val="en-US"/>
        </w:rPr>
        <w:t xml:space="preserve">TFCS-ahRCSP3-04 (Chair) Draft CS recommendation paper - post </w:t>
      </w:r>
      <w:proofErr w:type="spellStart"/>
      <w:r w:rsidRPr="003524AE">
        <w:rPr>
          <w:lang w:val="en-US"/>
        </w:rPr>
        <w:t>webex</w:t>
      </w:r>
      <w:proofErr w:type="spellEnd"/>
      <w:r w:rsidRPr="003524AE">
        <w:rPr>
          <w:lang w:val="en-US"/>
        </w:rPr>
        <w:t xml:space="preserve"> version</w:t>
      </w:r>
    </w:p>
    <w:p w:rsidR="00684FB8" w:rsidRDefault="00684FB8" w:rsidP="00684FB8">
      <w:pPr>
        <w:pStyle w:val="SingleTxtG"/>
        <w:ind w:left="1589" w:right="567" w:firstLine="1"/>
        <w:jc w:val="left"/>
        <w:rPr>
          <w:rFonts w:eastAsiaTheme="minorEastAsia"/>
          <w:lang w:val="en-US" w:eastAsia="ja-JP"/>
        </w:rPr>
      </w:pPr>
      <w:r w:rsidRPr="00EB056A">
        <w:rPr>
          <w:rFonts w:eastAsiaTheme="minorEastAsia"/>
          <w:lang w:val="en-US" w:eastAsia="ja-JP"/>
        </w:rPr>
        <w:lastRenderedPageBreak/>
        <w:t>TFCS-13-03 (Sec) Comparison restructure</w:t>
      </w:r>
      <w:r>
        <w:rPr>
          <w:rFonts w:eastAsiaTheme="minorEastAsia"/>
          <w:lang w:val="en-US" w:eastAsia="ja-JP"/>
        </w:rPr>
        <w:t>d cyber security regulation</w:t>
      </w:r>
    </w:p>
    <w:p w:rsidR="00684FB8" w:rsidRDefault="00684FB8" w:rsidP="00684FB8">
      <w:pPr>
        <w:pStyle w:val="SingleTxtG"/>
        <w:ind w:left="1589" w:right="567" w:firstLine="1"/>
        <w:jc w:val="left"/>
        <w:rPr>
          <w:rFonts w:eastAsiaTheme="minorEastAsia"/>
          <w:lang w:val="en-US" w:eastAsia="ja-JP"/>
        </w:rPr>
      </w:pPr>
      <w:r w:rsidRPr="00EB056A">
        <w:rPr>
          <w:rFonts w:eastAsiaTheme="minorEastAsia"/>
          <w:lang w:val="en-US" w:eastAsia="ja-JP"/>
        </w:rPr>
        <w:t>TFCS-13-04 (Sec) Restructured Draft Regulat</w:t>
      </w:r>
      <w:r>
        <w:rPr>
          <w:rFonts w:eastAsiaTheme="minorEastAsia"/>
          <w:lang w:val="en-US" w:eastAsia="ja-JP"/>
        </w:rPr>
        <w:t>ion on Cyber Security (Annex A)</w:t>
      </w:r>
    </w:p>
    <w:p w:rsidR="00684FB8" w:rsidRDefault="00684FB8" w:rsidP="00684FB8">
      <w:pPr>
        <w:pStyle w:val="SingleTxtG"/>
        <w:ind w:left="1589" w:right="567" w:firstLine="1"/>
        <w:jc w:val="left"/>
        <w:rPr>
          <w:rFonts w:eastAsiaTheme="minorEastAsia"/>
          <w:lang w:val="en-US" w:eastAsia="ja-JP"/>
        </w:rPr>
      </w:pPr>
      <w:r w:rsidRPr="007F758D">
        <w:rPr>
          <w:rFonts w:eastAsiaTheme="minorEastAsia"/>
          <w:lang w:val="en-US" w:eastAsia="ja-JP"/>
        </w:rPr>
        <w:t>TFCS-13-06 (JPN) Comments on restructured Draft Regulation on</w:t>
      </w:r>
      <w:r>
        <w:rPr>
          <w:rFonts w:eastAsiaTheme="minorEastAsia"/>
          <w:lang w:val="en-US" w:eastAsia="ja-JP"/>
        </w:rPr>
        <w:t xml:space="preserve"> Cyber Security (TFCS-13-04)</w:t>
      </w:r>
    </w:p>
    <w:p w:rsidR="00684FB8" w:rsidRDefault="00684FB8" w:rsidP="00684FB8">
      <w:pPr>
        <w:pStyle w:val="SingleTxtG"/>
        <w:ind w:right="567"/>
        <w:jc w:val="left"/>
        <w:rPr>
          <w:rFonts w:eastAsiaTheme="minorEastAsia"/>
          <w:lang w:val="en-US" w:eastAsia="ja-JP"/>
        </w:rPr>
      </w:pPr>
      <w:r>
        <w:rPr>
          <w:rFonts w:eastAsiaTheme="minorEastAsia"/>
          <w:lang w:val="en-US" w:eastAsia="ja-JP"/>
        </w:rPr>
        <w:tab/>
      </w:r>
      <w:r>
        <w:rPr>
          <w:rFonts w:eastAsiaTheme="minorEastAsia"/>
          <w:lang w:val="en-US" w:eastAsia="ja-JP"/>
        </w:rPr>
        <w:tab/>
      </w:r>
      <w:r>
        <w:rPr>
          <w:rFonts w:eastAsiaTheme="minorEastAsia"/>
          <w:lang w:val="en-US" w:eastAsia="ja-JP"/>
        </w:rPr>
        <w:tab/>
      </w:r>
      <w:r w:rsidRPr="007F758D">
        <w:rPr>
          <w:rFonts w:eastAsiaTheme="minorEastAsia"/>
          <w:lang w:val="en-US" w:eastAsia="ja-JP"/>
        </w:rPr>
        <w:t xml:space="preserve">TFCS-13-08 (JPN) Input with regard to Approval Authority and Technical </w:t>
      </w:r>
      <w:proofErr w:type="spellStart"/>
      <w:r w:rsidRPr="007F758D">
        <w:rPr>
          <w:rFonts w:eastAsiaTheme="minorEastAsia"/>
          <w:lang w:val="en-US" w:eastAsia="ja-JP"/>
        </w:rPr>
        <w:t>Service_rev</w:t>
      </w:r>
      <w:proofErr w:type="spellEnd"/>
      <w:r>
        <w:rPr>
          <w:rFonts w:eastAsiaTheme="minorEastAsia"/>
          <w:lang w:val="en-US" w:eastAsia="ja-JP"/>
        </w:rPr>
        <w:t xml:space="preserve"> 2</w:t>
      </w:r>
      <w:r w:rsidRPr="007F758D">
        <w:rPr>
          <w:rFonts w:eastAsiaTheme="minorEastAsia"/>
          <w:lang w:val="en-US" w:eastAsia="ja-JP"/>
        </w:rPr>
        <w:t xml:space="preserve">  </w:t>
      </w:r>
    </w:p>
    <w:p w:rsidR="00684FB8" w:rsidRDefault="00684FB8" w:rsidP="00684FB8">
      <w:pPr>
        <w:pStyle w:val="SingleTxtG"/>
        <w:ind w:left="1587" w:right="567"/>
        <w:jc w:val="left"/>
        <w:rPr>
          <w:rFonts w:eastAsiaTheme="minorEastAsia"/>
          <w:lang w:val="en-US" w:eastAsia="ja-JP"/>
        </w:rPr>
      </w:pPr>
      <w:r w:rsidRPr="007F758D">
        <w:rPr>
          <w:rFonts w:eastAsiaTheme="minorEastAsia"/>
          <w:lang w:val="en-US" w:eastAsia="ja-JP"/>
        </w:rPr>
        <w:t xml:space="preserve">TFCS-13-09 (OICA-CLEPA) Proposal to amend TFCS-13-04 (Restructured Draft Regulation </w:t>
      </w:r>
      <w:r>
        <w:rPr>
          <w:rFonts w:eastAsiaTheme="minorEastAsia"/>
          <w:lang w:val="en-US" w:eastAsia="ja-JP"/>
        </w:rPr>
        <w:t>on Cyber Security - Annex A)</w:t>
      </w:r>
    </w:p>
    <w:p w:rsidR="00684FB8" w:rsidRDefault="00684FB8" w:rsidP="00684FB8">
      <w:pPr>
        <w:pStyle w:val="SingleTxtG"/>
        <w:ind w:left="1587" w:right="567"/>
        <w:jc w:val="left"/>
        <w:rPr>
          <w:rFonts w:eastAsiaTheme="minorEastAsia"/>
          <w:lang w:val="en-US" w:eastAsia="ja-JP"/>
        </w:rPr>
      </w:pPr>
      <w:r w:rsidRPr="007F758D">
        <w:rPr>
          <w:rFonts w:eastAsiaTheme="minorEastAsia"/>
          <w:lang w:val="en-US" w:eastAsia="ja-JP"/>
        </w:rPr>
        <w:t>TFCS-13-10 (OICA-CLEPA) Lifecycle of a vehicle type and lifetime of one vehicle</w:t>
      </w:r>
    </w:p>
    <w:p w:rsidR="00684FB8" w:rsidRDefault="00684FB8" w:rsidP="00684FB8">
      <w:pPr>
        <w:pStyle w:val="SingleTxtG"/>
        <w:ind w:left="1587" w:right="567"/>
        <w:jc w:val="left"/>
        <w:rPr>
          <w:rFonts w:eastAsiaTheme="minorEastAsia"/>
          <w:lang w:val="en-US" w:eastAsia="ja-JP"/>
        </w:rPr>
      </w:pPr>
      <w:r w:rsidRPr="006F4524">
        <w:rPr>
          <w:rFonts w:eastAsiaTheme="minorEastAsia"/>
          <w:lang w:val="en-US" w:eastAsia="ja-JP"/>
        </w:rPr>
        <w:t xml:space="preserve">TFCS 13-11 (CH) Proposal for </w:t>
      </w:r>
      <w:proofErr w:type="spellStart"/>
      <w:r w:rsidRPr="006F4524">
        <w:rPr>
          <w:rFonts w:eastAsiaTheme="minorEastAsia"/>
          <w:lang w:val="en-US" w:eastAsia="ja-JP"/>
        </w:rPr>
        <w:t>TaskForce</w:t>
      </w:r>
      <w:proofErr w:type="spellEnd"/>
      <w:r w:rsidRPr="006F4524">
        <w:rPr>
          <w:rFonts w:eastAsiaTheme="minorEastAsia"/>
          <w:lang w:val="en-US" w:eastAsia="ja-JP"/>
        </w:rPr>
        <w:t xml:space="preserve"> CS-OTA</w:t>
      </w:r>
      <w:r w:rsidRPr="007F758D">
        <w:rPr>
          <w:rFonts w:eastAsiaTheme="minorEastAsia"/>
          <w:lang w:val="en-US" w:eastAsia="ja-JP"/>
        </w:rPr>
        <w:t xml:space="preserve">  </w:t>
      </w:r>
    </w:p>
    <w:p w:rsidR="00684FB8" w:rsidRPr="00684FB8" w:rsidRDefault="00684FB8" w:rsidP="00684FB8">
      <w:pPr>
        <w:pStyle w:val="SingleTxtG"/>
        <w:ind w:left="1589" w:right="567" w:firstLine="1"/>
        <w:jc w:val="left"/>
        <w:rPr>
          <w:rFonts w:eastAsiaTheme="minorEastAsia"/>
          <w:color w:val="0000FF"/>
          <w:lang w:val="en-US" w:eastAsia="ja-JP"/>
        </w:rPr>
      </w:pPr>
      <w:r w:rsidRPr="00684FB8">
        <w:rPr>
          <w:rFonts w:eastAsiaTheme="minorEastAsia"/>
          <w:color w:val="0000FF"/>
          <w:lang w:val="en-US" w:eastAsia="ja-JP"/>
        </w:rPr>
        <w:t xml:space="preserve">TFCS-13-12 (Chair) Draft Regulation on Cyber Security - Annex </w:t>
      </w:r>
      <w:proofErr w:type="gramStart"/>
      <w:r w:rsidRPr="00684FB8">
        <w:rPr>
          <w:rFonts w:eastAsiaTheme="minorEastAsia"/>
          <w:color w:val="0000FF"/>
          <w:lang w:val="en-US" w:eastAsia="ja-JP"/>
        </w:rPr>
        <w:t>A</w:t>
      </w:r>
      <w:proofErr w:type="gramEnd"/>
      <w:r w:rsidRPr="00684FB8">
        <w:rPr>
          <w:rFonts w:eastAsiaTheme="minorEastAsia"/>
          <w:color w:val="0000FF"/>
          <w:lang w:val="en-US" w:eastAsia="ja-JP"/>
        </w:rPr>
        <w:t xml:space="preserve"> - containing OICA-CLEPA and JPN comments.doc</w:t>
      </w:r>
    </w:p>
    <w:p w:rsidR="00E91C72" w:rsidRDefault="00E91C72" w:rsidP="00E91C72">
      <w:pPr>
        <w:pStyle w:val="SingleTxtG"/>
        <w:ind w:left="0" w:right="567"/>
        <w:jc w:val="left"/>
        <w:rPr>
          <w:rFonts w:eastAsiaTheme="minorEastAsia"/>
          <w:color w:val="0000FF"/>
          <w:lang w:val="en-US" w:eastAsia="ja-JP"/>
        </w:rPr>
      </w:pPr>
    </w:p>
    <w:p w:rsidR="00684FB8" w:rsidRDefault="00684FB8" w:rsidP="00E91C72">
      <w:pPr>
        <w:pStyle w:val="SingleTxtG"/>
        <w:ind w:left="0" w:right="567"/>
        <w:jc w:val="left"/>
        <w:rPr>
          <w:rFonts w:eastAsiaTheme="minorEastAsia"/>
          <w:color w:val="0000FF"/>
          <w:lang w:val="en-US" w:eastAsia="ja-JP"/>
        </w:rPr>
      </w:pPr>
      <w:r>
        <w:rPr>
          <w:rFonts w:eastAsiaTheme="minorEastAsia"/>
          <w:color w:val="0000FF"/>
          <w:lang w:val="en-US" w:eastAsia="ja-JP"/>
        </w:rPr>
        <w:t>A presentation was provided by delegates from Japan, TFCS 13-08. The proposed approach to inclusion of text on technical services was accepted.</w:t>
      </w:r>
    </w:p>
    <w:p w:rsidR="00684FB8" w:rsidRDefault="00684FB8" w:rsidP="00E91C72">
      <w:pPr>
        <w:pStyle w:val="SingleTxtG"/>
        <w:ind w:left="0" w:right="567"/>
        <w:jc w:val="left"/>
        <w:rPr>
          <w:rFonts w:eastAsiaTheme="minorEastAsia"/>
          <w:color w:val="0000FF"/>
          <w:lang w:val="en-US" w:eastAsia="ja-JP"/>
        </w:rPr>
      </w:pPr>
      <w:r>
        <w:rPr>
          <w:rFonts w:eastAsiaTheme="minorEastAsia"/>
          <w:color w:val="0000FF"/>
          <w:lang w:val="en-US" w:eastAsia="ja-JP"/>
        </w:rPr>
        <w:t>A presentation was provided by the delegat</w:t>
      </w:r>
      <w:r w:rsidR="0003089B">
        <w:rPr>
          <w:rFonts w:eastAsiaTheme="minorEastAsia"/>
          <w:color w:val="0000FF"/>
          <w:lang w:val="en-US" w:eastAsia="ja-JP"/>
        </w:rPr>
        <w:t xml:space="preserve">e from Switzerland, TFCS 13-11, on self-certification. Delegates from contracting parties and those representing manufacturers confirmed that they are content with the current proposal. Some delegates questioned whether the approach suggested </w:t>
      </w:r>
      <w:r w:rsidR="00940C52">
        <w:rPr>
          <w:rFonts w:eastAsiaTheme="minorEastAsia"/>
          <w:color w:val="0000FF"/>
          <w:lang w:val="en-US" w:eastAsia="ja-JP"/>
        </w:rPr>
        <w:t xml:space="preserve">by CH </w:t>
      </w:r>
      <w:r w:rsidR="0003089B">
        <w:rPr>
          <w:rFonts w:eastAsiaTheme="minorEastAsia"/>
          <w:color w:val="0000FF"/>
          <w:lang w:val="en-US" w:eastAsia="ja-JP"/>
        </w:rPr>
        <w:t xml:space="preserve">would be possible to implement and might itself add unintended burden on authorities and industry. It was accepted that the approach suggested </w:t>
      </w:r>
      <w:r w:rsidR="00940C52">
        <w:rPr>
          <w:rFonts w:eastAsiaTheme="minorEastAsia"/>
          <w:color w:val="0000FF"/>
          <w:lang w:val="en-US" w:eastAsia="ja-JP"/>
        </w:rPr>
        <w:t xml:space="preserve">by CH </w:t>
      </w:r>
      <w:r w:rsidR="0003089B">
        <w:rPr>
          <w:rFonts w:eastAsiaTheme="minorEastAsia"/>
          <w:color w:val="0000FF"/>
          <w:lang w:val="en-US" w:eastAsia="ja-JP"/>
        </w:rPr>
        <w:t xml:space="preserve">could be considered at a future point if the </w:t>
      </w:r>
      <w:r w:rsidR="00A643B2">
        <w:rPr>
          <w:rFonts w:eastAsiaTheme="minorEastAsia"/>
          <w:color w:val="0000FF"/>
          <w:lang w:val="en-US" w:eastAsia="ja-JP"/>
        </w:rPr>
        <w:t>proposed</w:t>
      </w:r>
      <w:r w:rsidR="0003089B">
        <w:rPr>
          <w:rFonts w:eastAsiaTheme="minorEastAsia"/>
          <w:color w:val="0000FF"/>
          <w:lang w:val="en-US" w:eastAsia="ja-JP"/>
        </w:rPr>
        <w:t xml:space="preserve"> regulations require review. </w:t>
      </w:r>
    </w:p>
    <w:p w:rsidR="0003089B" w:rsidRDefault="0003089B" w:rsidP="00E91C72">
      <w:pPr>
        <w:pStyle w:val="SingleTxtG"/>
        <w:ind w:left="0" w:right="567"/>
        <w:jc w:val="left"/>
        <w:rPr>
          <w:rFonts w:eastAsiaTheme="minorEastAsia"/>
          <w:color w:val="0000FF"/>
          <w:lang w:val="en-US" w:eastAsia="ja-JP"/>
        </w:rPr>
      </w:pPr>
      <w:r>
        <w:rPr>
          <w:rFonts w:eastAsiaTheme="minorEastAsia"/>
          <w:color w:val="0000FF"/>
          <w:lang w:val="en-US" w:eastAsia="ja-JP"/>
        </w:rPr>
        <w:t xml:space="preserve">A presentation was provided by OICA-CLEPA, TFCS 13-10, on the </w:t>
      </w:r>
      <w:r w:rsidR="00A643B2">
        <w:rPr>
          <w:rFonts w:eastAsiaTheme="minorEastAsia"/>
          <w:color w:val="0000FF"/>
          <w:lang w:val="en-US" w:eastAsia="ja-JP"/>
        </w:rPr>
        <w:t xml:space="preserve">legal </w:t>
      </w:r>
      <w:r>
        <w:rPr>
          <w:rFonts w:eastAsiaTheme="minorEastAsia"/>
          <w:color w:val="0000FF"/>
          <w:lang w:val="en-US" w:eastAsia="ja-JP"/>
        </w:rPr>
        <w:t xml:space="preserve">limitations of the 1958 </w:t>
      </w:r>
      <w:r w:rsidR="002D5ABE">
        <w:rPr>
          <w:rFonts w:eastAsiaTheme="minorEastAsia"/>
          <w:color w:val="0000FF"/>
          <w:lang w:val="en-US" w:eastAsia="ja-JP"/>
        </w:rPr>
        <w:t>A</w:t>
      </w:r>
      <w:r>
        <w:rPr>
          <w:rFonts w:eastAsiaTheme="minorEastAsia"/>
          <w:color w:val="0000FF"/>
          <w:lang w:val="en-US" w:eastAsia="ja-JP"/>
        </w:rPr>
        <w:t xml:space="preserve">greement. It was </w:t>
      </w:r>
      <w:r w:rsidR="00940C52">
        <w:rPr>
          <w:rFonts w:eastAsiaTheme="minorEastAsia"/>
          <w:color w:val="0000FF"/>
          <w:lang w:val="en-US" w:eastAsia="ja-JP"/>
        </w:rPr>
        <w:t>agreed</w:t>
      </w:r>
      <w:r>
        <w:rPr>
          <w:rFonts w:eastAsiaTheme="minorEastAsia"/>
          <w:color w:val="0000FF"/>
          <w:lang w:val="en-US" w:eastAsia="ja-JP"/>
        </w:rPr>
        <w:t xml:space="preserve"> that the </w:t>
      </w:r>
      <w:r w:rsidR="00940C52">
        <w:rPr>
          <w:rFonts w:eastAsiaTheme="minorEastAsia"/>
          <w:color w:val="0000FF"/>
          <w:lang w:val="en-US" w:eastAsia="ja-JP"/>
        </w:rPr>
        <w:t xml:space="preserve">proposed </w:t>
      </w:r>
      <w:r w:rsidR="002D5ABE">
        <w:rPr>
          <w:rFonts w:eastAsiaTheme="minorEastAsia"/>
          <w:color w:val="0000FF"/>
          <w:lang w:val="en-US" w:eastAsia="ja-JP"/>
        </w:rPr>
        <w:t>UN R</w:t>
      </w:r>
      <w:r w:rsidR="00A643B2">
        <w:rPr>
          <w:rFonts w:eastAsiaTheme="minorEastAsia"/>
          <w:color w:val="0000FF"/>
          <w:lang w:val="en-US" w:eastAsia="ja-JP"/>
        </w:rPr>
        <w:t>egulation</w:t>
      </w:r>
      <w:r>
        <w:rPr>
          <w:rFonts w:eastAsiaTheme="minorEastAsia"/>
          <w:color w:val="0000FF"/>
          <w:lang w:val="en-US" w:eastAsia="ja-JP"/>
        </w:rPr>
        <w:t xml:space="preserve"> on </w:t>
      </w:r>
      <w:r w:rsidR="002D5ABE">
        <w:rPr>
          <w:rFonts w:eastAsiaTheme="minorEastAsia"/>
          <w:color w:val="0000FF"/>
          <w:lang w:val="en-US" w:eastAsia="ja-JP"/>
        </w:rPr>
        <w:t>C</w:t>
      </w:r>
      <w:r>
        <w:rPr>
          <w:rFonts w:eastAsiaTheme="minorEastAsia"/>
          <w:color w:val="0000FF"/>
          <w:lang w:val="en-US" w:eastAsia="ja-JP"/>
        </w:rPr>
        <w:t xml:space="preserve">yber </w:t>
      </w:r>
      <w:r w:rsidR="002D5ABE">
        <w:rPr>
          <w:rFonts w:eastAsiaTheme="minorEastAsia"/>
          <w:color w:val="0000FF"/>
          <w:lang w:val="en-US" w:eastAsia="ja-JP"/>
        </w:rPr>
        <w:t>S</w:t>
      </w:r>
      <w:r>
        <w:rPr>
          <w:rFonts w:eastAsiaTheme="minorEastAsia"/>
          <w:color w:val="0000FF"/>
          <w:lang w:val="en-US" w:eastAsia="ja-JP"/>
        </w:rPr>
        <w:t xml:space="preserve">ecurity should not include requirements that would be </w:t>
      </w:r>
      <w:r w:rsidR="00940C52">
        <w:rPr>
          <w:rFonts w:eastAsiaTheme="minorEastAsia"/>
          <w:color w:val="0000FF"/>
          <w:lang w:val="en-US" w:eastAsia="ja-JP"/>
        </w:rPr>
        <w:t>assessed</w:t>
      </w:r>
      <w:r>
        <w:rPr>
          <w:rFonts w:eastAsiaTheme="minorEastAsia"/>
          <w:color w:val="0000FF"/>
          <w:lang w:val="en-US" w:eastAsia="ja-JP"/>
        </w:rPr>
        <w:t xml:space="preserve"> post-production </w:t>
      </w:r>
      <w:r w:rsidR="00940C52">
        <w:rPr>
          <w:rFonts w:eastAsiaTheme="minorEastAsia"/>
          <w:color w:val="0000FF"/>
          <w:lang w:val="en-US" w:eastAsia="ja-JP"/>
        </w:rPr>
        <w:t xml:space="preserve">(after approval is given) </w:t>
      </w:r>
      <w:r>
        <w:rPr>
          <w:rFonts w:eastAsiaTheme="minorEastAsia"/>
          <w:color w:val="0000FF"/>
          <w:lang w:val="en-US" w:eastAsia="ja-JP"/>
        </w:rPr>
        <w:t xml:space="preserve">but it could require processes that would be applied post-production to be assessed during an approval process. </w:t>
      </w:r>
      <w:r w:rsidR="00A643B2">
        <w:rPr>
          <w:rFonts w:eastAsiaTheme="minorEastAsia"/>
          <w:color w:val="0000FF"/>
          <w:lang w:val="en-US" w:eastAsia="ja-JP"/>
        </w:rPr>
        <w:t xml:space="preserve">The recommendation was amended to reflect this. </w:t>
      </w:r>
      <w:r>
        <w:rPr>
          <w:rFonts w:eastAsiaTheme="minorEastAsia"/>
          <w:color w:val="0000FF"/>
          <w:lang w:val="en-US" w:eastAsia="ja-JP"/>
        </w:rPr>
        <w:t xml:space="preserve">It was noted that some parts of the recommendation would need to be </w:t>
      </w:r>
      <w:r w:rsidR="00A643B2">
        <w:rPr>
          <w:rFonts w:eastAsiaTheme="minorEastAsia"/>
          <w:color w:val="0000FF"/>
          <w:lang w:val="en-US" w:eastAsia="ja-JP"/>
        </w:rPr>
        <w:t>checked</w:t>
      </w:r>
      <w:r>
        <w:rPr>
          <w:rFonts w:eastAsiaTheme="minorEastAsia"/>
          <w:color w:val="0000FF"/>
          <w:lang w:val="en-US" w:eastAsia="ja-JP"/>
        </w:rPr>
        <w:t xml:space="preserve"> </w:t>
      </w:r>
      <w:r w:rsidR="00940C52">
        <w:rPr>
          <w:rFonts w:eastAsiaTheme="minorEastAsia"/>
          <w:color w:val="0000FF"/>
          <w:lang w:val="en-US" w:eastAsia="ja-JP"/>
        </w:rPr>
        <w:t xml:space="preserve">to confirm </w:t>
      </w:r>
      <w:r>
        <w:rPr>
          <w:rFonts w:eastAsiaTheme="minorEastAsia"/>
          <w:color w:val="0000FF"/>
          <w:lang w:val="en-US" w:eastAsia="ja-JP"/>
        </w:rPr>
        <w:t xml:space="preserve">that they are permissible within the 1958 </w:t>
      </w:r>
      <w:proofErr w:type="gramStart"/>
      <w:r w:rsidR="002D5ABE">
        <w:rPr>
          <w:rFonts w:eastAsiaTheme="minorEastAsia"/>
          <w:color w:val="0000FF"/>
          <w:lang w:val="en-US" w:eastAsia="ja-JP"/>
        </w:rPr>
        <w:t>A</w:t>
      </w:r>
      <w:r>
        <w:rPr>
          <w:rFonts w:eastAsiaTheme="minorEastAsia"/>
          <w:color w:val="0000FF"/>
          <w:lang w:val="en-US" w:eastAsia="ja-JP"/>
        </w:rPr>
        <w:t>greement,</w:t>
      </w:r>
      <w:proofErr w:type="gramEnd"/>
      <w:r>
        <w:rPr>
          <w:rFonts w:eastAsiaTheme="minorEastAsia"/>
          <w:color w:val="0000FF"/>
          <w:lang w:val="en-US" w:eastAsia="ja-JP"/>
        </w:rPr>
        <w:t xml:space="preserve"> </w:t>
      </w:r>
      <w:r w:rsidR="00940C52">
        <w:rPr>
          <w:rFonts w:eastAsiaTheme="minorEastAsia"/>
          <w:color w:val="0000FF"/>
          <w:lang w:val="en-US" w:eastAsia="ja-JP"/>
        </w:rPr>
        <w:t>these areas are</w:t>
      </w:r>
      <w:r>
        <w:rPr>
          <w:rFonts w:eastAsiaTheme="minorEastAsia"/>
          <w:color w:val="0000FF"/>
          <w:lang w:val="en-US" w:eastAsia="ja-JP"/>
        </w:rPr>
        <w:t xml:space="preserve"> highlighted </w:t>
      </w:r>
      <w:r w:rsidR="002D5ABE">
        <w:rPr>
          <w:rFonts w:eastAsiaTheme="minorEastAsia"/>
          <w:color w:val="0000FF"/>
          <w:lang w:val="en-US" w:eastAsia="ja-JP"/>
        </w:rPr>
        <w:t xml:space="preserve">in </w:t>
      </w:r>
      <w:r>
        <w:rPr>
          <w:rFonts w:eastAsiaTheme="minorEastAsia"/>
          <w:color w:val="0000FF"/>
          <w:lang w:val="en-US" w:eastAsia="ja-JP"/>
        </w:rPr>
        <w:t>Chapter 7 of the recommendation.</w:t>
      </w:r>
    </w:p>
    <w:p w:rsidR="00E91C72" w:rsidRDefault="0003089B" w:rsidP="00E91C72">
      <w:pPr>
        <w:pStyle w:val="SingleTxtG"/>
        <w:ind w:left="0" w:right="567"/>
        <w:jc w:val="left"/>
        <w:rPr>
          <w:color w:val="0000FF"/>
          <w:lang w:val="en-US"/>
        </w:rPr>
      </w:pPr>
      <w:r>
        <w:rPr>
          <w:rFonts w:eastAsiaTheme="minorEastAsia"/>
          <w:color w:val="0000FF"/>
          <w:lang w:val="en-US" w:eastAsia="ja-JP"/>
        </w:rPr>
        <w:t xml:space="preserve">The cyber security paper was reviewed. </w:t>
      </w:r>
      <w:r w:rsidR="00100D83">
        <w:rPr>
          <w:rFonts w:eastAsiaTheme="minorEastAsia"/>
          <w:color w:val="0000FF"/>
          <w:lang w:val="en-US" w:eastAsia="ja-JP"/>
        </w:rPr>
        <w:t xml:space="preserve">Document </w:t>
      </w:r>
      <w:r w:rsidR="00100D83" w:rsidRPr="008C2E0F">
        <w:rPr>
          <w:color w:val="0000FF"/>
          <w:lang w:val="en-US"/>
        </w:rPr>
        <w:t>TFCS-</w:t>
      </w:r>
      <w:r w:rsidR="00684FB8" w:rsidRPr="00684FB8">
        <w:rPr>
          <w:rFonts w:eastAsiaTheme="minorEastAsia"/>
          <w:color w:val="0000FF"/>
          <w:lang w:val="en-US" w:eastAsia="ja-JP"/>
        </w:rPr>
        <w:t xml:space="preserve">13-12 </w:t>
      </w:r>
      <w:r w:rsidR="00100D83">
        <w:rPr>
          <w:color w:val="0000FF"/>
          <w:lang w:val="en-US"/>
        </w:rPr>
        <w:t>was used as the basis for the discussions.</w:t>
      </w:r>
      <w:r>
        <w:rPr>
          <w:color w:val="0000FF"/>
          <w:lang w:val="en-US"/>
        </w:rPr>
        <w:t xml:space="preserve"> The output was recorded as </w:t>
      </w:r>
      <w:r w:rsidRPr="0003089B">
        <w:rPr>
          <w:color w:val="0000FF"/>
          <w:lang w:val="en-US"/>
        </w:rPr>
        <w:t>TFCS-13-16 (Sec) Draft Recommendation on Cyber Security incl. Annex A-D (after TFCS-13 day 1).docx</w:t>
      </w:r>
      <w:r>
        <w:rPr>
          <w:color w:val="0000FF"/>
          <w:lang w:val="en-US"/>
        </w:rPr>
        <w:t xml:space="preserve"> and then </w:t>
      </w:r>
      <w:r w:rsidRPr="0003089B">
        <w:rPr>
          <w:color w:val="0000FF"/>
          <w:lang w:val="en-US"/>
        </w:rPr>
        <w:t>TFCS-13-18 (Sec) Final Draft Recommendation on Cyber Security incl. Annex A-D.docx</w:t>
      </w:r>
      <w:r>
        <w:rPr>
          <w:color w:val="0000FF"/>
          <w:lang w:val="en-US"/>
        </w:rPr>
        <w:t>. Points of note:</w:t>
      </w:r>
    </w:p>
    <w:p w:rsidR="0003089B" w:rsidRDefault="0003089B" w:rsidP="0003089B">
      <w:pPr>
        <w:pStyle w:val="SingleTxtG"/>
        <w:numPr>
          <w:ilvl w:val="0"/>
          <w:numId w:val="20"/>
        </w:numPr>
        <w:ind w:right="567"/>
        <w:jc w:val="left"/>
        <w:rPr>
          <w:color w:val="0000FF"/>
          <w:lang w:val="en-US"/>
        </w:rPr>
      </w:pPr>
      <w:r>
        <w:rPr>
          <w:color w:val="0000FF"/>
          <w:lang w:val="en-US"/>
        </w:rPr>
        <w:t xml:space="preserve">The restructuring of </w:t>
      </w:r>
      <w:r w:rsidR="006C0B03">
        <w:rPr>
          <w:color w:val="0000FF"/>
          <w:lang w:val="en-US"/>
        </w:rPr>
        <w:t>A</w:t>
      </w:r>
      <w:r>
        <w:rPr>
          <w:color w:val="0000FF"/>
          <w:lang w:val="en-US"/>
        </w:rPr>
        <w:t>nnex A to fit standard UNECE formats was accepted</w:t>
      </w:r>
      <w:r w:rsidR="001F65C7">
        <w:rPr>
          <w:color w:val="0000FF"/>
          <w:lang w:val="en-US"/>
        </w:rPr>
        <w:t xml:space="preserve"> and its text was refined</w:t>
      </w:r>
    </w:p>
    <w:p w:rsidR="001F65C7" w:rsidRDefault="001F65C7" w:rsidP="0003089B">
      <w:pPr>
        <w:pStyle w:val="SingleTxtG"/>
        <w:numPr>
          <w:ilvl w:val="0"/>
          <w:numId w:val="20"/>
        </w:numPr>
        <w:ind w:right="567"/>
        <w:jc w:val="left"/>
        <w:rPr>
          <w:color w:val="0000FF"/>
          <w:lang w:val="en-US"/>
        </w:rPr>
      </w:pPr>
      <w:r>
        <w:rPr>
          <w:color w:val="0000FF"/>
          <w:lang w:val="en-US"/>
        </w:rPr>
        <w:t xml:space="preserve">Annex 1 of Annex A was renumbered </w:t>
      </w:r>
    </w:p>
    <w:p w:rsidR="0003089B" w:rsidRDefault="0003089B" w:rsidP="0003089B">
      <w:pPr>
        <w:pStyle w:val="SingleTxtG"/>
        <w:numPr>
          <w:ilvl w:val="0"/>
          <w:numId w:val="20"/>
        </w:numPr>
        <w:ind w:right="567"/>
        <w:jc w:val="left"/>
        <w:rPr>
          <w:color w:val="0000FF"/>
          <w:lang w:val="en-US"/>
        </w:rPr>
      </w:pPr>
      <w:r>
        <w:rPr>
          <w:color w:val="0000FF"/>
          <w:lang w:val="en-US"/>
        </w:rPr>
        <w:t>The definitions were refined, particularly those of risk and cyber security</w:t>
      </w:r>
    </w:p>
    <w:p w:rsidR="001F65C7" w:rsidRDefault="001F65C7" w:rsidP="0003089B">
      <w:pPr>
        <w:pStyle w:val="SingleTxtG"/>
        <w:numPr>
          <w:ilvl w:val="0"/>
          <w:numId w:val="20"/>
        </w:numPr>
        <w:ind w:right="567"/>
        <w:jc w:val="left"/>
        <w:rPr>
          <w:color w:val="0000FF"/>
          <w:lang w:val="en-US"/>
        </w:rPr>
      </w:pPr>
      <w:r>
        <w:rPr>
          <w:color w:val="0000FF"/>
          <w:lang w:val="en-US"/>
        </w:rPr>
        <w:lastRenderedPageBreak/>
        <w:t xml:space="preserve">The recommendations were refined, with additional recommendations on the limits of the 1958 </w:t>
      </w:r>
      <w:r w:rsidR="002D5ABE">
        <w:rPr>
          <w:color w:val="0000FF"/>
          <w:lang w:val="en-US"/>
        </w:rPr>
        <w:t>A</w:t>
      </w:r>
      <w:r>
        <w:rPr>
          <w:color w:val="0000FF"/>
          <w:lang w:val="en-US"/>
        </w:rPr>
        <w:t>greement with regards through life issues highlighted and areas which need to be verified as being permissible within it.</w:t>
      </w:r>
    </w:p>
    <w:p w:rsidR="001F65C7" w:rsidRDefault="001F65C7" w:rsidP="0003089B">
      <w:pPr>
        <w:pStyle w:val="SingleTxtG"/>
        <w:numPr>
          <w:ilvl w:val="0"/>
          <w:numId w:val="20"/>
        </w:numPr>
        <w:ind w:right="567"/>
        <w:jc w:val="left"/>
        <w:rPr>
          <w:color w:val="0000FF"/>
          <w:lang w:val="en-US"/>
        </w:rPr>
      </w:pPr>
      <w:r>
        <w:rPr>
          <w:color w:val="0000FF"/>
          <w:lang w:val="en-US"/>
        </w:rPr>
        <w:t xml:space="preserve">The </w:t>
      </w:r>
      <w:r w:rsidR="00A643B2">
        <w:rPr>
          <w:color w:val="0000FF"/>
          <w:lang w:val="en-US"/>
        </w:rPr>
        <w:t>“</w:t>
      </w:r>
      <w:r w:rsidR="002D5ABE">
        <w:rPr>
          <w:color w:val="0000FF"/>
          <w:lang w:val="en-US"/>
        </w:rPr>
        <w:t>C</w:t>
      </w:r>
      <w:r>
        <w:rPr>
          <w:color w:val="0000FF"/>
          <w:lang w:val="en-US"/>
        </w:rPr>
        <w:t xml:space="preserve">ertificate of </w:t>
      </w:r>
      <w:r w:rsidR="002D5ABE">
        <w:rPr>
          <w:color w:val="0000FF"/>
          <w:lang w:val="en-US"/>
        </w:rPr>
        <w:t>C</w:t>
      </w:r>
      <w:r>
        <w:rPr>
          <w:color w:val="0000FF"/>
          <w:lang w:val="en-US"/>
        </w:rPr>
        <w:t>ompliance</w:t>
      </w:r>
      <w:r w:rsidR="00A643B2">
        <w:rPr>
          <w:color w:val="0000FF"/>
          <w:lang w:val="en-US"/>
        </w:rPr>
        <w:t>”</w:t>
      </w:r>
      <w:r>
        <w:rPr>
          <w:color w:val="0000FF"/>
          <w:lang w:val="en-US"/>
        </w:rPr>
        <w:t xml:space="preserve"> was renamed “</w:t>
      </w:r>
      <w:r w:rsidR="002D5ABE">
        <w:rPr>
          <w:color w:val="0000FF"/>
          <w:lang w:val="en-US"/>
        </w:rPr>
        <w:t>C</w:t>
      </w:r>
      <w:r>
        <w:rPr>
          <w:color w:val="0000FF"/>
          <w:lang w:val="en-US"/>
        </w:rPr>
        <w:t xml:space="preserve">yber </w:t>
      </w:r>
      <w:r w:rsidR="002D5ABE">
        <w:rPr>
          <w:color w:val="0000FF"/>
          <w:lang w:val="en-US"/>
        </w:rPr>
        <w:t>S</w:t>
      </w:r>
      <w:r>
        <w:rPr>
          <w:color w:val="0000FF"/>
          <w:lang w:val="en-US"/>
        </w:rPr>
        <w:t xml:space="preserve">ecurity </w:t>
      </w:r>
      <w:r w:rsidR="002D5ABE">
        <w:rPr>
          <w:color w:val="0000FF"/>
          <w:lang w:val="en-US"/>
        </w:rPr>
        <w:t>Management System (CSMS) C</w:t>
      </w:r>
      <w:r>
        <w:rPr>
          <w:color w:val="0000FF"/>
          <w:lang w:val="en-US"/>
        </w:rPr>
        <w:t xml:space="preserve">ertificate of </w:t>
      </w:r>
      <w:r w:rsidR="002D5ABE">
        <w:rPr>
          <w:color w:val="0000FF"/>
          <w:lang w:val="en-US"/>
        </w:rPr>
        <w:t>C</w:t>
      </w:r>
      <w:r>
        <w:rPr>
          <w:color w:val="0000FF"/>
          <w:lang w:val="en-US"/>
        </w:rPr>
        <w:t>ompliance”</w:t>
      </w:r>
      <w:r w:rsidR="00A643B2">
        <w:rPr>
          <w:color w:val="0000FF"/>
          <w:lang w:val="en-US"/>
        </w:rPr>
        <w:t xml:space="preserve"> to avoid confusion with other uses of the same term</w:t>
      </w:r>
      <w:r>
        <w:rPr>
          <w:color w:val="0000FF"/>
          <w:lang w:val="en-US"/>
        </w:rPr>
        <w:t xml:space="preserve">. </w:t>
      </w:r>
    </w:p>
    <w:p w:rsidR="001F65C7" w:rsidRDefault="001F65C7" w:rsidP="0003089B">
      <w:pPr>
        <w:pStyle w:val="SingleTxtG"/>
        <w:numPr>
          <w:ilvl w:val="0"/>
          <w:numId w:val="20"/>
        </w:numPr>
        <w:ind w:right="567"/>
        <w:jc w:val="left"/>
        <w:rPr>
          <w:color w:val="0000FF"/>
          <w:lang w:val="en-US"/>
        </w:rPr>
      </w:pPr>
      <w:r>
        <w:rPr>
          <w:color w:val="0000FF"/>
          <w:lang w:val="en-US"/>
        </w:rPr>
        <w:t xml:space="preserve">All chapters of the document were reviewed and all changes accepted and all comments agreed to be removed. </w:t>
      </w:r>
    </w:p>
    <w:p w:rsidR="001F65C7" w:rsidRDefault="001F65C7" w:rsidP="001F65C7">
      <w:pPr>
        <w:pStyle w:val="SingleTxtG"/>
        <w:numPr>
          <w:ilvl w:val="0"/>
          <w:numId w:val="20"/>
        </w:numPr>
        <w:ind w:right="567"/>
        <w:jc w:val="left"/>
        <w:rPr>
          <w:color w:val="0000FF"/>
          <w:lang w:val="en-US"/>
        </w:rPr>
      </w:pPr>
      <w:r>
        <w:rPr>
          <w:color w:val="0000FF"/>
          <w:lang w:val="en-US"/>
        </w:rPr>
        <w:t xml:space="preserve">It was noted that the document does not provide text in the format of a resolution. Therefore the paper will be submitted as a recommendation containing guidance and a draft </w:t>
      </w:r>
      <w:r w:rsidR="002D5ABE">
        <w:rPr>
          <w:color w:val="0000FF"/>
          <w:lang w:val="en-US"/>
        </w:rPr>
        <w:t>UN R</w:t>
      </w:r>
      <w:r>
        <w:rPr>
          <w:color w:val="0000FF"/>
          <w:lang w:val="en-US"/>
        </w:rPr>
        <w:t xml:space="preserve">egulation. If the paper is submitted to WP29 </w:t>
      </w:r>
      <w:r w:rsidR="00EF5B66">
        <w:rPr>
          <w:color w:val="0000FF"/>
          <w:lang w:val="en-US"/>
        </w:rPr>
        <w:t xml:space="preserve">it </w:t>
      </w:r>
      <w:r w:rsidR="002D5ABE">
        <w:rPr>
          <w:color w:val="0000FF"/>
          <w:lang w:val="en-US"/>
        </w:rPr>
        <w:t>will be</w:t>
      </w:r>
      <w:r w:rsidR="00EF5B66">
        <w:rPr>
          <w:color w:val="0000FF"/>
          <w:lang w:val="en-US"/>
        </w:rPr>
        <w:t xml:space="preserve">come an </w:t>
      </w:r>
      <w:r>
        <w:rPr>
          <w:color w:val="0000FF"/>
          <w:lang w:val="en-US"/>
        </w:rPr>
        <w:t>official working paper of WP29</w:t>
      </w:r>
      <w:r w:rsidR="00EF5B66">
        <w:rPr>
          <w:color w:val="0000FF"/>
          <w:lang w:val="en-US"/>
        </w:rPr>
        <w:t xml:space="preserve"> and therefore officially registered and publically available.</w:t>
      </w:r>
      <w:r>
        <w:rPr>
          <w:color w:val="0000FF"/>
          <w:lang w:val="en-US"/>
        </w:rPr>
        <w:t xml:space="preserve"> </w:t>
      </w:r>
    </w:p>
    <w:p w:rsidR="001F65C7" w:rsidRDefault="001F65C7" w:rsidP="001F65C7">
      <w:pPr>
        <w:pStyle w:val="SingleTxtG"/>
        <w:numPr>
          <w:ilvl w:val="0"/>
          <w:numId w:val="20"/>
        </w:numPr>
        <w:ind w:right="567"/>
        <w:jc w:val="left"/>
        <w:rPr>
          <w:color w:val="0000FF"/>
          <w:lang w:val="en-US"/>
        </w:rPr>
      </w:pPr>
      <w:r>
        <w:rPr>
          <w:color w:val="0000FF"/>
          <w:lang w:val="en-US"/>
        </w:rPr>
        <w:t>ITU-T proposed text to include reference</w:t>
      </w:r>
      <w:r w:rsidR="00A643B2">
        <w:rPr>
          <w:color w:val="0000FF"/>
          <w:lang w:val="en-US"/>
        </w:rPr>
        <w:t>s</w:t>
      </w:r>
      <w:r>
        <w:rPr>
          <w:color w:val="0000FF"/>
          <w:lang w:val="en-US"/>
        </w:rPr>
        <w:t xml:space="preserve"> to STIX and TAXI. This was not included as industry does not currently use this. It was </w:t>
      </w:r>
      <w:r w:rsidR="00A643B2">
        <w:rPr>
          <w:color w:val="0000FF"/>
          <w:lang w:val="en-US"/>
        </w:rPr>
        <w:t>agreed</w:t>
      </w:r>
      <w:r>
        <w:rPr>
          <w:color w:val="0000FF"/>
          <w:lang w:val="en-US"/>
        </w:rPr>
        <w:t xml:space="preserve"> that these should be considered for inclusion in a future revision. </w:t>
      </w:r>
    </w:p>
    <w:p w:rsidR="006C0B03" w:rsidRDefault="006C0B03" w:rsidP="001F65C7">
      <w:pPr>
        <w:pStyle w:val="SingleTxtG"/>
        <w:numPr>
          <w:ilvl w:val="0"/>
          <w:numId w:val="20"/>
        </w:numPr>
        <w:ind w:right="567"/>
        <w:jc w:val="left"/>
        <w:rPr>
          <w:color w:val="0000FF"/>
          <w:lang w:val="en-US"/>
        </w:rPr>
      </w:pPr>
      <w:r>
        <w:rPr>
          <w:color w:val="0000FF"/>
          <w:lang w:val="en-US"/>
        </w:rPr>
        <w:t xml:space="preserve">Recommendations were added on the subjects of having a test phase to verify that the proposed regulatory approach works sufficiently well for type approval purposes and on the need for sufficient lead time for mandatory application of the requirements since vehicle architectures are affected and organizational measures have to be implemented. </w:t>
      </w:r>
    </w:p>
    <w:p w:rsidR="00940C52" w:rsidRDefault="001F65C7" w:rsidP="00940C52">
      <w:pPr>
        <w:pStyle w:val="SingleTxtG"/>
        <w:ind w:left="0" w:right="567"/>
        <w:jc w:val="left"/>
        <w:rPr>
          <w:color w:val="0000FF"/>
          <w:lang w:val="en-US"/>
        </w:rPr>
      </w:pPr>
      <w:r>
        <w:rPr>
          <w:color w:val="0000FF"/>
          <w:lang w:val="en-US"/>
        </w:rPr>
        <w:t>At the end of the meeting the paper was accepted as being complete by the task force</w:t>
      </w:r>
      <w:r w:rsidR="00940C52">
        <w:rPr>
          <w:color w:val="0000FF"/>
          <w:lang w:val="en-US"/>
        </w:rPr>
        <w:t xml:space="preserve">. </w:t>
      </w:r>
    </w:p>
    <w:p w:rsidR="008427D3" w:rsidRDefault="00940C52" w:rsidP="00940C52">
      <w:pPr>
        <w:pStyle w:val="SingleTxtG"/>
        <w:ind w:left="0" w:right="567"/>
        <w:jc w:val="left"/>
        <w:rPr>
          <w:color w:val="0000FF"/>
          <w:lang w:val="en-US"/>
        </w:rPr>
      </w:pPr>
      <w:r>
        <w:rPr>
          <w:color w:val="0000FF"/>
          <w:lang w:val="en-US"/>
        </w:rPr>
        <w:t xml:space="preserve">The final, clean, document was provided to GRVA as </w:t>
      </w:r>
      <w:hyperlink r:id="rId9" w:history="1">
        <w:r>
          <w:rPr>
            <w:rStyle w:val="Hyperlink"/>
          </w:rPr>
          <w:t>GRVA-01-17</w:t>
        </w:r>
      </w:hyperlink>
      <w:r>
        <w:t>.</w:t>
      </w:r>
      <w:r w:rsidR="004F3CEF">
        <w:rPr>
          <w:color w:val="0000FF"/>
          <w:lang w:val="en-US"/>
        </w:rPr>
        <w:t xml:space="preserve"> </w:t>
      </w:r>
    </w:p>
    <w:p w:rsidR="006670FF" w:rsidRPr="003C20B7" w:rsidRDefault="006670FF" w:rsidP="00522D3A">
      <w:pPr>
        <w:pStyle w:val="SingleTxtG"/>
        <w:ind w:left="0" w:right="567"/>
        <w:rPr>
          <w:lang w:val="en-US"/>
        </w:rPr>
      </w:pPr>
      <w:r w:rsidRPr="003C20B7">
        <w:rPr>
          <w:lang w:val="en-US"/>
        </w:rPr>
        <w:tab/>
      </w:r>
      <w:r w:rsidRPr="003C20B7">
        <w:rPr>
          <w:lang w:val="en-US"/>
        </w:rPr>
        <w:tab/>
      </w:r>
      <w:r w:rsidRPr="003C20B7">
        <w:rPr>
          <w:lang w:val="en-US"/>
        </w:rPr>
        <w:tab/>
      </w:r>
      <w:r w:rsidRPr="003C20B7">
        <w:rPr>
          <w:lang w:val="en-US"/>
        </w:rPr>
        <w:tab/>
      </w:r>
    </w:p>
    <w:p w:rsidR="00380AC3" w:rsidRPr="003C20B7" w:rsidRDefault="001C1185" w:rsidP="00522D3A">
      <w:pPr>
        <w:autoSpaceDE w:val="0"/>
        <w:autoSpaceDN w:val="0"/>
        <w:adjustRightInd w:val="0"/>
        <w:spacing w:after="120" w:line="240" w:lineRule="atLeast"/>
        <w:ind w:right="1134"/>
        <w:jc w:val="center"/>
        <w:rPr>
          <w:rFonts w:ascii="Times New Roman" w:hAnsi="Times New Roman"/>
          <w:color w:val="000000"/>
          <w:kern w:val="0"/>
          <w:sz w:val="28"/>
          <w:szCs w:val="28"/>
          <w:u w:val="single"/>
        </w:rPr>
      </w:pPr>
      <w:r w:rsidRPr="003C20B7">
        <w:rPr>
          <w:rFonts w:ascii="Times New Roman" w:hAnsi="Times New Roman"/>
          <w:color w:val="000000"/>
          <w:kern w:val="0"/>
          <w:sz w:val="28"/>
          <w:szCs w:val="28"/>
          <w:u w:val="single"/>
        </w:rPr>
        <w:t>Software updates</w:t>
      </w:r>
    </w:p>
    <w:p w:rsidR="00940C52" w:rsidRPr="00384C93" w:rsidRDefault="00940C52" w:rsidP="00940C52">
      <w:pPr>
        <w:pStyle w:val="HChG"/>
        <w:numPr>
          <w:ilvl w:val="0"/>
          <w:numId w:val="9"/>
        </w:numPr>
        <w:tabs>
          <w:tab w:val="clear" w:pos="851"/>
        </w:tabs>
        <w:ind w:left="720" w:right="567"/>
        <w:rPr>
          <w:lang w:val="en-US"/>
        </w:rPr>
      </w:pPr>
      <w:r w:rsidRPr="00384C93">
        <w:t>Review of actions relating to software updates</w:t>
      </w:r>
    </w:p>
    <w:p w:rsidR="00940C52" w:rsidRPr="00384C93" w:rsidRDefault="00940C52" w:rsidP="00940C52">
      <w:pPr>
        <w:pStyle w:val="SingleTxtG"/>
        <w:ind w:left="0" w:right="567"/>
        <w:rPr>
          <w:lang w:val="en-US"/>
        </w:rPr>
      </w:pPr>
      <w:r w:rsidRPr="00384C93">
        <w:rPr>
          <w:lang w:val="en-US"/>
        </w:rPr>
        <w:t>The Task Force will review actions from previous meetings</w:t>
      </w:r>
    </w:p>
    <w:p w:rsidR="00940C52" w:rsidRDefault="00940C52" w:rsidP="00940C52">
      <w:pPr>
        <w:pStyle w:val="SingleTxtG"/>
        <w:spacing w:after="0"/>
        <w:ind w:left="0" w:right="767"/>
        <w:jc w:val="left"/>
        <w:rPr>
          <w:lang w:val="en-US"/>
        </w:rPr>
      </w:pPr>
      <w:r w:rsidRPr="00384C93">
        <w:rPr>
          <w:i/>
          <w:lang w:val="en-US"/>
        </w:rPr>
        <w:t>Documentation:</w:t>
      </w:r>
      <w:r w:rsidRPr="00384C93">
        <w:rPr>
          <w:lang w:val="en-US"/>
        </w:rPr>
        <w:tab/>
      </w:r>
      <w:r w:rsidRPr="00384C93">
        <w:rPr>
          <w:lang w:val="en-US"/>
        </w:rPr>
        <w:tab/>
        <w:t>TFCS-</w:t>
      </w:r>
      <w:r>
        <w:rPr>
          <w:lang w:val="en-US"/>
        </w:rPr>
        <w:t>13-02 (Sec</w:t>
      </w:r>
      <w:r w:rsidRPr="00384C93">
        <w:rPr>
          <w:lang w:val="en-US"/>
        </w:rPr>
        <w:t xml:space="preserve">) Minutes of </w:t>
      </w:r>
      <w:r>
        <w:rPr>
          <w:lang w:val="en-US"/>
        </w:rPr>
        <w:t>TFCS-12</w:t>
      </w:r>
      <w:r w:rsidRPr="00384C93">
        <w:rPr>
          <w:lang w:val="en-US"/>
        </w:rPr>
        <w:tab/>
      </w:r>
    </w:p>
    <w:p w:rsidR="00940C52" w:rsidRDefault="00940C52" w:rsidP="00940C52">
      <w:pPr>
        <w:pStyle w:val="SingleTxtG"/>
        <w:spacing w:after="0"/>
        <w:ind w:left="0" w:right="767"/>
        <w:jc w:val="lef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Pr="003524AE">
        <w:rPr>
          <w:lang w:val="en-US"/>
        </w:rPr>
        <w:t>TFCS-ahRSUP3-07 (Chair) Minutes of ad-h</w:t>
      </w:r>
      <w:r>
        <w:rPr>
          <w:lang w:val="en-US"/>
        </w:rPr>
        <w:t>oc meetings on software updates</w:t>
      </w:r>
    </w:p>
    <w:p w:rsidR="00704AAA" w:rsidRDefault="00704AAA" w:rsidP="00940C52">
      <w:pPr>
        <w:pStyle w:val="SingleTxtG"/>
        <w:spacing w:after="0"/>
        <w:ind w:left="0" w:right="767"/>
        <w:jc w:val="left"/>
        <w:rPr>
          <w:lang w:val="en-US"/>
        </w:rPr>
      </w:pPr>
    </w:p>
    <w:p w:rsidR="00704AAA" w:rsidRPr="00384C93" w:rsidRDefault="00704AAA" w:rsidP="00940C52">
      <w:pPr>
        <w:pStyle w:val="SingleTxtG"/>
        <w:spacing w:after="0"/>
        <w:ind w:left="0" w:right="767"/>
        <w:jc w:val="left"/>
        <w:rPr>
          <w:lang w:val="en-US"/>
        </w:rPr>
      </w:pPr>
      <w:r>
        <w:rPr>
          <w:color w:val="0000CC"/>
        </w:rPr>
        <w:t>Action items were reviewed. All actions were completed either before or within the meeting.</w:t>
      </w:r>
    </w:p>
    <w:p w:rsidR="00940C52" w:rsidRPr="00384C93" w:rsidRDefault="00940C52" w:rsidP="00940C52">
      <w:pPr>
        <w:pStyle w:val="HChG"/>
        <w:numPr>
          <w:ilvl w:val="0"/>
          <w:numId w:val="9"/>
        </w:numPr>
        <w:tabs>
          <w:tab w:val="clear" w:pos="851"/>
        </w:tabs>
        <w:ind w:left="720" w:right="567"/>
      </w:pPr>
      <w:r w:rsidRPr="00384C93">
        <w:t xml:space="preserve">Development of working paper </w:t>
      </w:r>
    </w:p>
    <w:p w:rsidR="00940C52" w:rsidRDefault="00940C52" w:rsidP="00940C52">
      <w:pPr>
        <w:pStyle w:val="SingleTxtG"/>
        <w:ind w:left="0" w:right="567"/>
        <w:rPr>
          <w:lang w:val="en-US"/>
        </w:rPr>
      </w:pPr>
      <w:r w:rsidRPr="00384C93">
        <w:rPr>
          <w:lang w:val="en-US"/>
        </w:rPr>
        <w:t>The Task Force will look to further develop the paper on software updates and progress any areas identified for discussion.</w:t>
      </w:r>
      <w:r>
        <w:rPr>
          <w:lang w:val="en-US"/>
        </w:rPr>
        <w:t xml:space="preserve"> It is suggested that the document </w:t>
      </w:r>
      <w:r w:rsidRPr="009772DD">
        <w:rPr>
          <w:lang w:val="en-US"/>
        </w:rPr>
        <w:t xml:space="preserve">TFCS-13-05 (Sec) </w:t>
      </w:r>
      <w:r>
        <w:rPr>
          <w:lang w:val="en-US"/>
        </w:rPr>
        <w:t xml:space="preserve">is used as a basis for discussion on the main paper. </w:t>
      </w:r>
    </w:p>
    <w:p w:rsidR="00940C52" w:rsidRDefault="00940C52" w:rsidP="00940C52">
      <w:pPr>
        <w:pStyle w:val="SingleTxtG"/>
        <w:ind w:left="0" w:right="567"/>
        <w:rPr>
          <w:lang w:val="en-US"/>
        </w:rPr>
      </w:pPr>
      <w:r>
        <w:rPr>
          <w:lang w:val="en-US"/>
        </w:rPr>
        <w:t>Topics to be discussed include:</w:t>
      </w:r>
    </w:p>
    <w:p w:rsidR="00940C52" w:rsidRDefault="00940C52" w:rsidP="00940C52">
      <w:pPr>
        <w:pStyle w:val="SingleTxtG"/>
        <w:numPr>
          <w:ilvl w:val="0"/>
          <w:numId w:val="13"/>
        </w:numPr>
        <w:ind w:right="567"/>
        <w:rPr>
          <w:rFonts w:eastAsiaTheme="minorEastAsia"/>
          <w:lang w:val="en-US" w:eastAsia="ja-JP"/>
        </w:rPr>
      </w:pPr>
      <w:r>
        <w:rPr>
          <w:rFonts w:eastAsiaTheme="minorEastAsia"/>
          <w:lang w:val="en-US" w:eastAsia="ja-JP"/>
        </w:rPr>
        <w:lastRenderedPageBreak/>
        <w:t>Review the outstanding comments and proposed re-formatting provided in</w:t>
      </w:r>
      <w:r w:rsidRPr="00EB056A">
        <w:rPr>
          <w:lang w:val="en-US"/>
        </w:rPr>
        <w:t xml:space="preserve"> </w:t>
      </w:r>
      <w:r w:rsidRPr="009772DD">
        <w:rPr>
          <w:lang w:val="en-US"/>
        </w:rPr>
        <w:t xml:space="preserve">TFCS-13-05 (Sec) Draft SW update recommendation paper - as </w:t>
      </w:r>
      <w:proofErr w:type="spellStart"/>
      <w:r w:rsidRPr="009772DD">
        <w:rPr>
          <w:lang w:val="en-US"/>
        </w:rPr>
        <w:t>editted</w:t>
      </w:r>
      <w:proofErr w:type="spellEnd"/>
      <w:r w:rsidRPr="009772DD">
        <w:rPr>
          <w:lang w:val="en-US"/>
        </w:rPr>
        <w:t xml:space="preserve"> in </w:t>
      </w:r>
      <w:proofErr w:type="spellStart"/>
      <w:r w:rsidRPr="009772DD">
        <w:rPr>
          <w:lang w:val="en-US"/>
        </w:rPr>
        <w:t>adhoc</w:t>
      </w:r>
      <w:proofErr w:type="spellEnd"/>
      <w:r w:rsidRPr="009772DD">
        <w:rPr>
          <w:lang w:val="en-US"/>
        </w:rPr>
        <w:t xml:space="preserve"> meeting - reworked incl. edits</w:t>
      </w:r>
    </w:p>
    <w:p w:rsidR="00940C52" w:rsidRDefault="00940C52" w:rsidP="00940C52">
      <w:pPr>
        <w:pStyle w:val="SingleTxtG"/>
        <w:numPr>
          <w:ilvl w:val="0"/>
          <w:numId w:val="13"/>
        </w:numPr>
        <w:ind w:right="567"/>
        <w:rPr>
          <w:rFonts w:eastAsiaTheme="minorEastAsia"/>
          <w:lang w:val="en-US" w:eastAsia="ja-JP"/>
        </w:rPr>
      </w:pPr>
      <w:r>
        <w:rPr>
          <w:rFonts w:eastAsiaTheme="minorEastAsia"/>
          <w:lang w:val="en-US" w:eastAsia="ja-JP"/>
        </w:rPr>
        <w:t>Proposal to rename “Certificate of Compliance”</w:t>
      </w:r>
    </w:p>
    <w:p w:rsidR="00940C52" w:rsidRPr="00F22825" w:rsidRDefault="00940C52" w:rsidP="00940C52">
      <w:pPr>
        <w:pStyle w:val="SingleTxtG"/>
        <w:ind w:left="720" w:right="567"/>
        <w:rPr>
          <w:rFonts w:eastAsiaTheme="minorEastAsia"/>
          <w:lang w:val="en-US" w:eastAsia="ja-JP"/>
        </w:rPr>
      </w:pPr>
      <w:r w:rsidRPr="00F22825">
        <w:rPr>
          <w:rFonts w:eastAsiaTheme="minorEastAsia"/>
          <w:lang w:val="en-US" w:eastAsia="ja-JP"/>
        </w:rPr>
        <w:t>The use of the term “Certificate of Compliance” may confuse people that have not participated to the UN TF because there is already in the current legislation</w:t>
      </w:r>
      <w:r>
        <w:rPr>
          <w:rFonts w:eastAsiaTheme="minorEastAsia"/>
          <w:lang w:val="en-US" w:eastAsia="ja-JP"/>
        </w:rPr>
        <w:t xml:space="preserve">. </w:t>
      </w:r>
      <w:r w:rsidRPr="00F22825">
        <w:rPr>
          <w:rFonts w:eastAsiaTheme="minorEastAsia"/>
          <w:lang w:val="en-US" w:eastAsia="ja-JP"/>
        </w:rPr>
        <w:t>Possible solutions could be</w:t>
      </w:r>
      <w:r w:rsidRPr="00D03D67">
        <w:rPr>
          <w:rFonts w:eastAsiaTheme="minorEastAsia"/>
          <w:lang w:val="en-US" w:eastAsia="ja-JP"/>
        </w:rPr>
        <w:t xml:space="preserve"> </w:t>
      </w:r>
      <w:r>
        <w:rPr>
          <w:rFonts w:eastAsiaTheme="minorEastAsia"/>
          <w:lang w:val="en-US" w:eastAsia="ja-JP"/>
        </w:rPr>
        <w:t>to</w:t>
      </w:r>
      <w:r w:rsidRPr="00F22825">
        <w:rPr>
          <w:rFonts w:eastAsiaTheme="minorEastAsia"/>
          <w:lang w:val="en-US" w:eastAsia="ja-JP"/>
        </w:rPr>
        <w:t xml:space="preserve"> systematically replace the </w:t>
      </w:r>
      <w:r>
        <w:rPr>
          <w:rFonts w:eastAsiaTheme="minorEastAsia"/>
          <w:lang w:val="en-US" w:eastAsia="ja-JP"/>
        </w:rPr>
        <w:t>t</w:t>
      </w:r>
      <w:r w:rsidRPr="00F22825">
        <w:rPr>
          <w:rFonts w:eastAsiaTheme="minorEastAsia"/>
          <w:lang w:val="en-US" w:eastAsia="ja-JP"/>
        </w:rPr>
        <w:t xml:space="preserve">erm “Certificate of Compliance” </w:t>
      </w:r>
      <w:r>
        <w:rPr>
          <w:rFonts w:eastAsiaTheme="minorEastAsia"/>
          <w:lang w:val="en-US" w:eastAsia="ja-JP"/>
        </w:rPr>
        <w:t>with either:</w:t>
      </w:r>
    </w:p>
    <w:p w:rsidR="00940C52" w:rsidRPr="00F22825" w:rsidRDefault="00940C52" w:rsidP="00940C52">
      <w:pPr>
        <w:pStyle w:val="SingleTxtG"/>
        <w:ind w:left="720" w:right="567" w:firstLine="188"/>
        <w:rPr>
          <w:rFonts w:eastAsiaTheme="minorEastAsia"/>
          <w:lang w:val="en-US" w:eastAsia="ja-JP"/>
        </w:rPr>
      </w:pPr>
      <w:r>
        <w:rPr>
          <w:rFonts w:eastAsiaTheme="minorEastAsia"/>
          <w:lang w:val="en-US" w:eastAsia="ja-JP"/>
        </w:rPr>
        <w:t xml:space="preserve">a) </w:t>
      </w:r>
      <w:r w:rsidRPr="00F22825">
        <w:rPr>
          <w:rFonts w:eastAsiaTheme="minorEastAsia"/>
          <w:lang w:val="en-US" w:eastAsia="ja-JP"/>
        </w:rPr>
        <w:t xml:space="preserve">“SW </w:t>
      </w:r>
      <w:proofErr w:type="gramStart"/>
      <w:r w:rsidRPr="00F22825">
        <w:rPr>
          <w:rFonts w:eastAsiaTheme="minorEastAsia"/>
          <w:lang w:val="en-US" w:eastAsia="ja-JP"/>
        </w:rPr>
        <w:t>update</w:t>
      </w:r>
      <w:proofErr w:type="gramEnd"/>
      <w:r w:rsidRPr="00F22825">
        <w:rPr>
          <w:rFonts w:eastAsiaTheme="minorEastAsia"/>
          <w:lang w:val="en-US" w:eastAsia="ja-JP"/>
        </w:rPr>
        <w:t xml:space="preserve"> Certificate of Compliance”</w:t>
      </w:r>
    </w:p>
    <w:p w:rsidR="00940C52" w:rsidRPr="00F22825" w:rsidRDefault="00940C52" w:rsidP="00940C52">
      <w:pPr>
        <w:pStyle w:val="SingleTxtG"/>
        <w:ind w:left="720" w:right="567" w:firstLine="188"/>
        <w:rPr>
          <w:rFonts w:eastAsiaTheme="minorEastAsia"/>
          <w:lang w:val="en-US" w:eastAsia="ja-JP"/>
        </w:rPr>
      </w:pPr>
      <w:r>
        <w:rPr>
          <w:rFonts w:eastAsiaTheme="minorEastAsia"/>
          <w:lang w:val="en-US" w:eastAsia="ja-JP"/>
        </w:rPr>
        <w:t xml:space="preserve">b) </w:t>
      </w:r>
      <w:r w:rsidRPr="00F22825">
        <w:rPr>
          <w:rFonts w:eastAsiaTheme="minorEastAsia"/>
          <w:lang w:val="en-US" w:eastAsia="ja-JP"/>
        </w:rPr>
        <w:t>“Certificate of Compliance with Annex X to Regulation xxx” (this is the case of Regulation 133)</w:t>
      </w:r>
    </w:p>
    <w:p w:rsidR="00940C52" w:rsidRDefault="00940C52" w:rsidP="00940C52">
      <w:pPr>
        <w:pStyle w:val="SingleTxtG"/>
        <w:ind w:left="1589" w:right="567" w:hanging="1589"/>
        <w:jc w:val="left"/>
        <w:rPr>
          <w:lang w:val="en-US"/>
        </w:rPr>
      </w:pPr>
      <w:r w:rsidRPr="002E7110">
        <w:rPr>
          <w:i/>
          <w:lang w:val="en-US"/>
        </w:rPr>
        <w:t>Documentation:</w:t>
      </w:r>
      <w:r w:rsidRPr="002E7110">
        <w:rPr>
          <w:lang w:val="en-US"/>
        </w:rPr>
        <w:tab/>
      </w:r>
      <w:r>
        <w:rPr>
          <w:lang w:val="en-US"/>
        </w:rPr>
        <w:tab/>
      </w:r>
      <w:r w:rsidRPr="009772DD">
        <w:rPr>
          <w:lang w:val="en-US"/>
        </w:rPr>
        <w:t xml:space="preserve">TFCS-13-05 (Sec) Draft SW update recommendation paper - as edited in </w:t>
      </w:r>
      <w:proofErr w:type="spellStart"/>
      <w:r w:rsidRPr="009772DD">
        <w:rPr>
          <w:lang w:val="en-US"/>
        </w:rPr>
        <w:t>adhoc</w:t>
      </w:r>
      <w:proofErr w:type="spellEnd"/>
      <w:r w:rsidRPr="009772DD">
        <w:rPr>
          <w:lang w:val="en-US"/>
        </w:rPr>
        <w:t xml:space="preserve"> meeting - </w:t>
      </w:r>
      <w:r w:rsidRPr="00DE0F12">
        <w:rPr>
          <w:lang w:val="en-US"/>
        </w:rPr>
        <w:t>reworked incl. edits</w:t>
      </w:r>
    </w:p>
    <w:p w:rsidR="00940C52" w:rsidRDefault="00940C52" w:rsidP="00940C52">
      <w:pPr>
        <w:pStyle w:val="SingleTxtG"/>
        <w:ind w:left="1589" w:right="567" w:hanging="1589"/>
        <w:jc w:val="left"/>
        <w:rPr>
          <w:lang w:val="en-US"/>
        </w:rPr>
      </w:pPr>
      <w:r>
        <w:rPr>
          <w:i/>
          <w:lang w:val="en-US"/>
        </w:rPr>
        <w:tab/>
      </w:r>
      <w:r w:rsidRPr="007F758D">
        <w:rPr>
          <w:lang w:val="en-US"/>
        </w:rPr>
        <w:t>TFCS-13-07 (JPN) Comments on draft SW update recommendat</w:t>
      </w:r>
      <w:r>
        <w:rPr>
          <w:lang w:val="en-US"/>
        </w:rPr>
        <w:t>ion paper (TFCS-ahRSUP3-06)</w:t>
      </w:r>
    </w:p>
    <w:p w:rsidR="00940C52" w:rsidRPr="00940C52" w:rsidRDefault="00940C52" w:rsidP="00940C52">
      <w:pPr>
        <w:pStyle w:val="SingleTxtG"/>
        <w:ind w:left="1589" w:right="567" w:firstLine="1"/>
        <w:jc w:val="left"/>
        <w:rPr>
          <w:rFonts w:eastAsiaTheme="minorEastAsia"/>
          <w:color w:val="0000FF"/>
          <w:lang w:val="en-US" w:eastAsia="ja-JP"/>
        </w:rPr>
      </w:pPr>
      <w:r w:rsidRPr="00940C52">
        <w:rPr>
          <w:rFonts w:eastAsiaTheme="minorEastAsia"/>
          <w:color w:val="0000FF"/>
          <w:lang w:val="en-US" w:eastAsia="ja-JP"/>
        </w:rPr>
        <w:t>TFCS-13-13 (Chair) Draft example GTR paper for software updates</w:t>
      </w:r>
    </w:p>
    <w:p w:rsidR="00940C52" w:rsidRDefault="00940C52" w:rsidP="00940C52">
      <w:pPr>
        <w:pStyle w:val="SingleTxtG"/>
        <w:ind w:left="1589" w:right="567" w:firstLine="1"/>
        <w:jc w:val="left"/>
        <w:rPr>
          <w:rFonts w:eastAsiaTheme="minorEastAsia"/>
          <w:color w:val="0000FF"/>
          <w:lang w:val="en-US" w:eastAsia="ja-JP"/>
        </w:rPr>
      </w:pPr>
      <w:r w:rsidRPr="00940C52">
        <w:rPr>
          <w:rFonts w:eastAsiaTheme="minorEastAsia"/>
          <w:color w:val="0000FF"/>
          <w:lang w:val="en-US" w:eastAsia="ja-JP"/>
        </w:rPr>
        <w:t xml:space="preserve">TFCS-13-14 (Chair) Comparison of Software Updates Annex A </w:t>
      </w:r>
      <w:proofErr w:type="spellStart"/>
      <w:r w:rsidRPr="00940C52">
        <w:rPr>
          <w:rFonts w:eastAsiaTheme="minorEastAsia"/>
          <w:color w:val="0000FF"/>
          <w:lang w:val="en-US" w:eastAsia="ja-JP"/>
        </w:rPr>
        <w:t>to</w:t>
      </w:r>
      <w:proofErr w:type="spellEnd"/>
      <w:r w:rsidRPr="00940C52">
        <w:rPr>
          <w:rFonts w:eastAsiaTheme="minorEastAsia"/>
          <w:color w:val="0000FF"/>
          <w:lang w:val="en-US" w:eastAsia="ja-JP"/>
        </w:rPr>
        <w:t xml:space="preserve"> example GTR paper</w:t>
      </w:r>
    </w:p>
    <w:p w:rsidR="00704AAA" w:rsidRDefault="00704AAA" w:rsidP="00704AAA">
      <w:pPr>
        <w:pStyle w:val="SingleTxtG"/>
        <w:ind w:left="0" w:right="567"/>
        <w:jc w:val="left"/>
        <w:rPr>
          <w:color w:val="0000FF"/>
          <w:lang w:val="en-US"/>
        </w:rPr>
      </w:pPr>
      <w:r>
        <w:rPr>
          <w:rFonts w:eastAsiaTheme="minorEastAsia"/>
          <w:color w:val="0000FF"/>
          <w:lang w:val="en-US" w:eastAsia="ja-JP"/>
        </w:rPr>
        <w:t xml:space="preserve">The software update paper was reviewed. Document </w:t>
      </w:r>
      <w:r w:rsidRPr="008C2E0F">
        <w:rPr>
          <w:color w:val="0000FF"/>
          <w:lang w:val="en-US"/>
        </w:rPr>
        <w:t>TFCS-</w:t>
      </w:r>
      <w:r w:rsidRPr="00684FB8">
        <w:rPr>
          <w:rFonts w:eastAsiaTheme="minorEastAsia"/>
          <w:color w:val="0000FF"/>
          <w:lang w:val="en-US" w:eastAsia="ja-JP"/>
        </w:rPr>
        <w:t>13-</w:t>
      </w:r>
      <w:r>
        <w:rPr>
          <w:rFonts w:eastAsiaTheme="minorEastAsia"/>
          <w:color w:val="0000FF"/>
          <w:lang w:val="en-US" w:eastAsia="ja-JP"/>
        </w:rPr>
        <w:t>07</w:t>
      </w:r>
      <w:r w:rsidRPr="00684FB8">
        <w:rPr>
          <w:rFonts w:eastAsiaTheme="minorEastAsia"/>
          <w:color w:val="0000FF"/>
          <w:lang w:val="en-US" w:eastAsia="ja-JP"/>
        </w:rPr>
        <w:t xml:space="preserve"> </w:t>
      </w:r>
      <w:r>
        <w:rPr>
          <w:color w:val="0000FF"/>
          <w:lang w:val="en-US"/>
        </w:rPr>
        <w:t xml:space="preserve">was used as the basis for the discussions. The output was recorded as </w:t>
      </w:r>
      <w:r w:rsidRPr="00704AAA">
        <w:rPr>
          <w:color w:val="0000FF"/>
          <w:lang w:val="en-US"/>
        </w:rPr>
        <w:t>TFCS-13-19 (Sec) Final Draft Recommendation on Software Update Processes incl. Annex A-B</w:t>
      </w:r>
      <w:r>
        <w:rPr>
          <w:color w:val="0000FF"/>
          <w:lang w:val="en-US"/>
        </w:rPr>
        <w:t>. Points of note:</w:t>
      </w:r>
    </w:p>
    <w:p w:rsidR="00704AAA" w:rsidRDefault="00704AAA" w:rsidP="00704AAA">
      <w:pPr>
        <w:pStyle w:val="SingleTxtG"/>
        <w:numPr>
          <w:ilvl w:val="0"/>
          <w:numId w:val="20"/>
        </w:numPr>
        <w:ind w:right="567"/>
        <w:jc w:val="left"/>
        <w:rPr>
          <w:color w:val="0000FF"/>
          <w:lang w:val="en-US"/>
        </w:rPr>
      </w:pPr>
      <w:r>
        <w:rPr>
          <w:color w:val="0000FF"/>
          <w:lang w:val="en-US"/>
        </w:rPr>
        <w:t xml:space="preserve">The </w:t>
      </w:r>
      <w:r w:rsidR="00EF5B66">
        <w:rPr>
          <w:color w:val="0000FF"/>
          <w:lang w:val="en-US"/>
        </w:rPr>
        <w:t>“C</w:t>
      </w:r>
      <w:r>
        <w:rPr>
          <w:color w:val="0000FF"/>
          <w:lang w:val="en-US"/>
        </w:rPr>
        <w:t xml:space="preserve">ertificate of </w:t>
      </w:r>
      <w:r w:rsidR="00EF5B66">
        <w:rPr>
          <w:color w:val="0000FF"/>
          <w:lang w:val="en-US"/>
        </w:rPr>
        <w:t>C</w:t>
      </w:r>
      <w:r>
        <w:rPr>
          <w:color w:val="0000FF"/>
          <w:lang w:val="en-US"/>
        </w:rPr>
        <w:t>ompliance</w:t>
      </w:r>
      <w:r w:rsidR="00EF5B66">
        <w:rPr>
          <w:color w:val="0000FF"/>
          <w:lang w:val="en-US"/>
        </w:rPr>
        <w:t>”</w:t>
      </w:r>
      <w:r>
        <w:rPr>
          <w:color w:val="0000FF"/>
          <w:lang w:val="en-US"/>
        </w:rPr>
        <w:t xml:space="preserve"> was renamed “</w:t>
      </w:r>
      <w:r w:rsidR="005D5DE0">
        <w:rPr>
          <w:color w:val="0000FF"/>
          <w:lang w:val="en-US"/>
        </w:rPr>
        <w:t>S</w:t>
      </w:r>
      <w:r>
        <w:rPr>
          <w:color w:val="0000FF"/>
          <w:lang w:val="en-US"/>
        </w:rPr>
        <w:t xml:space="preserve">oftware </w:t>
      </w:r>
      <w:r w:rsidR="005D5DE0">
        <w:rPr>
          <w:color w:val="0000FF"/>
          <w:lang w:val="en-US"/>
        </w:rPr>
        <w:t>U</w:t>
      </w:r>
      <w:r>
        <w:rPr>
          <w:color w:val="0000FF"/>
          <w:lang w:val="en-US"/>
        </w:rPr>
        <w:t xml:space="preserve">pdate </w:t>
      </w:r>
      <w:r w:rsidR="005D5DE0">
        <w:rPr>
          <w:color w:val="0000FF"/>
          <w:lang w:val="en-US"/>
        </w:rPr>
        <w:t>M</w:t>
      </w:r>
      <w:r>
        <w:rPr>
          <w:color w:val="0000FF"/>
          <w:lang w:val="en-US"/>
        </w:rPr>
        <w:t xml:space="preserve">anagement </w:t>
      </w:r>
      <w:r w:rsidR="005D5DE0">
        <w:rPr>
          <w:color w:val="0000FF"/>
          <w:lang w:val="en-US"/>
        </w:rPr>
        <w:t>S</w:t>
      </w:r>
      <w:r>
        <w:rPr>
          <w:color w:val="0000FF"/>
          <w:lang w:val="en-US"/>
        </w:rPr>
        <w:t xml:space="preserve">ystems (SUMS) </w:t>
      </w:r>
      <w:r w:rsidR="005D5DE0">
        <w:rPr>
          <w:color w:val="0000FF"/>
          <w:lang w:val="en-US"/>
        </w:rPr>
        <w:t>C</w:t>
      </w:r>
      <w:r>
        <w:rPr>
          <w:color w:val="0000FF"/>
          <w:lang w:val="en-US"/>
        </w:rPr>
        <w:t xml:space="preserve">ertificate of </w:t>
      </w:r>
      <w:r w:rsidR="005D5DE0">
        <w:rPr>
          <w:color w:val="0000FF"/>
          <w:lang w:val="en-US"/>
        </w:rPr>
        <w:t>C</w:t>
      </w:r>
      <w:r>
        <w:rPr>
          <w:color w:val="0000FF"/>
          <w:lang w:val="en-US"/>
        </w:rPr>
        <w:t>ompliance”. A definition for this was provided.</w:t>
      </w:r>
    </w:p>
    <w:p w:rsidR="00704AAA" w:rsidRDefault="00704AAA" w:rsidP="00704AAA">
      <w:pPr>
        <w:pStyle w:val="SingleTxtG"/>
        <w:numPr>
          <w:ilvl w:val="0"/>
          <w:numId w:val="20"/>
        </w:numPr>
        <w:ind w:right="567"/>
        <w:jc w:val="left"/>
        <w:rPr>
          <w:color w:val="0000FF"/>
          <w:lang w:val="en-US"/>
        </w:rPr>
      </w:pPr>
      <w:r>
        <w:rPr>
          <w:color w:val="0000FF"/>
          <w:lang w:val="en-US"/>
        </w:rPr>
        <w:t xml:space="preserve">All chapters of the document were reviewed and all changes accepted and all comments agreed to be removed. </w:t>
      </w:r>
      <w:r w:rsidR="00A91934">
        <w:rPr>
          <w:color w:val="0000FF"/>
          <w:lang w:val="en-US"/>
        </w:rPr>
        <w:t>In the meeting:</w:t>
      </w:r>
    </w:p>
    <w:p w:rsidR="00704AAA" w:rsidRDefault="00704AAA" w:rsidP="00704AAA">
      <w:pPr>
        <w:pStyle w:val="SingleTxtG"/>
        <w:numPr>
          <w:ilvl w:val="1"/>
          <w:numId w:val="20"/>
        </w:numPr>
        <w:ind w:right="567"/>
        <w:jc w:val="left"/>
        <w:rPr>
          <w:color w:val="0000FF"/>
          <w:lang w:val="en-US"/>
        </w:rPr>
      </w:pPr>
      <w:r>
        <w:rPr>
          <w:color w:val="0000FF"/>
          <w:lang w:val="en-US"/>
        </w:rPr>
        <w:t xml:space="preserve">Parts of Annex B which relate to general approvals of vehicles or processes were moved to Annex A. </w:t>
      </w:r>
    </w:p>
    <w:p w:rsidR="00A643B2" w:rsidRPr="00A643B2" w:rsidRDefault="00A643B2" w:rsidP="00A643B2">
      <w:pPr>
        <w:pStyle w:val="SingleTxtG"/>
        <w:numPr>
          <w:ilvl w:val="1"/>
          <w:numId w:val="20"/>
        </w:numPr>
        <w:ind w:right="567"/>
        <w:jc w:val="left"/>
        <w:rPr>
          <w:color w:val="0000FF"/>
          <w:lang w:val="en-US"/>
        </w:rPr>
      </w:pPr>
      <w:r w:rsidRPr="00A643B2">
        <w:rPr>
          <w:color w:val="0000FF"/>
          <w:lang w:val="en-US"/>
        </w:rPr>
        <w:t xml:space="preserve">Annex 1 of Annex A was renumbered </w:t>
      </w:r>
    </w:p>
    <w:p w:rsidR="00A643B2" w:rsidRPr="00A643B2" w:rsidRDefault="00A643B2" w:rsidP="00A643B2">
      <w:pPr>
        <w:pStyle w:val="SingleTxtG"/>
        <w:numPr>
          <w:ilvl w:val="1"/>
          <w:numId w:val="20"/>
        </w:numPr>
        <w:ind w:right="567"/>
        <w:jc w:val="left"/>
        <w:rPr>
          <w:color w:val="0000FF"/>
          <w:lang w:val="en-US"/>
        </w:rPr>
      </w:pPr>
      <w:r w:rsidRPr="00A643B2">
        <w:rPr>
          <w:color w:val="0000FF"/>
          <w:lang w:val="en-US"/>
        </w:rPr>
        <w:t xml:space="preserve">The definitions were refined, </w:t>
      </w:r>
      <w:r>
        <w:rPr>
          <w:color w:val="0000FF"/>
          <w:lang w:val="en-US"/>
        </w:rPr>
        <w:t>and unused definitions deleted</w:t>
      </w:r>
    </w:p>
    <w:p w:rsidR="00704AAA" w:rsidRDefault="00704AAA" w:rsidP="00704AAA">
      <w:pPr>
        <w:pStyle w:val="SingleTxtG"/>
        <w:numPr>
          <w:ilvl w:val="1"/>
          <w:numId w:val="20"/>
        </w:numPr>
        <w:ind w:right="567"/>
        <w:jc w:val="left"/>
        <w:rPr>
          <w:color w:val="0000FF"/>
          <w:lang w:val="en-US"/>
        </w:rPr>
      </w:pPr>
      <w:r>
        <w:rPr>
          <w:color w:val="0000FF"/>
          <w:lang w:val="en-US"/>
        </w:rPr>
        <w:t>The flow diagram was updated</w:t>
      </w:r>
    </w:p>
    <w:p w:rsidR="00704AAA" w:rsidRPr="00A91934" w:rsidRDefault="00704AAA" w:rsidP="00A91934">
      <w:pPr>
        <w:pStyle w:val="SingleTxtG"/>
        <w:numPr>
          <w:ilvl w:val="1"/>
          <w:numId w:val="20"/>
        </w:numPr>
        <w:ind w:right="567"/>
        <w:jc w:val="left"/>
        <w:rPr>
          <w:color w:val="0000FF"/>
          <w:lang w:val="en-US"/>
        </w:rPr>
      </w:pPr>
      <w:r>
        <w:rPr>
          <w:color w:val="0000FF"/>
          <w:lang w:val="en-US"/>
        </w:rPr>
        <w:t>Text of both the software update paper and cyber security paper were updated to ensure consistency of wording and approach (were appropriate).</w:t>
      </w:r>
    </w:p>
    <w:p w:rsidR="005D5DE0" w:rsidRDefault="005D5DE0" w:rsidP="005D5DE0">
      <w:pPr>
        <w:pStyle w:val="SingleTxtG"/>
        <w:numPr>
          <w:ilvl w:val="0"/>
          <w:numId w:val="20"/>
        </w:numPr>
        <w:ind w:right="567"/>
        <w:jc w:val="left"/>
        <w:rPr>
          <w:color w:val="0000FF"/>
          <w:lang w:val="en-US"/>
        </w:rPr>
      </w:pPr>
      <w:r>
        <w:rPr>
          <w:color w:val="0000FF"/>
          <w:lang w:val="en-US"/>
        </w:rPr>
        <w:t xml:space="preserve">It was noted that the document does not provide text in the format of a resolution. Therefore the paper will be submitted as a recommendation containing guidance and a draft UN Regulation. If the paper is submitted to WP29 it will become an official working paper of WP29 and therefore officially registered and publically available. </w:t>
      </w:r>
    </w:p>
    <w:p w:rsidR="00704AAA" w:rsidRDefault="00704AAA" w:rsidP="00704AAA">
      <w:pPr>
        <w:pStyle w:val="SingleTxtG"/>
        <w:numPr>
          <w:ilvl w:val="0"/>
          <w:numId w:val="20"/>
        </w:numPr>
        <w:ind w:right="567"/>
        <w:jc w:val="left"/>
        <w:rPr>
          <w:color w:val="0000FF"/>
          <w:lang w:val="en-US"/>
        </w:rPr>
      </w:pPr>
      <w:r>
        <w:rPr>
          <w:color w:val="0000FF"/>
          <w:lang w:val="en-US"/>
        </w:rPr>
        <w:lastRenderedPageBreak/>
        <w:t xml:space="preserve">The recommendations were refined, with additional recommendations on the limits of the 1958 </w:t>
      </w:r>
      <w:r w:rsidR="005D5DE0">
        <w:rPr>
          <w:color w:val="0000FF"/>
          <w:lang w:val="en-US"/>
        </w:rPr>
        <w:t>A</w:t>
      </w:r>
      <w:r>
        <w:rPr>
          <w:color w:val="0000FF"/>
          <w:lang w:val="en-US"/>
        </w:rPr>
        <w:t>greement with regards through life issues and production definitely discontinued highlighted and areas which need to be verified as being permissible within it. This in particular relates to annex B.</w:t>
      </w:r>
    </w:p>
    <w:p w:rsidR="006C0B03" w:rsidRPr="006C0B03" w:rsidRDefault="006C0B03" w:rsidP="006C0B03">
      <w:pPr>
        <w:pStyle w:val="SingleTxtG"/>
        <w:numPr>
          <w:ilvl w:val="0"/>
          <w:numId w:val="20"/>
        </w:numPr>
        <w:ind w:right="567"/>
        <w:jc w:val="left"/>
        <w:rPr>
          <w:color w:val="0000FF"/>
          <w:lang w:val="en-US"/>
        </w:rPr>
      </w:pPr>
      <w:r>
        <w:rPr>
          <w:color w:val="0000FF"/>
          <w:lang w:val="en-US"/>
        </w:rPr>
        <w:t xml:space="preserve">Recommendations were added on the subjects of having a test phase to verify that the proposed regulatory approach works sufficiently well for type approval purposes and on the need for sufficient lead time for mandatory application of the requirements since vehicle architectures are affected and organizational measures have to be implemented. </w:t>
      </w:r>
    </w:p>
    <w:p w:rsidR="00704AAA" w:rsidRDefault="00704AAA" w:rsidP="00A643B2">
      <w:pPr>
        <w:pStyle w:val="SingleTxtG"/>
        <w:ind w:left="0" w:right="567"/>
        <w:jc w:val="left"/>
        <w:rPr>
          <w:color w:val="0000FF"/>
          <w:lang w:val="en-US"/>
        </w:rPr>
      </w:pPr>
      <w:r>
        <w:rPr>
          <w:color w:val="0000FF"/>
          <w:lang w:val="en-US"/>
        </w:rPr>
        <w:t xml:space="preserve">It was noted that ISO are looking to revise/update ISO 14229 to include a standardized way for reading RXSWIN from the OBD port. </w:t>
      </w:r>
    </w:p>
    <w:p w:rsidR="00704AAA" w:rsidRDefault="00704AAA" w:rsidP="00704AAA">
      <w:pPr>
        <w:pStyle w:val="SingleTxtG"/>
        <w:ind w:left="0" w:right="567"/>
        <w:jc w:val="left"/>
        <w:rPr>
          <w:color w:val="0000FF"/>
          <w:lang w:val="en-US"/>
        </w:rPr>
      </w:pPr>
      <w:r>
        <w:rPr>
          <w:color w:val="0000FF"/>
          <w:lang w:val="en-US"/>
        </w:rPr>
        <w:t xml:space="preserve">At the end of the meeting the paper was accepted as being complete by the task force. </w:t>
      </w:r>
    </w:p>
    <w:p w:rsidR="00704AAA" w:rsidRDefault="00704AAA" w:rsidP="00704AAA">
      <w:pPr>
        <w:pStyle w:val="SingleTxtG"/>
        <w:ind w:left="0" w:right="567"/>
        <w:jc w:val="left"/>
        <w:rPr>
          <w:color w:val="0000FF"/>
          <w:lang w:val="en-US"/>
        </w:rPr>
      </w:pPr>
      <w:r>
        <w:rPr>
          <w:color w:val="0000FF"/>
          <w:lang w:val="en-US"/>
        </w:rPr>
        <w:t xml:space="preserve">The final, clean, document was provided to GRVA as </w:t>
      </w:r>
      <w:hyperlink r:id="rId10" w:history="1">
        <w:r>
          <w:rPr>
            <w:rStyle w:val="Hyperlink"/>
          </w:rPr>
          <w:t>GRVA-01-18</w:t>
        </w:r>
      </w:hyperlink>
      <w:r>
        <w:t>.</w:t>
      </w:r>
      <w:r>
        <w:rPr>
          <w:color w:val="0000FF"/>
          <w:lang w:val="en-US"/>
        </w:rPr>
        <w:t xml:space="preserve"> </w:t>
      </w:r>
    </w:p>
    <w:p w:rsidR="00704AAA" w:rsidRDefault="00704AAA" w:rsidP="00704AAA">
      <w:pPr>
        <w:pStyle w:val="SingleTxtG"/>
        <w:ind w:left="0" w:right="567"/>
        <w:jc w:val="left"/>
        <w:rPr>
          <w:color w:val="0000FF"/>
          <w:lang w:val="en-US"/>
        </w:rPr>
      </w:pPr>
      <w:r>
        <w:rPr>
          <w:color w:val="0000FF"/>
          <w:lang w:val="en-US"/>
        </w:rPr>
        <w:t xml:space="preserve">The US delegate presented a drafted example of what a GTR </w:t>
      </w:r>
      <w:r w:rsidR="00A91934">
        <w:rPr>
          <w:color w:val="0000FF"/>
          <w:lang w:val="en-US"/>
        </w:rPr>
        <w:t>on software updates and cyber security might look like (TFCS 13-13). The following was noted from the discussion:</w:t>
      </w:r>
    </w:p>
    <w:p w:rsidR="00A91934" w:rsidRDefault="00A91934" w:rsidP="00A91934">
      <w:pPr>
        <w:pStyle w:val="SingleTxtG"/>
        <w:numPr>
          <w:ilvl w:val="0"/>
          <w:numId w:val="21"/>
        </w:numPr>
        <w:ind w:right="567"/>
        <w:jc w:val="left"/>
        <w:rPr>
          <w:color w:val="0000FF"/>
          <w:lang w:val="en-US"/>
        </w:rPr>
      </w:pPr>
      <w:r>
        <w:rPr>
          <w:color w:val="0000FF"/>
          <w:lang w:val="en-US"/>
        </w:rPr>
        <w:t>The draft example includes requirements present in an earlier version of the software update and cyber security papers that might be suitable for inclusion in a GTR.</w:t>
      </w:r>
    </w:p>
    <w:p w:rsidR="00A91934" w:rsidRDefault="00A91934" w:rsidP="00A91934">
      <w:pPr>
        <w:pStyle w:val="SingleTxtG"/>
        <w:numPr>
          <w:ilvl w:val="0"/>
          <w:numId w:val="21"/>
        </w:numPr>
        <w:ind w:right="567"/>
        <w:jc w:val="left"/>
        <w:rPr>
          <w:color w:val="0000FF"/>
          <w:lang w:val="en-US"/>
        </w:rPr>
      </w:pPr>
      <w:r>
        <w:rPr>
          <w:color w:val="0000FF"/>
          <w:lang w:val="en-US"/>
        </w:rPr>
        <w:t>The draft example is not a finished work and has no text for some sections (for instance part A)</w:t>
      </w:r>
    </w:p>
    <w:p w:rsidR="00A91934" w:rsidRDefault="00A91934" w:rsidP="00A91934">
      <w:pPr>
        <w:pStyle w:val="SingleTxtG"/>
        <w:numPr>
          <w:ilvl w:val="0"/>
          <w:numId w:val="21"/>
        </w:numPr>
        <w:ind w:right="567"/>
        <w:jc w:val="left"/>
        <w:rPr>
          <w:color w:val="0000FF"/>
          <w:lang w:val="en-US"/>
        </w:rPr>
      </w:pPr>
      <w:r>
        <w:rPr>
          <w:color w:val="0000FF"/>
          <w:lang w:val="en-US"/>
        </w:rPr>
        <w:t>It was agreed that to produce a GTR a lot more work would be needed. TFCS 13-13 could be used as a basis for starting such work.</w:t>
      </w:r>
    </w:p>
    <w:p w:rsidR="00A91934" w:rsidRDefault="00A91934" w:rsidP="00A91934">
      <w:pPr>
        <w:pStyle w:val="SingleTxtG"/>
        <w:numPr>
          <w:ilvl w:val="0"/>
          <w:numId w:val="21"/>
        </w:numPr>
        <w:ind w:right="567"/>
        <w:jc w:val="left"/>
        <w:rPr>
          <w:color w:val="0000FF"/>
          <w:lang w:val="en-US"/>
        </w:rPr>
      </w:pPr>
      <w:r>
        <w:rPr>
          <w:color w:val="0000FF"/>
          <w:lang w:val="en-US"/>
        </w:rPr>
        <w:t>OICA-CLEPA stated that they would support the concept of a GTR being developed.</w:t>
      </w:r>
    </w:p>
    <w:p w:rsidR="00A643B2" w:rsidRPr="006376B1" w:rsidRDefault="00A91934" w:rsidP="006376B1">
      <w:pPr>
        <w:pStyle w:val="SingleTxtG"/>
        <w:numPr>
          <w:ilvl w:val="0"/>
          <w:numId w:val="21"/>
        </w:numPr>
        <w:ind w:right="567"/>
        <w:jc w:val="left"/>
        <w:rPr>
          <w:color w:val="0000FF"/>
          <w:lang w:val="en-US"/>
        </w:rPr>
      </w:pPr>
      <w:r>
        <w:rPr>
          <w:color w:val="0000FF"/>
          <w:lang w:val="en-US"/>
        </w:rPr>
        <w:t xml:space="preserve">It was noted that there is a formal procedure in place to initiate a GTR. The group agreed not to progress work on developing a draft </w:t>
      </w:r>
      <w:r w:rsidR="005D5DE0">
        <w:rPr>
          <w:color w:val="0000FF"/>
          <w:lang w:val="en-US"/>
        </w:rPr>
        <w:t>Global Technical R</w:t>
      </w:r>
      <w:r>
        <w:rPr>
          <w:color w:val="0000FF"/>
          <w:lang w:val="en-US"/>
        </w:rPr>
        <w:t xml:space="preserve">egulation under the 1998 </w:t>
      </w:r>
      <w:r w:rsidR="005D5DE0">
        <w:rPr>
          <w:color w:val="0000FF"/>
          <w:lang w:val="en-US"/>
        </w:rPr>
        <w:t>A</w:t>
      </w:r>
      <w:r>
        <w:rPr>
          <w:color w:val="0000FF"/>
          <w:lang w:val="en-US"/>
        </w:rPr>
        <w:t xml:space="preserve">greement until this procedure is initiated and there is a formal request to do so. </w:t>
      </w:r>
    </w:p>
    <w:p w:rsidR="00940C52" w:rsidRDefault="00940C52" w:rsidP="00940C52">
      <w:pPr>
        <w:widowControl/>
        <w:jc w:val="left"/>
        <w:rPr>
          <w:rFonts w:ascii="Times New Roman" w:eastAsia="Times New Roman" w:hAnsi="Times New Roman"/>
          <w:kern w:val="0"/>
          <w:sz w:val="20"/>
          <w:szCs w:val="20"/>
          <w:lang w:eastAsia="en-US"/>
        </w:rPr>
      </w:pPr>
      <w:r>
        <w:br w:type="page"/>
      </w:r>
    </w:p>
    <w:p w:rsidR="002D35B8" w:rsidRPr="00FA5FCA" w:rsidRDefault="002D35B8" w:rsidP="00522D3A">
      <w:pPr>
        <w:pStyle w:val="HChG"/>
        <w:numPr>
          <w:ilvl w:val="0"/>
          <w:numId w:val="9"/>
        </w:numPr>
        <w:tabs>
          <w:tab w:val="clear" w:pos="851"/>
        </w:tabs>
        <w:ind w:left="720" w:right="567"/>
      </w:pPr>
      <w:r w:rsidRPr="00FA5FCA">
        <w:lastRenderedPageBreak/>
        <w:t>Conclusions /action items</w:t>
      </w:r>
    </w:p>
    <w:p w:rsidR="00FA5FCA" w:rsidRPr="00FA5FCA" w:rsidRDefault="00897354" w:rsidP="00FA5FCA">
      <w:pPr>
        <w:rPr>
          <w:rFonts w:ascii="Times New Roman" w:eastAsia="Times New Roman" w:hAnsi="Times New Roman"/>
          <w:color w:val="0000FF"/>
          <w:kern w:val="0"/>
          <w:sz w:val="20"/>
          <w:szCs w:val="20"/>
          <w:lang w:eastAsia="en-US"/>
        </w:rPr>
      </w:pPr>
      <w:r w:rsidRPr="00FA5FCA">
        <w:rPr>
          <w:rFonts w:ascii="Times New Roman" w:eastAsia="Times New Roman" w:hAnsi="Times New Roman"/>
          <w:color w:val="0000FF"/>
          <w:kern w:val="0"/>
          <w:sz w:val="20"/>
          <w:szCs w:val="20"/>
          <w:lang w:eastAsia="en-US"/>
        </w:rPr>
        <w:t xml:space="preserve">The group agreed it had met its Terms of Reference and produced recommendations on cyber security and software updates. </w:t>
      </w:r>
      <w:r w:rsidR="00FA5FCA">
        <w:rPr>
          <w:rFonts w:ascii="Times New Roman" w:eastAsia="Times New Roman" w:hAnsi="Times New Roman"/>
          <w:color w:val="0000FF"/>
          <w:kern w:val="0"/>
          <w:sz w:val="20"/>
          <w:szCs w:val="20"/>
          <w:lang w:eastAsia="en-US"/>
        </w:rPr>
        <w:t>No actions are outstanding.</w:t>
      </w:r>
    </w:p>
    <w:p w:rsidR="00FA5FCA" w:rsidRDefault="00FA5FCA" w:rsidP="00FA5FCA">
      <w:pPr>
        <w:pStyle w:val="ListParagraph"/>
        <w:ind w:left="0"/>
        <w:rPr>
          <w:rFonts w:ascii="Times New Roman" w:eastAsia="Times New Roman" w:hAnsi="Times New Roman"/>
          <w:color w:val="0000FF"/>
          <w:kern w:val="0"/>
          <w:sz w:val="20"/>
          <w:szCs w:val="20"/>
          <w:lang w:eastAsia="en-US"/>
        </w:rPr>
      </w:pPr>
    </w:p>
    <w:p w:rsidR="009A354C" w:rsidRPr="00FA5FCA" w:rsidRDefault="00FA5FCA" w:rsidP="00FA5FCA">
      <w:pPr>
        <w:rPr>
          <w:rFonts w:ascii="Times New Roman" w:eastAsia="Times New Roman" w:hAnsi="Times New Roman"/>
          <w:color w:val="0000FF"/>
          <w:kern w:val="0"/>
          <w:sz w:val="20"/>
          <w:szCs w:val="20"/>
          <w:lang w:eastAsia="en-US"/>
        </w:rPr>
      </w:pPr>
      <w:r w:rsidRPr="00FA5FCA">
        <w:rPr>
          <w:rFonts w:ascii="Times New Roman" w:eastAsia="Times New Roman" w:hAnsi="Times New Roman"/>
          <w:color w:val="0000FF"/>
          <w:kern w:val="0"/>
          <w:sz w:val="20"/>
          <w:szCs w:val="20"/>
          <w:lang w:eastAsia="en-US"/>
        </w:rPr>
        <w:t>The work of the task force incl</w:t>
      </w:r>
      <w:r>
        <w:rPr>
          <w:rFonts w:ascii="Times New Roman" w:eastAsia="Times New Roman" w:hAnsi="Times New Roman"/>
          <w:color w:val="0000FF"/>
          <w:kern w:val="0"/>
          <w:sz w:val="20"/>
          <w:szCs w:val="20"/>
          <w:lang w:eastAsia="en-US"/>
        </w:rPr>
        <w:t>uded 12</w:t>
      </w:r>
      <w:r w:rsidRPr="00FA5FCA">
        <w:rPr>
          <w:rFonts w:ascii="Times New Roman" w:eastAsia="Times New Roman" w:hAnsi="Times New Roman"/>
          <w:color w:val="0000FF"/>
          <w:kern w:val="0"/>
          <w:sz w:val="20"/>
          <w:szCs w:val="20"/>
          <w:lang w:eastAsia="en-US"/>
        </w:rPr>
        <w:t xml:space="preserve"> physical meetings and 2</w:t>
      </w:r>
      <w:r>
        <w:rPr>
          <w:rFonts w:ascii="Times New Roman" w:eastAsia="Times New Roman" w:hAnsi="Times New Roman"/>
          <w:color w:val="0000FF"/>
          <w:kern w:val="0"/>
          <w:sz w:val="20"/>
          <w:szCs w:val="20"/>
          <w:lang w:eastAsia="en-US"/>
        </w:rPr>
        <w:t>2</w:t>
      </w:r>
      <w:r w:rsidRPr="00FA5FCA">
        <w:rPr>
          <w:rFonts w:ascii="Times New Roman" w:eastAsia="Times New Roman" w:hAnsi="Times New Roman"/>
          <w:color w:val="0000FF"/>
          <w:kern w:val="0"/>
          <w:sz w:val="20"/>
          <w:szCs w:val="20"/>
          <w:lang w:eastAsia="en-US"/>
        </w:rPr>
        <w:t xml:space="preserve"> ad-hoc meetings (video conferences) beginning on the 21</w:t>
      </w:r>
      <w:r w:rsidRPr="00FA5FCA">
        <w:rPr>
          <w:rFonts w:ascii="Times New Roman" w:eastAsia="Times New Roman" w:hAnsi="Times New Roman"/>
          <w:color w:val="0000FF"/>
          <w:kern w:val="0"/>
          <w:sz w:val="20"/>
          <w:szCs w:val="20"/>
          <w:vertAlign w:val="superscript"/>
          <w:lang w:eastAsia="en-US"/>
        </w:rPr>
        <w:t>st</w:t>
      </w:r>
      <w:r w:rsidRPr="00FA5FCA">
        <w:rPr>
          <w:rFonts w:ascii="Times New Roman" w:eastAsia="Times New Roman" w:hAnsi="Times New Roman"/>
          <w:color w:val="0000FF"/>
          <w:kern w:val="0"/>
          <w:sz w:val="20"/>
          <w:szCs w:val="20"/>
          <w:lang w:eastAsia="en-US"/>
        </w:rPr>
        <w:t xml:space="preserve"> of December 2016 and ending on the 20</w:t>
      </w:r>
      <w:r w:rsidRPr="00FA5FCA">
        <w:rPr>
          <w:rFonts w:ascii="Times New Roman" w:eastAsia="Times New Roman" w:hAnsi="Times New Roman"/>
          <w:color w:val="0000FF"/>
          <w:kern w:val="0"/>
          <w:sz w:val="20"/>
          <w:szCs w:val="20"/>
          <w:vertAlign w:val="superscript"/>
          <w:lang w:eastAsia="en-US"/>
        </w:rPr>
        <w:t>th</w:t>
      </w:r>
      <w:r w:rsidRPr="00FA5FCA">
        <w:rPr>
          <w:rFonts w:ascii="Times New Roman" w:eastAsia="Times New Roman" w:hAnsi="Times New Roman"/>
          <w:color w:val="0000FF"/>
          <w:kern w:val="0"/>
          <w:sz w:val="20"/>
          <w:szCs w:val="20"/>
          <w:lang w:eastAsia="en-US"/>
        </w:rPr>
        <w:t xml:space="preserve"> of September 2018.</w:t>
      </w:r>
      <w:r w:rsidR="00A643B2">
        <w:rPr>
          <w:rFonts w:ascii="Times New Roman" w:eastAsia="Times New Roman" w:hAnsi="Times New Roman"/>
          <w:color w:val="0000FF"/>
          <w:kern w:val="0"/>
          <w:sz w:val="20"/>
          <w:szCs w:val="20"/>
          <w:lang w:eastAsia="en-US"/>
        </w:rPr>
        <w:t xml:space="preserve"> The physical meetings were spread between seven different cities in three continents (London, Paris, Geneva, Washington DC, The Hague, Tokyo and Seoul).</w:t>
      </w:r>
    </w:p>
    <w:p w:rsidR="00897354" w:rsidRDefault="00897354" w:rsidP="00FA5FCA">
      <w:pPr>
        <w:pStyle w:val="ListParagraph"/>
        <w:ind w:left="0"/>
        <w:rPr>
          <w:rFonts w:ascii="Times New Roman" w:eastAsia="Times New Roman" w:hAnsi="Times New Roman"/>
          <w:color w:val="0000FF"/>
          <w:kern w:val="0"/>
          <w:sz w:val="20"/>
          <w:szCs w:val="20"/>
          <w:lang w:eastAsia="en-US"/>
        </w:rPr>
      </w:pPr>
    </w:p>
    <w:p w:rsidR="006376B1" w:rsidRDefault="00897354" w:rsidP="00FA5FCA">
      <w:pPr>
        <w:rPr>
          <w:rFonts w:ascii="Times New Roman" w:eastAsia="Times New Roman" w:hAnsi="Times New Roman"/>
          <w:color w:val="0000FF"/>
          <w:kern w:val="0"/>
          <w:sz w:val="20"/>
          <w:szCs w:val="20"/>
          <w:lang w:eastAsia="en-US"/>
        </w:rPr>
      </w:pPr>
      <w:r w:rsidRPr="00FA5FCA">
        <w:rPr>
          <w:rFonts w:ascii="Times New Roman" w:eastAsia="Times New Roman" w:hAnsi="Times New Roman"/>
          <w:color w:val="0000FF"/>
          <w:kern w:val="0"/>
          <w:sz w:val="20"/>
          <w:szCs w:val="20"/>
          <w:lang w:eastAsia="en-US"/>
        </w:rPr>
        <w:t>The secretariat was invited to send the recommendations to GRVA</w:t>
      </w:r>
      <w:r w:rsidR="006376B1">
        <w:rPr>
          <w:rFonts w:ascii="Times New Roman" w:eastAsia="Times New Roman" w:hAnsi="Times New Roman"/>
          <w:color w:val="0000FF"/>
          <w:kern w:val="0"/>
          <w:sz w:val="20"/>
          <w:szCs w:val="20"/>
          <w:lang w:eastAsia="en-US"/>
        </w:rPr>
        <w:t xml:space="preserve"> </w:t>
      </w:r>
      <w:r w:rsidRPr="00FA5FCA">
        <w:rPr>
          <w:rFonts w:ascii="Times New Roman" w:eastAsia="Times New Roman" w:hAnsi="Times New Roman"/>
          <w:color w:val="0000FF"/>
          <w:kern w:val="0"/>
          <w:sz w:val="20"/>
          <w:szCs w:val="20"/>
          <w:lang w:eastAsia="en-US"/>
        </w:rPr>
        <w:t xml:space="preserve">together with an agreed explanatory final report. </w:t>
      </w:r>
      <w:r w:rsidR="006376B1">
        <w:rPr>
          <w:rFonts w:ascii="Times New Roman" w:eastAsia="Times New Roman" w:hAnsi="Times New Roman"/>
          <w:color w:val="0000FF"/>
          <w:kern w:val="0"/>
          <w:sz w:val="20"/>
          <w:szCs w:val="20"/>
          <w:lang w:eastAsia="en-US"/>
        </w:rPr>
        <w:t xml:space="preserve">The task force agreed that GRVA should be invited to initiate procedures to: adopt the recommendations as working papers of WP29; and for the proposed regulatory annexes to be adopted under the 1958 </w:t>
      </w:r>
      <w:r w:rsidR="005D5DE0">
        <w:rPr>
          <w:rFonts w:ascii="Times New Roman" w:eastAsia="Times New Roman" w:hAnsi="Times New Roman"/>
          <w:color w:val="0000FF"/>
          <w:kern w:val="0"/>
          <w:sz w:val="20"/>
          <w:szCs w:val="20"/>
          <w:lang w:eastAsia="en-US"/>
        </w:rPr>
        <w:t>A</w:t>
      </w:r>
      <w:r w:rsidR="006376B1">
        <w:rPr>
          <w:rFonts w:ascii="Times New Roman" w:eastAsia="Times New Roman" w:hAnsi="Times New Roman"/>
          <w:color w:val="0000FF"/>
          <w:kern w:val="0"/>
          <w:sz w:val="20"/>
          <w:szCs w:val="20"/>
          <w:lang w:eastAsia="en-US"/>
        </w:rPr>
        <w:t>greement.</w:t>
      </w:r>
    </w:p>
    <w:p w:rsidR="006376B1" w:rsidRDefault="006376B1" w:rsidP="00FA5FCA">
      <w:pPr>
        <w:rPr>
          <w:rFonts w:ascii="Times New Roman" w:eastAsia="Times New Roman" w:hAnsi="Times New Roman"/>
          <w:color w:val="0000FF"/>
          <w:kern w:val="0"/>
          <w:sz w:val="20"/>
          <w:szCs w:val="20"/>
          <w:lang w:eastAsia="en-US"/>
        </w:rPr>
      </w:pPr>
    </w:p>
    <w:p w:rsidR="00897354" w:rsidRPr="00FA5FCA" w:rsidRDefault="005D5DE0" w:rsidP="00FA5FCA">
      <w:pPr>
        <w:rPr>
          <w:rFonts w:ascii="Times New Roman" w:eastAsia="Times New Roman" w:hAnsi="Times New Roman"/>
          <w:color w:val="0000FF"/>
          <w:kern w:val="0"/>
          <w:sz w:val="20"/>
          <w:szCs w:val="20"/>
          <w:lang w:eastAsia="en-US"/>
        </w:rPr>
      </w:pPr>
      <w:r>
        <w:rPr>
          <w:rFonts w:ascii="Times New Roman" w:eastAsia="Times New Roman" w:hAnsi="Times New Roman"/>
          <w:color w:val="0000FF"/>
          <w:kern w:val="0"/>
          <w:sz w:val="20"/>
          <w:szCs w:val="20"/>
          <w:lang w:eastAsia="en-US"/>
        </w:rPr>
        <w:t>The</w:t>
      </w:r>
      <w:r w:rsidR="00897354" w:rsidRPr="00FA5FCA">
        <w:rPr>
          <w:rFonts w:ascii="Times New Roman" w:eastAsia="Times New Roman" w:hAnsi="Times New Roman"/>
          <w:color w:val="0000FF"/>
          <w:kern w:val="0"/>
          <w:sz w:val="20"/>
          <w:szCs w:val="20"/>
          <w:lang w:eastAsia="en-US"/>
        </w:rPr>
        <w:t xml:space="preserve"> </w:t>
      </w:r>
      <w:r w:rsidR="006376B1">
        <w:rPr>
          <w:rFonts w:ascii="Times New Roman" w:eastAsia="Times New Roman" w:hAnsi="Times New Roman"/>
          <w:color w:val="0000FF"/>
          <w:kern w:val="0"/>
          <w:sz w:val="20"/>
          <w:szCs w:val="20"/>
          <w:lang w:eastAsia="en-US"/>
        </w:rPr>
        <w:t>final output of the task force is</w:t>
      </w:r>
      <w:r w:rsidR="00897354" w:rsidRPr="00FA5FCA">
        <w:rPr>
          <w:rFonts w:ascii="Times New Roman" w:eastAsia="Times New Roman" w:hAnsi="Times New Roman"/>
          <w:color w:val="0000FF"/>
          <w:kern w:val="0"/>
          <w:sz w:val="20"/>
          <w:szCs w:val="20"/>
          <w:lang w:eastAsia="en-US"/>
        </w:rPr>
        <w:t xml:space="preserve"> available as:</w:t>
      </w:r>
    </w:p>
    <w:p w:rsidR="00897354" w:rsidRPr="00FA5FCA" w:rsidRDefault="00897354" w:rsidP="00FA5FCA">
      <w:pPr>
        <w:rPr>
          <w:rFonts w:ascii="Times New Roman" w:eastAsia="Times New Roman" w:hAnsi="Times New Roman"/>
          <w:color w:val="0000FF"/>
          <w:kern w:val="0"/>
          <w:sz w:val="20"/>
          <w:szCs w:val="20"/>
          <w:lang w:eastAsia="en-US"/>
        </w:rPr>
      </w:pPr>
      <w:r w:rsidRPr="00FA5FCA">
        <w:rPr>
          <w:rFonts w:ascii="Times New Roman" w:eastAsia="Times New Roman" w:hAnsi="Times New Roman"/>
          <w:color w:val="0000FF"/>
          <w:kern w:val="0"/>
          <w:sz w:val="20"/>
          <w:szCs w:val="20"/>
          <w:lang w:eastAsia="en-US"/>
        </w:rPr>
        <w:t xml:space="preserve">GRVA-01-17 (UN TF-CS_OTA) Final Draft Recommendation on Cyber Security incl. Annex </w:t>
      </w:r>
      <w:proofErr w:type="gramStart"/>
      <w:r w:rsidRPr="00FA5FCA">
        <w:rPr>
          <w:rFonts w:ascii="Times New Roman" w:eastAsia="Times New Roman" w:hAnsi="Times New Roman"/>
          <w:color w:val="0000FF"/>
          <w:kern w:val="0"/>
          <w:sz w:val="20"/>
          <w:szCs w:val="20"/>
          <w:lang w:eastAsia="en-US"/>
        </w:rPr>
        <w:t>A-</w:t>
      </w:r>
      <w:proofErr w:type="gramEnd"/>
      <w:r w:rsidRPr="00FA5FCA">
        <w:rPr>
          <w:rFonts w:ascii="Times New Roman" w:eastAsia="Times New Roman" w:hAnsi="Times New Roman"/>
          <w:color w:val="0000FF"/>
          <w:kern w:val="0"/>
          <w:sz w:val="20"/>
          <w:szCs w:val="20"/>
          <w:lang w:eastAsia="en-US"/>
        </w:rPr>
        <w:t xml:space="preserve">D.docx  </w:t>
      </w:r>
    </w:p>
    <w:p w:rsidR="00897354" w:rsidRPr="00FA5FCA" w:rsidRDefault="00897354" w:rsidP="00FA5FCA">
      <w:pPr>
        <w:rPr>
          <w:rFonts w:ascii="Times New Roman" w:eastAsia="Times New Roman" w:hAnsi="Times New Roman"/>
          <w:color w:val="0000FF"/>
          <w:kern w:val="0"/>
          <w:sz w:val="20"/>
          <w:szCs w:val="20"/>
          <w:lang w:eastAsia="en-US"/>
        </w:rPr>
      </w:pPr>
      <w:r w:rsidRPr="00FA5FCA">
        <w:rPr>
          <w:rFonts w:ascii="Times New Roman" w:eastAsia="Times New Roman" w:hAnsi="Times New Roman"/>
          <w:color w:val="0000FF"/>
          <w:kern w:val="0"/>
          <w:sz w:val="20"/>
          <w:szCs w:val="20"/>
          <w:lang w:eastAsia="en-US"/>
        </w:rPr>
        <w:t xml:space="preserve">GRVA-01-18 (UN TF-CS_OTA) Final Draft Recommendation on Software Updates incl. Annex A-B.docx  </w:t>
      </w:r>
    </w:p>
    <w:p w:rsidR="00897354" w:rsidRPr="00FA5FCA" w:rsidRDefault="00897354" w:rsidP="00FA5FCA">
      <w:pPr>
        <w:rPr>
          <w:rFonts w:ascii="Times New Roman" w:eastAsia="Times New Roman" w:hAnsi="Times New Roman"/>
          <w:color w:val="0000FF"/>
          <w:kern w:val="0"/>
          <w:sz w:val="20"/>
          <w:szCs w:val="20"/>
          <w:lang w:eastAsia="en-US"/>
        </w:rPr>
      </w:pPr>
      <w:r w:rsidRPr="00FA5FCA">
        <w:rPr>
          <w:rFonts w:ascii="Times New Roman" w:eastAsia="Times New Roman" w:hAnsi="Times New Roman"/>
          <w:color w:val="0000FF"/>
          <w:kern w:val="0"/>
          <w:sz w:val="20"/>
          <w:szCs w:val="20"/>
          <w:lang w:eastAsia="en-US"/>
        </w:rPr>
        <w:t xml:space="preserve">GRVA-01-19 (UN TF-CS_OTA) Final Report TFCS.pptx  </w:t>
      </w:r>
    </w:p>
    <w:p w:rsidR="00897354" w:rsidRPr="00897354" w:rsidRDefault="00897354" w:rsidP="00FA5FCA">
      <w:pPr>
        <w:rPr>
          <w:rFonts w:ascii="Times New Roman" w:eastAsia="Times New Roman" w:hAnsi="Times New Roman"/>
          <w:color w:val="0000FF"/>
          <w:kern w:val="0"/>
          <w:sz w:val="20"/>
          <w:szCs w:val="20"/>
          <w:lang w:eastAsia="en-US"/>
        </w:rPr>
      </w:pPr>
    </w:p>
    <w:p w:rsidR="009A354C" w:rsidRPr="00FA5FCA" w:rsidRDefault="00897354" w:rsidP="00FA5FCA">
      <w:pPr>
        <w:rPr>
          <w:rFonts w:ascii="Times New Roman" w:eastAsia="Times New Roman" w:hAnsi="Times New Roman"/>
          <w:color w:val="0000FF"/>
          <w:kern w:val="0"/>
          <w:sz w:val="20"/>
          <w:szCs w:val="20"/>
          <w:lang w:eastAsia="en-US"/>
        </w:rPr>
      </w:pPr>
      <w:r w:rsidRPr="00FA5FCA">
        <w:rPr>
          <w:rFonts w:ascii="Times New Roman" w:eastAsia="Times New Roman" w:hAnsi="Times New Roman"/>
          <w:color w:val="0000FF"/>
          <w:kern w:val="0"/>
          <w:sz w:val="20"/>
          <w:szCs w:val="20"/>
          <w:lang w:eastAsia="en-US"/>
        </w:rPr>
        <w:t xml:space="preserve">The co-chairs noted the amazing support of all participants and organizations in producing these papers and expressed their gratitude and thanks. </w:t>
      </w:r>
    </w:p>
    <w:p w:rsidR="0060534E" w:rsidRDefault="0060534E" w:rsidP="002D35B8">
      <w:pPr>
        <w:rPr>
          <w:rFonts w:ascii="Times New Roman" w:eastAsia="Times New Roman" w:hAnsi="Times New Roman"/>
          <w:color w:val="0000FF"/>
          <w:kern w:val="0"/>
          <w:sz w:val="20"/>
          <w:szCs w:val="20"/>
          <w:lang w:eastAsia="en-US"/>
        </w:rPr>
      </w:pPr>
    </w:p>
    <w:p w:rsidR="00387A6F" w:rsidRPr="003C20B7" w:rsidRDefault="002D35B8" w:rsidP="00522D3A">
      <w:pPr>
        <w:pStyle w:val="HChG"/>
        <w:numPr>
          <w:ilvl w:val="0"/>
          <w:numId w:val="9"/>
        </w:numPr>
        <w:tabs>
          <w:tab w:val="clear" w:pos="851"/>
        </w:tabs>
        <w:ind w:left="720" w:right="567"/>
      </w:pPr>
      <w:r>
        <w:t>N</w:t>
      </w:r>
      <w:r w:rsidR="0022402F">
        <w:t>ext steps and meetings</w:t>
      </w:r>
    </w:p>
    <w:p w:rsidR="00416C43" w:rsidRPr="00FA5FCA" w:rsidRDefault="00FA5FCA" w:rsidP="00FA5FCA">
      <w:pPr>
        <w:pStyle w:val="SingleTxtG"/>
        <w:ind w:left="0" w:right="567"/>
        <w:jc w:val="left"/>
        <w:rPr>
          <w:rFonts w:eastAsiaTheme="minorEastAsia"/>
          <w:color w:val="0000FF"/>
          <w:lang w:val="en-US" w:eastAsia="ja-JP"/>
        </w:rPr>
      </w:pPr>
      <w:r w:rsidRPr="00FA5FCA">
        <w:rPr>
          <w:rFonts w:eastAsiaTheme="minorEastAsia"/>
          <w:color w:val="0000FF"/>
          <w:lang w:val="en-US" w:eastAsia="ja-JP"/>
        </w:rPr>
        <w:t>The task force agreed not to reconvene until invited to do so by the GRVA (or another UNECE body). If this happens the terms of reference of the group should be reviewed to ensure they are appropriate.</w:t>
      </w:r>
    </w:p>
    <w:sectPr w:rsidR="00416C43" w:rsidRPr="00FA5FCA" w:rsidSect="00044E45">
      <w:headerReference w:type="default" r:id="rId11"/>
      <w:footerReference w:type="default" r:id="rId12"/>
      <w:pgSz w:w="11906" w:h="16838" w:code="9"/>
      <w:pgMar w:top="1985" w:right="836" w:bottom="1701" w:left="144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EC" w:rsidRDefault="00831FEC">
      <w:r>
        <w:separator/>
      </w:r>
    </w:p>
  </w:endnote>
  <w:endnote w:type="continuationSeparator" w:id="0">
    <w:p w:rsidR="00831FEC" w:rsidRDefault="0083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39904"/>
      <w:docPartObj>
        <w:docPartGallery w:val="Page Numbers (Bottom of Page)"/>
        <w:docPartUnique/>
      </w:docPartObj>
    </w:sdtPr>
    <w:sdtEndPr>
      <w:rPr>
        <w:noProof/>
      </w:rPr>
    </w:sdtEndPr>
    <w:sdtContent>
      <w:p w:rsidR="009A354C" w:rsidRDefault="009A354C">
        <w:pPr>
          <w:pStyle w:val="Footer"/>
          <w:jc w:val="right"/>
        </w:pPr>
        <w:r>
          <w:fldChar w:fldCharType="begin"/>
        </w:r>
        <w:r>
          <w:instrText xml:space="preserve"> PAGE   \* MERGEFORMAT </w:instrText>
        </w:r>
        <w:r>
          <w:fldChar w:fldCharType="separate"/>
        </w:r>
        <w:r w:rsidR="00882257">
          <w:rPr>
            <w:noProof/>
          </w:rPr>
          <w:t>7</w:t>
        </w:r>
        <w:r>
          <w:rPr>
            <w:noProof/>
          </w:rPr>
          <w:fldChar w:fldCharType="end"/>
        </w:r>
      </w:p>
    </w:sdtContent>
  </w:sdt>
  <w:p w:rsidR="009A354C" w:rsidRDefault="009A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EC" w:rsidRDefault="00831FEC">
      <w:r>
        <w:separator/>
      </w:r>
    </w:p>
  </w:footnote>
  <w:footnote w:type="continuationSeparator" w:id="0">
    <w:p w:rsidR="00831FEC" w:rsidRDefault="0083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4C" w:rsidRPr="0071790C" w:rsidRDefault="009A354C" w:rsidP="00400B6D">
    <w:pPr>
      <w:tabs>
        <w:tab w:val="left" w:pos="5670"/>
      </w:tabs>
      <w:autoSpaceDE w:val="0"/>
      <w:autoSpaceDN w:val="0"/>
      <w:adjustRightInd w:val="0"/>
      <w:jc w:val="left"/>
      <w:rPr>
        <w:rFonts w:ascii="Times New Roman" w:hAnsi="Times New Roman"/>
        <w:b/>
        <w:kern w:val="0"/>
        <w:sz w:val="20"/>
        <w:szCs w:val="20"/>
      </w:rPr>
    </w:pPr>
    <w:r w:rsidRPr="00400B6D">
      <w:rPr>
        <w:rFonts w:ascii="Times New Roman" w:hAnsi="Times New Roman"/>
        <w:kern w:val="0"/>
        <w:sz w:val="20"/>
        <w:szCs w:val="20"/>
      </w:rPr>
      <w:t>Submitted by the</w:t>
    </w:r>
    <w:r>
      <w:rPr>
        <w:rFonts w:ascii="Times New Roman" w:hAnsi="Times New Roman"/>
        <w:kern w:val="0"/>
        <w:sz w:val="20"/>
        <w:szCs w:val="20"/>
      </w:rPr>
      <w:t xml:space="preserve"> Secretary</w:t>
    </w:r>
    <w:r w:rsidRPr="00400B6D">
      <w:rPr>
        <w:rFonts w:ascii="Times New Roman" w:hAnsi="Times New Roman"/>
        <w:kern w:val="0"/>
        <w:sz w:val="20"/>
        <w:szCs w:val="20"/>
      </w:rPr>
      <w:tab/>
    </w:r>
    <w:r w:rsidRPr="00400B6D">
      <w:rPr>
        <w:rFonts w:ascii="Times New Roman" w:hAnsi="Times New Roman"/>
        <w:kern w:val="0"/>
        <w:sz w:val="20"/>
        <w:szCs w:val="20"/>
        <w:u w:val="single"/>
      </w:rPr>
      <w:t>Working Paper</w:t>
    </w:r>
    <w:r w:rsidRPr="00400B6D">
      <w:rPr>
        <w:rFonts w:ascii="Times New Roman" w:hAnsi="Times New Roman"/>
        <w:kern w:val="0"/>
        <w:sz w:val="20"/>
        <w:szCs w:val="20"/>
      </w:rPr>
      <w:t xml:space="preserve"> </w:t>
    </w:r>
    <w:r>
      <w:rPr>
        <w:rFonts w:ascii="Times New Roman" w:hAnsi="Times New Roman"/>
        <w:b/>
        <w:kern w:val="0"/>
        <w:sz w:val="20"/>
        <w:szCs w:val="20"/>
      </w:rPr>
      <w:t>TFCS</w:t>
    </w:r>
    <w:r w:rsidRPr="00400B6D">
      <w:rPr>
        <w:rFonts w:ascii="Times New Roman" w:hAnsi="Times New Roman"/>
        <w:b/>
        <w:kern w:val="0"/>
        <w:sz w:val="20"/>
        <w:szCs w:val="20"/>
      </w:rPr>
      <w:t>-</w:t>
    </w:r>
    <w:r>
      <w:rPr>
        <w:rFonts w:ascii="Times New Roman" w:hAnsi="Times New Roman"/>
        <w:b/>
        <w:kern w:val="0"/>
        <w:sz w:val="20"/>
        <w:szCs w:val="20"/>
      </w:rPr>
      <w:t>1</w:t>
    </w:r>
    <w:r w:rsidR="00016E83">
      <w:rPr>
        <w:rFonts w:ascii="Times New Roman" w:hAnsi="Times New Roman" w:hint="eastAsia"/>
        <w:b/>
        <w:kern w:val="0"/>
        <w:sz w:val="20"/>
        <w:szCs w:val="20"/>
      </w:rPr>
      <w:t>3</w:t>
    </w:r>
    <w:r w:rsidRPr="00400B6D">
      <w:rPr>
        <w:rFonts w:ascii="Times New Roman" w:hAnsi="Times New Roman"/>
        <w:b/>
        <w:kern w:val="0"/>
        <w:sz w:val="20"/>
        <w:szCs w:val="20"/>
      </w:rPr>
      <w:t>-</w:t>
    </w:r>
    <w:r w:rsidR="00016E83">
      <w:rPr>
        <w:rFonts w:ascii="Times New Roman" w:hAnsi="Times New Roman"/>
        <w:b/>
        <w:kern w:val="0"/>
        <w:sz w:val="20"/>
        <w:szCs w:val="20"/>
      </w:rPr>
      <w:t>21</w:t>
    </w:r>
    <w:r>
      <w:rPr>
        <w:rFonts w:ascii="Times New Roman" w:hAnsi="Times New Roman"/>
        <w:b/>
        <w:kern w:val="0"/>
        <w:sz w:val="20"/>
        <w:szCs w:val="20"/>
      </w:rPr>
      <w:t xml:space="preserve"> </w:t>
    </w:r>
    <w:r>
      <w:rPr>
        <w:rFonts w:ascii="Times New Roman" w:hAnsi="Times New Roman"/>
        <w:b/>
        <w:kern w:val="0"/>
        <w:sz w:val="20"/>
        <w:szCs w:val="20"/>
      </w:rPr>
      <w:br/>
    </w:r>
    <w:r>
      <w:rPr>
        <w:rFonts w:ascii="Times New Roman" w:hAnsi="Times New Roman"/>
        <w:kern w:val="0"/>
        <w:sz w:val="20"/>
        <w:szCs w:val="20"/>
      </w:rPr>
      <w:t>of the TF on CS and OTA issues</w:t>
    </w:r>
    <w:r>
      <w:rPr>
        <w:rFonts w:ascii="Times New Roman" w:hAnsi="Times New Roman"/>
        <w:kern w:val="0"/>
        <w:sz w:val="20"/>
        <w:szCs w:val="20"/>
      </w:rPr>
      <w:tab/>
      <w:t>1</w:t>
    </w:r>
    <w:r w:rsidR="00016E83">
      <w:rPr>
        <w:rFonts w:ascii="Times New Roman" w:hAnsi="Times New Roman"/>
        <w:kern w:val="0"/>
        <w:sz w:val="20"/>
        <w:szCs w:val="20"/>
      </w:rPr>
      <w:t>3</w:t>
    </w:r>
    <w:r w:rsidRPr="00BC459E">
      <w:rPr>
        <w:rFonts w:ascii="Times New Roman" w:hAnsi="Times New Roman"/>
        <w:kern w:val="0"/>
        <w:sz w:val="20"/>
        <w:szCs w:val="20"/>
        <w:vertAlign w:val="superscript"/>
      </w:rPr>
      <w:t>th</w:t>
    </w:r>
    <w:r>
      <w:rPr>
        <w:rFonts w:ascii="Times New Roman" w:hAnsi="Times New Roman"/>
        <w:kern w:val="0"/>
        <w:sz w:val="20"/>
        <w:szCs w:val="20"/>
      </w:rPr>
      <w:t xml:space="preserve"> </w:t>
    </w:r>
    <w:r w:rsidRPr="00400B6D">
      <w:rPr>
        <w:rFonts w:ascii="Times New Roman" w:hAnsi="Times New Roman"/>
        <w:kern w:val="0"/>
        <w:sz w:val="20"/>
        <w:szCs w:val="20"/>
      </w:rPr>
      <w:t>TF</w:t>
    </w:r>
    <w:r>
      <w:rPr>
        <w:rFonts w:ascii="Times New Roman" w:hAnsi="Times New Roman"/>
        <w:kern w:val="0"/>
        <w:sz w:val="20"/>
        <w:szCs w:val="20"/>
      </w:rPr>
      <w:t>CS</w:t>
    </w:r>
    <w:r w:rsidRPr="00400B6D">
      <w:rPr>
        <w:rFonts w:ascii="Times New Roman" w:hAnsi="Times New Roman"/>
        <w:kern w:val="0"/>
        <w:sz w:val="20"/>
        <w:szCs w:val="20"/>
      </w:rPr>
      <w:t xml:space="preserve">, </w:t>
    </w:r>
    <w:r>
      <w:rPr>
        <w:rFonts w:ascii="Times New Roman" w:hAnsi="Times New Roman" w:hint="eastAsia"/>
        <w:kern w:val="0"/>
        <w:sz w:val="20"/>
        <w:szCs w:val="20"/>
      </w:rPr>
      <w:t>17</w:t>
    </w:r>
    <w:r>
      <w:rPr>
        <w:rFonts w:ascii="Times New Roman" w:hAnsi="Times New Roman"/>
        <w:kern w:val="0"/>
        <w:sz w:val="20"/>
        <w:szCs w:val="20"/>
      </w:rPr>
      <w:t>-</w:t>
    </w:r>
    <w:r>
      <w:rPr>
        <w:rFonts w:ascii="Times New Roman" w:hAnsi="Times New Roman" w:hint="eastAsia"/>
        <w:kern w:val="0"/>
        <w:sz w:val="20"/>
        <w:szCs w:val="20"/>
      </w:rPr>
      <w:t>19</w:t>
    </w:r>
    <w:r>
      <w:rPr>
        <w:rFonts w:ascii="Times New Roman" w:hAnsi="Times New Roman"/>
        <w:kern w:val="0"/>
        <w:sz w:val="20"/>
        <w:szCs w:val="20"/>
      </w:rPr>
      <w:t xml:space="preserve"> </w:t>
    </w:r>
    <w:r>
      <w:rPr>
        <w:rFonts w:ascii="Times New Roman" w:hAnsi="Times New Roman" w:hint="eastAsia"/>
        <w:kern w:val="0"/>
        <w:sz w:val="20"/>
        <w:szCs w:val="20"/>
      </w:rPr>
      <w:t>April</w:t>
    </w:r>
    <w:r>
      <w:rPr>
        <w:rFonts w:ascii="Times New Roman" w:hAnsi="Times New Roman"/>
        <w:kern w:val="0"/>
        <w:sz w:val="20"/>
        <w:szCs w:val="20"/>
      </w:rPr>
      <w:t xml:space="preserve"> 2018</w:t>
    </w:r>
    <w:r w:rsidRPr="00400B6D">
      <w:rPr>
        <w:rFonts w:ascii="Times New Roman" w:hAnsi="Times New Roman"/>
        <w:kern w:val="0"/>
        <w:sz w:val="20"/>
        <w:szCs w:val="20"/>
      </w:rPr>
      <w:br/>
    </w:r>
    <w:r>
      <w:rPr>
        <w:rFonts w:ascii="Times New Roman" w:hAnsi="Times New Roman"/>
        <w:kern w:val="0"/>
        <w:sz w:val="20"/>
        <w:szCs w:val="20"/>
      </w:rPr>
      <w:tab/>
    </w:r>
  </w:p>
  <w:p w:rsidR="009A354C" w:rsidRPr="00140C56" w:rsidRDefault="009A3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176"/>
    <w:multiLevelType w:val="hybridMultilevel"/>
    <w:tmpl w:val="1D9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63142"/>
    <w:multiLevelType w:val="hybridMultilevel"/>
    <w:tmpl w:val="EDFEC6D0"/>
    <w:lvl w:ilvl="0" w:tplc="B504E872">
      <w:numFmt w:val="bullet"/>
      <w:lvlText w:val="•"/>
      <w:lvlJc w:val="left"/>
      <w:pPr>
        <w:ind w:left="814" w:hanging="360"/>
      </w:pPr>
      <w:rPr>
        <w:rFonts w:ascii="Times New Roman" w:eastAsia="Times New Roman" w:hAnsi="Times New Roman" w:cs="Times New Roman" w:hint="default"/>
      </w:rPr>
    </w:lvl>
    <w:lvl w:ilvl="1" w:tplc="08090003" w:tentative="1">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
    <w:nsid w:val="0B3763B6"/>
    <w:multiLevelType w:val="hybridMultilevel"/>
    <w:tmpl w:val="1316AF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BC653A2"/>
    <w:multiLevelType w:val="hybridMultilevel"/>
    <w:tmpl w:val="0C128A2E"/>
    <w:lvl w:ilvl="0" w:tplc="958A74DE">
      <w:numFmt w:val="bullet"/>
      <w:lvlText w:val="-"/>
      <w:lvlJc w:val="left"/>
      <w:pPr>
        <w:ind w:left="720" w:hanging="360"/>
      </w:pPr>
      <w:rPr>
        <w:rFonts w:ascii="Century" w:eastAsia="MS Mincho" w:hAnsi="Centur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B0DB8"/>
    <w:multiLevelType w:val="hybridMultilevel"/>
    <w:tmpl w:val="A208A1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846DA"/>
    <w:multiLevelType w:val="hybridMultilevel"/>
    <w:tmpl w:val="BBF4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3427C"/>
    <w:multiLevelType w:val="hybridMultilevel"/>
    <w:tmpl w:val="C362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126E4"/>
    <w:multiLevelType w:val="hybridMultilevel"/>
    <w:tmpl w:val="5BB23184"/>
    <w:lvl w:ilvl="0" w:tplc="B504E87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2B7D1B16"/>
    <w:multiLevelType w:val="hybridMultilevel"/>
    <w:tmpl w:val="60F85EE2"/>
    <w:lvl w:ilvl="0" w:tplc="04ACB112">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A41F9"/>
    <w:multiLevelType w:val="hybridMultilevel"/>
    <w:tmpl w:val="84B2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72DC5"/>
    <w:multiLevelType w:val="hybridMultilevel"/>
    <w:tmpl w:val="28A4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36D58"/>
    <w:multiLevelType w:val="hybridMultilevel"/>
    <w:tmpl w:val="8662C79A"/>
    <w:lvl w:ilvl="0" w:tplc="7C6000EA">
      <w:numFmt w:val="bullet"/>
      <w:lvlText w:val="-"/>
      <w:lvlJc w:val="left"/>
      <w:pPr>
        <w:tabs>
          <w:tab w:val="num" w:pos="3960"/>
        </w:tabs>
        <w:ind w:left="3960" w:hanging="360"/>
      </w:pPr>
      <w:rPr>
        <w:rFonts w:ascii="Times New Roman" w:eastAsia="MS Mincho" w:hAnsi="Times New Roman" w:cs="Times New Roman" w:hint="default"/>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12">
    <w:nsid w:val="3E0D44D2"/>
    <w:multiLevelType w:val="hybridMultilevel"/>
    <w:tmpl w:val="D8CC8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E3164"/>
    <w:multiLevelType w:val="hybridMultilevel"/>
    <w:tmpl w:val="06C8A000"/>
    <w:lvl w:ilvl="0" w:tplc="B504E872">
      <w:numFmt w:val="bullet"/>
      <w:lvlText w:val="•"/>
      <w:lvlJc w:val="left"/>
      <w:pPr>
        <w:ind w:left="587" w:hanging="360"/>
      </w:pPr>
      <w:rPr>
        <w:rFonts w:ascii="Times New Roman" w:eastAsia="Times New Roman" w:hAnsi="Times New Roman" w:cs="Times New Roman" w:hint="default"/>
      </w:rPr>
    </w:lvl>
    <w:lvl w:ilvl="1" w:tplc="08090003">
      <w:start w:val="1"/>
      <w:numFmt w:val="bullet"/>
      <w:lvlText w:val="o"/>
      <w:lvlJc w:val="left"/>
      <w:pPr>
        <w:ind w:left="533" w:hanging="360"/>
      </w:pPr>
      <w:rPr>
        <w:rFonts w:ascii="Courier New" w:hAnsi="Courier New" w:cs="Courier New" w:hint="default"/>
      </w:rPr>
    </w:lvl>
    <w:lvl w:ilvl="2" w:tplc="08090005">
      <w:start w:val="1"/>
      <w:numFmt w:val="bullet"/>
      <w:lvlText w:val=""/>
      <w:lvlJc w:val="left"/>
      <w:pPr>
        <w:ind w:left="1253" w:hanging="360"/>
      </w:pPr>
      <w:rPr>
        <w:rFonts w:ascii="Wingdings" w:hAnsi="Wingdings" w:hint="default"/>
      </w:rPr>
    </w:lvl>
    <w:lvl w:ilvl="3" w:tplc="08090001" w:tentative="1">
      <w:start w:val="1"/>
      <w:numFmt w:val="bullet"/>
      <w:lvlText w:val=""/>
      <w:lvlJc w:val="left"/>
      <w:pPr>
        <w:ind w:left="1973" w:hanging="360"/>
      </w:pPr>
      <w:rPr>
        <w:rFonts w:ascii="Symbol" w:hAnsi="Symbol" w:hint="default"/>
      </w:rPr>
    </w:lvl>
    <w:lvl w:ilvl="4" w:tplc="08090003" w:tentative="1">
      <w:start w:val="1"/>
      <w:numFmt w:val="bullet"/>
      <w:lvlText w:val="o"/>
      <w:lvlJc w:val="left"/>
      <w:pPr>
        <w:ind w:left="2693" w:hanging="360"/>
      </w:pPr>
      <w:rPr>
        <w:rFonts w:ascii="Courier New" w:hAnsi="Courier New" w:cs="Courier New" w:hint="default"/>
      </w:rPr>
    </w:lvl>
    <w:lvl w:ilvl="5" w:tplc="08090005" w:tentative="1">
      <w:start w:val="1"/>
      <w:numFmt w:val="bullet"/>
      <w:lvlText w:val=""/>
      <w:lvlJc w:val="left"/>
      <w:pPr>
        <w:ind w:left="3413" w:hanging="360"/>
      </w:pPr>
      <w:rPr>
        <w:rFonts w:ascii="Wingdings" w:hAnsi="Wingdings" w:hint="default"/>
      </w:rPr>
    </w:lvl>
    <w:lvl w:ilvl="6" w:tplc="08090001" w:tentative="1">
      <w:start w:val="1"/>
      <w:numFmt w:val="bullet"/>
      <w:lvlText w:val=""/>
      <w:lvlJc w:val="left"/>
      <w:pPr>
        <w:ind w:left="4133" w:hanging="360"/>
      </w:pPr>
      <w:rPr>
        <w:rFonts w:ascii="Symbol" w:hAnsi="Symbol" w:hint="default"/>
      </w:rPr>
    </w:lvl>
    <w:lvl w:ilvl="7" w:tplc="08090003" w:tentative="1">
      <w:start w:val="1"/>
      <w:numFmt w:val="bullet"/>
      <w:lvlText w:val="o"/>
      <w:lvlJc w:val="left"/>
      <w:pPr>
        <w:ind w:left="4853" w:hanging="360"/>
      </w:pPr>
      <w:rPr>
        <w:rFonts w:ascii="Courier New" w:hAnsi="Courier New" w:cs="Courier New" w:hint="default"/>
      </w:rPr>
    </w:lvl>
    <w:lvl w:ilvl="8" w:tplc="08090005" w:tentative="1">
      <w:start w:val="1"/>
      <w:numFmt w:val="bullet"/>
      <w:lvlText w:val=""/>
      <w:lvlJc w:val="left"/>
      <w:pPr>
        <w:ind w:left="5573" w:hanging="360"/>
      </w:pPr>
      <w:rPr>
        <w:rFonts w:ascii="Wingdings" w:hAnsi="Wingdings" w:hint="default"/>
      </w:rPr>
    </w:lvl>
  </w:abstractNum>
  <w:abstractNum w:abstractNumId="14">
    <w:nsid w:val="44F76B3F"/>
    <w:multiLevelType w:val="hybridMultilevel"/>
    <w:tmpl w:val="DCD6823E"/>
    <w:lvl w:ilvl="0" w:tplc="0AC695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A54B5"/>
    <w:multiLevelType w:val="hybridMultilevel"/>
    <w:tmpl w:val="CF64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70C13"/>
    <w:multiLevelType w:val="hybridMultilevel"/>
    <w:tmpl w:val="E79040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6D55858"/>
    <w:multiLevelType w:val="hybridMultilevel"/>
    <w:tmpl w:val="05B4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A27785"/>
    <w:multiLevelType w:val="hybridMultilevel"/>
    <w:tmpl w:val="F3B87A3E"/>
    <w:lvl w:ilvl="0" w:tplc="E5489F7C">
      <w:numFmt w:val="bullet"/>
      <w:lvlText w:val="-"/>
      <w:lvlJc w:val="left"/>
      <w:pPr>
        <w:tabs>
          <w:tab w:val="num" w:pos="3960"/>
        </w:tabs>
        <w:ind w:left="3960" w:hanging="360"/>
      </w:pPr>
      <w:rPr>
        <w:rFonts w:ascii="Times New Roman" w:eastAsia="MS Mincho" w:hAnsi="Times New Roman" w:cs="Times New Roman" w:hint="default"/>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19">
    <w:nsid w:val="728815AC"/>
    <w:multiLevelType w:val="hybridMultilevel"/>
    <w:tmpl w:val="567686D0"/>
    <w:lvl w:ilvl="0" w:tplc="F3F6EC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9DD6785"/>
    <w:multiLevelType w:val="hybridMultilevel"/>
    <w:tmpl w:val="65A02B84"/>
    <w:lvl w:ilvl="0" w:tplc="FEB6567C">
      <w:numFmt w:val="bullet"/>
      <w:lvlText w:val="-"/>
      <w:lvlJc w:val="left"/>
      <w:pPr>
        <w:tabs>
          <w:tab w:val="num" w:pos="3840"/>
        </w:tabs>
        <w:ind w:left="3840" w:hanging="360"/>
      </w:pPr>
      <w:rPr>
        <w:rFonts w:ascii="Times New Roman" w:eastAsia="MS Mincho" w:hAnsi="Times New Roman" w:cs="Times New Roman" w:hint="default"/>
      </w:rPr>
    </w:lvl>
    <w:lvl w:ilvl="1" w:tplc="0409000B" w:tentative="1">
      <w:start w:val="1"/>
      <w:numFmt w:val="bullet"/>
      <w:lvlText w:val=""/>
      <w:lvlJc w:val="left"/>
      <w:pPr>
        <w:tabs>
          <w:tab w:val="num" w:pos="4320"/>
        </w:tabs>
        <w:ind w:left="4320" w:hanging="420"/>
      </w:pPr>
      <w:rPr>
        <w:rFonts w:ascii="Wingdings" w:hAnsi="Wingdings" w:hint="default"/>
      </w:rPr>
    </w:lvl>
    <w:lvl w:ilvl="2" w:tplc="0409000D" w:tentative="1">
      <w:start w:val="1"/>
      <w:numFmt w:val="bullet"/>
      <w:lvlText w:val=""/>
      <w:lvlJc w:val="left"/>
      <w:pPr>
        <w:tabs>
          <w:tab w:val="num" w:pos="4740"/>
        </w:tabs>
        <w:ind w:left="4740" w:hanging="420"/>
      </w:pPr>
      <w:rPr>
        <w:rFonts w:ascii="Wingdings" w:hAnsi="Wingdings" w:hint="default"/>
      </w:rPr>
    </w:lvl>
    <w:lvl w:ilvl="3" w:tplc="04090001" w:tentative="1">
      <w:start w:val="1"/>
      <w:numFmt w:val="bullet"/>
      <w:lvlText w:val=""/>
      <w:lvlJc w:val="left"/>
      <w:pPr>
        <w:tabs>
          <w:tab w:val="num" w:pos="5160"/>
        </w:tabs>
        <w:ind w:left="5160" w:hanging="420"/>
      </w:pPr>
      <w:rPr>
        <w:rFonts w:ascii="Wingdings" w:hAnsi="Wingdings" w:hint="default"/>
      </w:rPr>
    </w:lvl>
    <w:lvl w:ilvl="4" w:tplc="0409000B" w:tentative="1">
      <w:start w:val="1"/>
      <w:numFmt w:val="bullet"/>
      <w:lvlText w:val=""/>
      <w:lvlJc w:val="left"/>
      <w:pPr>
        <w:tabs>
          <w:tab w:val="num" w:pos="5580"/>
        </w:tabs>
        <w:ind w:left="5580" w:hanging="420"/>
      </w:pPr>
      <w:rPr>
        <w:rFonts w:ascii="Wingdings" w:hAnsi="Wingdings" w:hint="default"/>
      </w:rPr>
    </w:lvl>
    <w:lvl w:ilvl="5" w:tplc="0409000D" w:tentative="1">
      <w:start w:val="1"/>
      <w:numFmt w:val="bullet"/>
      <w:lvlText w:val=""/>
      <w:lvlJc w:val="left"/>
      <w:pPr>
        <w:tabs>
          <w:tab w:val="num" w:pos="6000"/>
        </w:tabs>
        <w:ind w:left="6000" w:hanging="420"/>
      </w:pPr>
      <w:rPr>
        <w:rFonts w:ascii="Wingdings" w:hAnsi="Wingdings" w:hint="default"/>
      </w:rPr>
    </w:lvl>
    <w:lvl w:ilvl="6" w:tplc="04090001" w:tentative="1">
      <w:start w:val="1"/>
      <w:numFmt w:val="bullet"/>
      <w:lvlText w:val=""/>
      <w:lvlJc w:val="left"/>
      <w:pPr>
        <w:tabs>
          <w:tab w:val="num" w:pos="6420"/>
        </w:tabs>
        <w:ind w:left="6420" w:hanging="420"/>
      </w:pPr>
      <w:rPr>
        <w:rFonts w:ascii="Wingdings" w:hAnsi="Wingdings" w:hint="default"/>
      </w:rPr>
    </w:lvl>
    <w:lvl w:ilvl="7" w:tplc="0409000B" w:tentative="1">
      <w:start w:val="1"/>
      <w:numFmt w:val="bullet"/>
      <w:lvlText w:val=""/>
      <w:lvlJc w:val="left"/>
      <w:pPr>
        <w:tabs>
          <w:tab w:val="num" w:pos="6840"/>
        </w:tabs>
        <w:ind w:left="6840" w:hanging="420"/>
      </w:pPr>
      <w:rPr>
        <w:rFonts w:ascii="Wingdings" w:hAnsi="Wingdings" w:hint="default"/>
      </w:rPr>
    </w:lvl>
    <w:lvl w:ilvl="8" w:tplc="0409000D" w:tentative="1">
      <w:start w:val="1"/>
      <w:numFmt w:val="bullet"/>
      <w:lvlText w:val=""/>
      <w:lvlJc w:val="left"/>
      <w:pPr>
        <w:tabs>
          <w:tab w:val="num" w:pos="7260"/>
        </w:tabs>
        <w:ind w:left="7260" w:hanging="420"/>
      </w:pPr>
      <w:rPr>
        <w:rFonts w:ascii="Wingdings" w:hAnsi="Wingdings" w:hint="default"/>
      </w:rPr>
    </w:lvl>
  </w:abstractNum>
  <w:abstractNum w:abstractNumId="21">
    <w:nsid w:val="7BCC02F5"/>
    <w:multiLevelType w:val="hybridMultilevel"/>
    <w:tmpl w:val="F290033A"/>
    <w:lvl w:ilvl="0" w:tplc="B504E87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9"/>
  </w:num>
  <w:num w:numId="2">
    <w:abstractNumId w:val="18"/>
  </w:num>
  <w:num w:numId="3">
    <w:abstractNumId w:val="11"/>
  </w:num>
  <w:num w:numId="4">
    <w:abstractNumId w:val="20"/>
  </w:num>
  <w:num w:numId="5">
    <w:abstractNumId w:val="15"/>
  </w:num>
  <w:num w:numId="6">
    <w:abstractNumId w:val="9"/>
  </w:num>
  <w:num w:numId="7">
    <w:abstractNumId w:val="2"/>
  </w:num>
  <w:num w:numId="8">
    <w:abstractNumId w:val="16"/>
  </w:num>
  <w:num w:numId="9">
    <w:abstractNumId w:val="8"/>
  </w:num>
  <w:num w:numId="10">
    <w:abstractNumId w:val="10"/>
  </w:num>
  <w:num w:numId="11">
    <w:abstractNumId w:val="21"/>
  </w:num>
  <w:num w:numId="12">
    <w:abstractNumId w:val="7"/>
  </w:num>
  <w:num w:numId="13">
    <w:abstractNumId w:val="1"/>
  </w:num>
  <w:num w:numId="14">
    <w:abstractNumId w:val="13"/>
  </w:num>
  <w:num w:numId="15">
    <w:abstractNumId w:val="3"/>
  </w:num>
  <w:num w:numId="16">
    <w:abstractNumId w:val="14"/>
  </w:num>
  <w:num w:numId="17">
    <w:abstractNumId w:val="4"/>
  </w:num>
  <w:num w:numId="18">
    <w:abstractNumId w:val="17"/>
  </w:num>
  <w:num w:numId="19">
    <w:abstractNumId w:val="0"/>
  </w:num>
  <w:num w:numId="20">
    <w:abstractNumId w:val="12"/>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41"/>
    <w:rsid w:val="000011FD"/>
    <w:rsid w:val="0000549E"/>
    <w:rsid w:val="00006EE9"/>
    <w:rsid w:val="00016E83"/>
    <w:rsid w:val="000218AC"/>
    <w:rsid w:val="0003089B"/>
    <w:rsid w:val="00037FD2"/>
    <w:rsid w:val="00040D0F"/>
    <w:rsid w:val="00044011"/>
    <w:rsid w:val="00044444"/>
    <w:rsid w:val="00044E45"/>
    <w:rsid w:val="000456EA"/>
    <w:rsid w:val="00052CF4"/>
    <w:rsid w:val="00064B31"/>
    <w:rsid w:val="00065F5F"/>
    <w:rsid w:val="000673FC"/>
    <w:rsid w:val="0007476B"/>
    <w:rsid w:val="000774F4"/>
    <w:rsid w:val="000800F5"/>
    <w:rsid w:val="00086619"/>
    <w:rsid w:val="00091465"/>
    <w:rsid w:val="00095F40"/>
    <w:rsid w:val="00096675"/>
    <w:rsid w:val="000A429E"/>
    <w:rsid w:val="000A7B94"/>
    <w:rsid w:val="000C0166"/>
    <w:rsid w:val="000C03C3"/>
    <w:rsid w:val="000C1256"/>
    <w:rsid w:val="000C4324"/>
    <w:rsid w:val="000D5269"/>
    <w:rsid w:val="000D5D48"/>
    <w:rsid w:val="000E0070"/>
    <w:rsid w:val="000E7BCB"/>
    <w:rsid w:val="000F0125"/>
    <w:rsid w:val="000F0AC0"/>
    <w:rsid w:val="000F75DE"/>
    <w:rsid w:val="00100D83"/>
    <w:rsid w:val="0010262A"/>
    <w:rsid w:val="00105B86"/>
    <w:rsid w:val="00105C7D"/>
    <w:rsid w:val="001218A8"/>
    <w:rsid w:val="00124157"/>
    <w:rsid w:val="001244C6"/>
    <w:rsid w:val="00124B09"/>
    <w:rsid w:val="00125D5C"/>
    <w:rsid w:val="00130141"/>
    <w:rsid w:val="00140976"/>
    <w:rsid w:val="00140C56"/>
    <w:rsid w:val="00141EB6"/>
    <w:rsid w:val="00143054"/>
    <w:rsid w:val="00144EDD"/>
    <w:rsid w:val="00151B34"/>
    <w:rsid w:val="0015443F"/>
    <w:rsid w:val="001768C6"/>
    <w:rsid w:val="001814A7"/>
    <w:rsid w:val="0018158B"/>
    <w:rsid w:val="00186034"/>
    <w:rsid w:val="001B713C"/>
    <w:rsid w:val="001C1185"/>
    <w:rsid w:val="001C2179"/>
    <w:rsid w:val="001C5697"/>
    <w:rsid w:val="001D053C"/>
    <w:rsid w:val="001D1014"/>
    <w:rsid w:val="001D4469"/>
    <w:rsid w:val="001E2AFD"/>
    <w:rsid w:val="001F02CA"/>
    <w:rsid w:val="001F65C7"/>
    <w:rsid w:val="00201DE5"/>
    <w:rsid w:val="00201F0F"/>
    <w:rsid w:val="00207932"/>
    <w:rsid w:val="00216BCC"/>
    <w:rsid w:val="0022402F"/>
    <w:rsid w:val="0022620E"/>
    <w:rsid w:val="002379E2"/>
    <w:rsid w:val="0024508D"/>
    <w:rsid w:val="0024785B"/>
    <w:rsid w:val="0026145C"/>
    <w:rsid w:val="00264817"/>
    <w:rsid w:val="00297251"/>
    <w:rsid w:val="002A2658"/>
    <w:rsid w:val="002B0F08"/>
    <w:rsid w:val="002B424E"/>
    <w:rsid w:val="002B658C"/>
    <w:rsid w:val="002D35B8"/>
    <w:rsid w:val="002D5ABE"/>
    <w:rsid w:val="002D7ACF"/>
    <w:rsid w:val="002E7110"/>
    <w:rsid w:val="002F086D"/>
    <w:rsid w:val="002F7B07"/>
    <w:rsid w:val="00300EC9"/>
    <w:rsid w:val="00303247"/>
    <w:rsid w:val="0032127C"/>
    <w:rsid w:val="00336D05"/>
    <w:rsid w:val="00346808"/>
    <w:rsid w:val="00350C14"/>
    <w:rsid w:val="00362B96"/>
    <w:rsid w:val="003658DC"/>
    <w:rsid w:val="00380AC3"/>
    <w:rsid w:val="00384C93"/>
    <w:rsid w:val="0038669A"/>
    <w:rsid w:val="00387153"/>
    <w:rsid w:val="00387A6F"/>
    <w:rsid w:val="003A7340"/>
    <w:rsid w:val="003B1C4B"/>
    <w:rsid w:val="003B1D00"/>
    <w:rsid w:val="003B3C7B"/>
    <w:rsid w:val="003B5EF3"/>
    <w:rsid w:val="003C1654"/>
    <w:rsid w:val="003C20B7"/>
    <w:rsid w:val="003C3E57"/>
    <w:rsid w:val="003E0C5F"/>
    <w:rsid w:val="003E3C6A"/>
    <w:rsid w:val="003F6B99"/>
    <w:rsid w:val="003F7167"/>
    <w:rsid w:val="00400B6D"/>
    <w:rsid w:val="00403524"/>
    <w:rsid w:val="00416C43"/>
    <w:rsid w:val="00426DC9"/>
    <w:rsid w:val="00430E41"/>
    <w:rsid w:val="00435534"/>
    <w:rsid w:val="0045483E"/>
    <w:rsid w:val="00455802"/>
    <w:rsid w:val="00457035"/>
    <w:rsid w:val="00462EFD"/>
    <w:rsid w:val="00464C44"/>
    <w:rsid w:val="00467470"/>
    <w:rsid w:val="0047041C"/>
    <w:rsid w:val="004719FA"/>
    <w:rsid w:val="0047251B"/>
    <w:rsid w:val="00475325"/>
    <w:rsid w:val="00483050"/>
    <w:rsid w:val="00484917"/>
    <w:rsid w:val="004A56AA"/>
    <w:rsid w:val="004B123B"/>
    <w:rsid w:val="004B2AEC"/>
    <w:rsid w:val="004B301D"/>
    <w:rsid w:val="004C43C1"/>
    <w:rsid w:val="004D0F05"/>
    <w:rsid w:val="004D7742"/>
    <w:rsid w:val="004E0575"/>
    <w:rsid w:val="004E1553"/>
    <w:rsid w:val="004E2068"/>
    <w:rsid w:val="004E2E12"/>
    <w:rsid w:val="004F3CEF"/>
    <w:rsid w:val="004F5062"/>
    <w:rsid w:val="004F7491"/>
    <w:rsid w:val="005024E5"/>
    <w:rsid w:val="005146B6"/>
    <w:rsid w:val="00521161"/>
    <w:rsid w:val="00521B94"/>
    <w:rsid w:val="00522D3A"/>
    <w:rsid w:val="005309CD"/>
    <w:rsid w:val="00530A6C"/>
    <w:rsid w:val="005356F3"/>
    <w:rsid w:val="00542577"/>
    <w:rsid w:val="005654D3"/>
    <w:rsid w:val="00577568"/>
    <w:rsid w:val="00581472"/>
    <w:rsid w:val="005821E6"/>
    <w:rsid w:val="0058327D"/>
    <w:rsid w:val="005839D3"/>
    <w:rsid w:val="00586FC9"/>
    <w:rsid w:val="0059148C"/>
    <w:rsid w:val="005A28E9"/>
    <w:rsid w:val="005A34FD"/>
    <w:rsid w:val="005A4674"/>
    <w:rsid w:val="005A507E"/>
    <w:rsid w:val="005A6B70"/>
    <w:rsid w:val="005C5413"/>
    <w:rsid w:val="005D4756"/>
    <w:rsid w:val="005D5DE0"/>
    <w:rsid w:val="005E60B8"/>
    <w:rsid w:val="005F093D"/>
    <w:rsid w:val="005F0D8A"/>
    <w:rsid w:val="005F1F94"/>
    <w:rsid w:val="0060534E"/>
    <w:rsid w:val="00612E41"/>
    <w:rsid w:val="006169F7"/>
    <w:rsid w:val="0063689F"/>
    <w:rsid w:val="006376B1"/>
    <w:rsid w:val="00651846"/>
    <w:rsid w:val="00653066"/>
    <w:rsid w:val="00664942"/>
    <w:rsid w:val="006670FF"/>
    <w:rsid w:val="00667C88"/>
    <w:rsid w:val="00671876"/>
    <w:rsid w:val="0067234C"/>
    <w:rsid w:val="00681964"/>
    <w:rsid w:val="0068351F"/>
    <w:rsid w:val="00684FB8"/>
    <w:rsid w:val="00685323"/>
    <w:rsid w:val="0068659C"/>
    <w:rsid w:val="00687E50"/>
    <w:rsid w:val="006A171C"/>
    <w:rsid w:val="006A5E60"/>
    <w:rsid w:val="006B5C29"/>
    <w:rsid w:val="006C0B03"/>
    <w:rsid w:val="006C35AE"/>
    <w:rsid w:val="006D1575"/>
    <w:rsid w:val="006D45E1"/>
    <w:rsid w:val="006D4601"/>
    <w:rsid w:val="006E693F"/>
    <w:rsid w:val="006F00D8"/>
    <w:rsid w:val="006F107B"/>
    <w:rsid w:val="006F22B0"/>
    <w:rsid w:val="00704AAA"/>
    <w:rsid w:val="0071790C"/>
    <w:rsid w:val="007268A7"/>
    <w:rsid w:val="00732B04"/>
    <w:rsid w:val="007339F9"/>
    <w:rsid w:val="007431C9"/>
    <w:rsid w:val="00745762"/>
    <w:rsid w:val="00750B4E"/>
    <w:rsid w:val="00762924"/>
    <w:rsid w:val="007674DD"/>
    <w:rsid w:val="007675D6"/>
    <w:rsid w:val="0077199C"/>
    <w:rsid w:val="00772AA6"/>
    <w:rsid w:val="007810AC"/>
    <w:rsid w:val="00786386"/>
    <w:rsid w:val="007870CF"/>
    <w:rsid w:val="007923C8"/>
    <w:rsid w:val="00796762"/>
    <w:rsid w:val="0079772B"/>
    <w:rsid w:val="007A02F9"/>
    <w:rsid w:val="007A0CB1"/>
    <w:rsid w:val="007A29B1"/>
    <w:rsid w:val="007A6E8C"/>
    <w:rsid w:val="007B2FC4"/>
    <w:rsid w:val="007C113F"/>
    <w:rsid w:val="007C179D"/>
    <w:rsid w:val="007C43D8"/>
    <w:rsid w:val="007E0C50"/>
    <w:rsid w:val="007E0E1E"/>
    <w:rsid w:val="007E1061"/>
    <w:rsid w:val="007E26F7"/>
    <w:rsid w:val="007E2FCE"/>
    <w:rsid w:val="007E48A5"/>
    <w:rsid w:val="007E6B3E"/>
    <w:rsid w:val="007F0100"/>
    <w:rsid w:val="007F4705"/>
    <w:rsid w:val="008018D0"/>
    <w:rsid w:val="00810896"/>
    <w:rsid w:val="00813C2B"/>
    <w:rsid w:val="00830DAB"/>
    <w:rsid w:val="00831FEC"/>
    <w:rsid w:val="00833850"/>
    <w:rsid w:val="00835E3D"/>
    <w:rsid w:val="0084003B"/>
    <w:rsid w:val="00840120"/>
    <w:rsid w:val="008427D3"/>
    <w:rsid w:val="0085695C"/>
    <w:rsid w:val="0086094C"/>
    <w:rsid w:val="008637C9"/>
    <w:rsid w:val="00865F5F"/>
    <w:rsid w:val="0087612E"/>
    <w:rsid w:val="00882257"/>
    <w:rsid w:val="008827CC"/>
    <w:rsid w:val="00883713"/>
    <w:rsid w:val="00895945"/>
    <w:rsid w:val="00897354"/>
    <w:rsid w:val="008A7788"/>
    <w:rsid w:val="008B023D"/>
    <w:rsid w:val="008B25A6"/>
    <w:rsid w:val="008B54A5"/>
    <w:rsid w:val="008C2E0F"/>
    <w:rsid w:val="008C38F2"/>
    <w:rsid w:val="008C757B"/>
    <w:rsid w:val="008D6D48"/>
    <w:rsid w:val="008E08A7"/>
    <w:rsid w:val="008E1DF7"/>
    <w:rsid w:val="008E1E83"/>
    <w:rsid w:val="008E466B"/>
    <w:rsid w:val="008E49E3"/>
    <w:rsid w:val="008E58E8"/>
    <w:rsid w:val="008F20F1"/>
    <w:rsid w:val="008F34E9"/>
    <w:rsid w:val="008F3C8B"/>
    <w:rsid w:val="008F5687"/>
    <w:rsid w:val="00902109"/>
    <w:rsid w:val="009022B1"/>
    <w:rsid w:val="009117F8"/>
    <w:rsid w:val="0091546F"/>
    <w:rsid w:val="00915A0F"/>
    <w:rsid w:val="009265A4"/>
    <w:rsid w:val="009308A0"/>
    <w:rsid w:val="00930BAB"/>
    <w:rsid w:val="00931EC0"/>
    <w:rsid w:val="00932BFD"/>
    <w:rsid w:val="009347BF"/>
    <w:rsid w:val="00940C52"/>
    <w:rsid w:val="009413E6"/>
    <w:rsid w:val="0094251D"/>
    <w:rsid w:val="009427F5"/>
    <w:rsid w:val="009511CB"/>
    <w:rsid w:val="00963692"/>
    <w:rsid w:val="00964914"/>
    <w:rsid w:val="00965366"/>
    <w:rsid w:val="0097181A"/>
    <w:rsid w:val="009733BD"/>
    <w:rsid w:val="009850F7"/>
    <w:rsid w:val="00986625"/>
    <w:rsid w:val="00986AFB"/>
    <w:rsid w:val="009935A8"/>
    <w:rsid w:val="00994189"/>
    <w:rsid w:val="009A354C"/>
    <w:rsid w:val="009C4965"/>
    <w:rsid w:val="009C5FCE"/>
    <w:rsid w:val="009D14A2"/>
    <w:rsid w:val="009D7D43"/>
    <w:rsid w:val="009E1E3A"/>
    <w:rsid w:val="009E5143"/>
    <w:rsid w:val="009F303B"/>
    <w:rsid w:val="009F7B5E"/>
    <w:rsid w:val="00A023B7"/>
    <w:rsid w:val="00A03976"/>
    <w:rsid w:val="00A069DE"/>
    <w:rsid w:val="00A17E70"/>
    <w:rsid w:val="00A35BA6"/>
    <w:rsid w:val="00A44CBD"/>
    <w:rsid w:val="00A454DC"/>
    <w:rsid w:val="00A56D8D"/>
    <w:rsid w:val="00A61260"/>
    <w:rsid w:val="00A6216F"/>
    <w:rsid w:val="00A643B2"/>
    <w:rsid w:val="00A659EC"/>
    <w:rsid w:val="00A65AE4"/>
    <w:rsid w:val="00A65C66"/>
    <w:rsid w:val="00A776C0"/>
    <w:rsid w:val="00A83246"/>
    <w:rsid w:val="00A8433D"/>
    <w:rsid w:val="00A85EA0"/>
    <w:rsid w:val="00A905F5"/>
    <w:rsid w:val="00A91442"/>
    <w:rsid w:val="00A91934"/>
    <w:rsid w:val="00A928B5"/>
    <w:rsid w:val="00A93334"/>
    <w:rsid w:val="00AA34D1"/>
    <w:rsid w:val="00AA5616"/>
    <w:rsid w:val="00AB254F"/>
    <w:rsid w:val="00AB661B"/>
    <w:rsid w:val="00AC0ED3"/>
    <w:rsid w:val="00AC5B57"/>
    <w:rsid w:val="00AD5A19"/>
    <w:rsid w:val="00AD5CE9"/>
    <w:rsid w:val="00AD60A6"/>
    <w:rsid w:val="00AE31AF"/>
    <w:rsid w:val="00AE35E9"/>
    <w:rsid w:val="00AF6322"/>
    <w:rsid w:val="00AF7283"/>
    <w:rsid w:val="00B05ACC"/>
    <w:rsid w:val="00B1780E"/>
    <w:rsid w:val="00B2127D"/>
    <w:rsid w:val="00B4087F"/>
    <w:rsid w:val="00B42A9B"/>
    <w:rsid w:val="00B4615D"/>
    <w:rsid w:val="00B46D85"/>
    <w:rsid w:val="00B511C3"/>
    <w:rsid w:val="00B60CA8"/>
    <w:rsid w:val="00B7426E"/>
    <w:rsid w:val="00B847DA"/>
    <w:rsid w:val="00B85D83"/>
    <w:rsid w:val="00B9034C"/>
    <w:rsid w:val="00B92565"/>
    <w:rsid w:val="00B929FC"/>
    <w:rsid w:val="00B937F2"/>
    <w:rsid w:val="00B96C80"/>
    <w:rsid w:val="00BC03CA"/>
    <w:rsid w:val="00BC459E"/>
    <w:rsid w:val="00BC640E"/>
    <w:rsid w:val="00BD0BD7"/>
    <w:rsid w:val="00BD5C2F"/>
    <w:rsid w:val="00BE4B47"/>
    <w:rsid w:val="00BE7623"/>
    <w:rsid w:val="00BF16CC"/>
    <w:rsid w:val="00BF5015"/>
    <w:rsid w:val="00C000EC"/>
    <w:rsid w:val="00C01C78"/>
    <w:rsid w:val="00C209E4"/>
    <w:rsid w:val="00C216E7"/>
    <w:rsid w:val="00C342C7"/>
    <w:rsid w:val="00C35D62"/>
    <w:rsid w:val="00C40565"/>
    <w:rsid w:val="00C42C58"/>
    <w:rsid w:val="00C44020"/>
    <w:rsid w:val="00C44A7F"/>
    <w:rsid w:val="00C450F3"/>
    <w:rsid w:val="00C53232"/>
    <w:rsid w:val="00C6193B"/>
    <w:rsid w:val="00C634A8"/>
    <w:rsid w:val="00C70B89"/>
    <w:rsid w:val="00C73CE7"/>
    <w:rsid w:val="00C74BB1"/>
    <w:rsid w:val="00C759F7"/>
    <w:rsid w:val="00C80660"/>
    <w:rsid w:val="00C906BD"/>
    <w:rsid w:val="00C94715"/>
    <w:rsid w:val="00CB0128"/>
    <w:rsid w:val="00CC4D2E"/>
    <w:rsid w:val="00CD0753"/>
    <w:rsid w:val="00CD373C"/>
    <w:rsid w:val="00CD42EE"/>
    <w:rsid w:val="00CD682C"/>
    <w:rsid w:val="00CD6FFA"/>
    <w:rsid w:val="00CD7FBB"/>
    <w:rsid w:val="00CE2135"/>
    <w:rsid w:val="00CE3BD3"/>
    <w:rsid w:val="00CE7159"/>
    <w:rsid w:val="00CF7222"/>
    <w:rsid w:val="00D06652"/>
    <w:rsid w:val="00D11B02"/>
    <w:rsid w:val="00D17E9E"/>
    <w:rsid w:val="00D243C9"/>
    <w:rsid w:val="00D3057B"/>
    <w:rsid w:val="00D41D2D"/>
    <w:rsid w:val="00D6469C"/>
    <w:rsid w:val="00D75140"/>
    <w:rsid w:val="00D75892"/>
    <w:rsid w:val="00D91B67"/>
    <w:rsid w:val="00D9492D"/>
    <w:rsid w:val="00DA1912"/>
    <w:rsid w:val="00DA4273"/>
    <w:rsid w:val="00DA573A"/>
    <w:rsid w:val="00DB4349"/>
    <w:rsid w:val="00DB4986"/>
    <w:rsid w:val="00DC07A4"/>
    <w:rsid w:val="00DC2CCA"/>
    <w:rsid w:val="00DD7153"/>
    <w:rsid w:val="00DE1154"/>
    <w:rsid w:val="00DF55DC"/>
    <w:rsid w:val="00E01209"/>
    <w:rsid w:val="00E047A3"/>
    <w:rsid w:val="00E065FC"/>
    <w:rsid w:val="00E07D13"/>
    <w:rsid w:val="00E12527"/>
    <w:rsid w:val="00E20CDC"/>
    <w:rsid w:val="00E36E81"/>
    <w:rsid w:val="00E371CE"/>
    <w:rsid w:val="00E40920"/>
    <w:rsid w:val="00E454A5"/>
    <w:rsid w:val="00E4687F"/>
    <w:rsid w:val="00E51E58"/>
    <w:rsid w:val="00E6612D"/>
    <w:rsid w:val="00E72375"/>
    <w:rsid w:val="00E7251E"/>
    <w:rsid w:val="00E76A85"/>
    <w:rsid w:val="00E82AA2"/>
    <w:rsid w:val="00E84EFB"/>
    <w:rsid w:val="00E8724D"/>
    <w:rsid w:val="00E900F5"/>
    <w:rsid w:val="00E91C72"/>
    <w:rsid w:val="00E948E2"/>
    <w:rsid w:val="00E9504E"/>
    <w:rsid w:val="00E9666A"/>
    <w:rsid w:val="00EC10B9"/>
    <w:rsid w:val="00ED66F8"/>
    <w:rsid w:val="00ED714D"/>
    <w:rsid w:val="00EE1341"/>
    <w:rsid w:val="00EE3B7A"/>
    <w:rsid w:val="00EF5B66"/>
    <w:rsid w:val="00F03F20"/>
    <w:rsid w:val="00F0479C"/>
    <w:rsid w:val="00F11B5D"/>
    <w:rsid w:val="00F12368"/>
    <w:rsid w:val="00F174C6"/>
    <w:rsid w:val="00F21EB7"/>
    <w:rsid w:val="00F44FDE"/>
    <w:rsid w:val="00F63B7D"/>
    <w:rsid w:val="00F6680F"/>
    <w:rsid w:val="00F709C6"/>
    <w:rsid w:val="00F742B6"/>
    <w:rsid w:val="00F75480"/>
    <w:rsid w:val="00FA4D77"/>
    <w:rsid w:val="00FA581F"/>
    <w:rsid w:val="00FA5FCA"/>
    <w:rsid w:val="00FA79C5"/>
    <w:rsid w:val="00FB34C6"/>
    <w:rsid w:val="00FC266D"/>
    <w:rsid w:val="00FC317A"/>
    <w:rsid w:val="00FD3455"/>
    <w:rsid w:val="00FD4918"/>
    <w:rsid w:val="00FD7FA5"/>
    <w:rsid w:val="00FE22F5"/>
    <w:rsid w:val="00FE4DD3"/>
    <w:rsid w:val="00FF5243"/>
    <w:rsid w:val="00FF5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E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20E"/>
    <w:pPr>
      <w:tabs>
        <w:tab w:val="center" w:pos="4252"/>
        <w:tab w:val="right" w:pos="8504"/>
      </w:tabs>
      <w:snapToGrid w:val="0"/>
    </w:pPr>
  </w:style>
  <w:style w:type="paragraph" w:styleId="Footer">
    <w:name w:val="footer"/>
    <w:basedOn w:val="Normal"/>
    <w:link w:val="FooterChar"/>
    <w:uiPriority w:val="99"/>
    <w:rsid w:val="0022620E"/>
    <w:pPr>
      <w:tabs>
        <w:tab w:val="center" w:pos="4252"/>
        <w:tab w:val="right" w:pos="8504"/>
      </w:tabs>
      <w:snapToGrid w:val="0"/>
    </w:pPr>
  </w:style>
  <w:style w:type="paragraph" w:styleId="BalloonText">
    <w:name w:val="Balloon Text"/>
    <w:basedOn w:val="Normal"/>
    <w:link w:val="BalloonTextChar"/>
    <w:rsid w:val="008018D0"/>
    <w:rPr>
      <w:rFonts w:ascii="Arial" w:eastAsia="MS Gothic" w:hAnsi="Arial"/>
      <w:sz w:val="18"/>
      <w:szCs w:val="18"/>
    </w:rPr>
  </w:style>
  <w:style w:type="character" w:customStyle="1" w:styleId="BalloonTextChar">
    <w:name w:val="Balloon Text Char"/>
    <w:link w:val="BalloonText"/>
    <w:rsid w:val="008018D0"/>
    <w:rPr>
      <w:rFonts w:ascii="Arial" w:eastAsia="MS Gothic" w:hAnsi="Arial" w:cs="Times New Roman"/>
      <w:kern w:val="2"/>
      <w:sz w:val="18"/>
      <w:szCs w:val="18"/>
    </w:rPr>
  </w:style>
  <w:style w:type="paragraph" w:styleId="Date">
    <w:name w:val="Date"/>
    <w:basedOn w:val="Normal"/>
    <w:next w:val="Normal"/>
    <w:link w:val="DateChar"/>
    <w:rsid w:val="00E948E2"/>
  </w:style>
  <w:style w:type="character" w:customStyle="1" w:styleId="DateChar">
    <w:name w:val="Date Char"/>
    <w:basedOn w:val="DefaultParagraphFont"/>
    <w:link w:val="Date"/>
    <w:rsid w:val="00E948E2"/>
    <w:rPr>
      <w:kern w:val="2"/>
      <w:sz w:val="21"/>
      <w:szCs w:val="24"/>
    </w:rPr>
  </w:style>
  <w:style w:type="paragraph" w:customStyle="1" w:styleId="HChG">
    <w:name w:val="_ H _Ch_G"/>
    <w:basedOn w:val="Normal"/>
    <w:next w:val="Normal"/>
    <w:link w:val="HChGChar"/>
    <w:qFormat/>
    <w:rsid w:val="00AA34D1"/>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en-GB" w:eastAsia="en-US"/>
    </w:rPr>
  </w:style>
  <w:style w:type="character" w:customStyle="1" w:styleId="HChGChar">
    <w:name w:val="_ H _Ch_G Char"/>
    <w:link w:val="HChG"/>
    <w:rsid w:val="00AA34D1"/>
    <w:rPr>
      <w:rFonts w:ascii="Times New Roman" w:eastAsia="Times New Roman" w:hAnsi="Times New Roman"/>
      <w:b/>
      <w:sz w:val="28"/>
      <w:lang w:val="en-GB" w:eastAsia="en-US"/>
    </w:rPr>
  </w:style>
  <w:style w:type="paragraph" w:customStyle="1" w:styleId="SingleTxtG">
    <w:name w:val="_ Single Txt_G"/>
    <w:basedOn w:val="Normal"/>
    <w:link w:val="SingleTxtGChar"/>
    <w:qFormat/>
    <w:rsid w:val="00AA34D1"/>
    <w:pPr>
      <w:widowControl/>
      <w:suppressAutoHyphens/>
      <w:spacing w:after="120" w:line="240" w:lineRule="atLeast"/>
      <w:ind w:left="1134" w:right="1134"/>
    </w:pPr>
    <w:rPr>
      <w:rFonts w:ascii="Times New Roman" w:eastAsia="Times New Roman" w:hAnsi="Times New Roman"/>
      <w:kern w:val="0"/>
      <w:sz w:val="20"/>
      <w:szCs w:val="20"/>
      <w:lang w:val="en-GB" w:eastAsia="en-US"/>
    </w:rPr>
  </w:style>
  <w:style w:type="character" w:customStyle="1" w:styleId="SingleTxtGChar">
    <w:name w:val="_ Single Txt_G Char"/>
    <w:basedOn w:val="DefaultParagraphFont"/>
    <w:link w:val="SingleTxtG"/>
    <w:rsid w:val="00AA34D1"/>
    <w:rPr>
      <w:rFonts w:ascii="Times New Roman" w:eastAsia="Times New Roman" w:hAnsi="Times New Roman"/>
      <w:lang w:val="en-GB" w:eastAsia="en-US"/>
    </w:rPr>
  </w:style>
  <w:style w:type="paragraph" w:styleId="ListParagraph">
    <w:name w:val="List Paragraph"/>
    <w:basedOn w:val="Normal"/>
    <w:uiPriority w:val="34"/>
    <w:qFormat/>
    <w:rsid w:val="005309CD"/>
    <w:pPr>
      <w:ind w:left="720"/>
      <w:contextualSpacing/>
    </w:pPr>
  </w:style>
  <w:style w:type="character" w:styleId="Hyperlink">
    <w:name w:val="Hyperlink"/>
    <w:basedOn w:val="DefaultParagraphFont"/>
    <w:uiPriority w:val="99"/>
    <w:semiHidden/>
    <w:unhideWhenUsed/>
    <w:rsid w:val="00732B04"/>
    <w:rPr>
      <w:color w:val="0000FF"/>
      <w:u w:val="single"/>
    </w:rPr>
  </w:style>
  <w:style w:type="character" w:styleId="FollowedHyperlink">
    <w:name w:val="FollowedHyperlink"/>
    <w:basedOn w:val="DefaultParagraphFont"/>
    <w:semiHidden/>
    <w:unhideWhenUsed/>
    <w:rsid w:val="00732B04"/>
    <w:rPr>
      <w:color w:val="800080" w:themeColor="followedHyperlink"/>
      <w:u w:val="single"/>
    </w:rPr>
  </w:style>
  <w:style w:type="character" w:customStyle="1" w:styleId="section-info-text">
    <w:name w:val="section-info-text"/>
    <w:basedOn w:val="DefaultParagraphFont"/>
    <w:rsid w:val="008C38F2"/>
  </w:style>
  <w:style w:type="character" w:customStyle="1" w:styleId="HeaderChar">
    <w:name w:val="Header Char"/>
    <w:basedOn w:val="DefaultParagraphFont"/>
    <w:link w:val="Header"/>
    <w:uiPriority w:val="99"/>
    <w:rsid w:val="007C179D"/>
    <w:rPr>
      <w:kern w:val="2"/>
      <w:sz w:val="21"/>
      <w:szCs w:val="24"/>
    </w:rPr>
  </w:style>
  <w:style w:type="character" w:customStyle="1" w:styleId="FooterChar">
    <w:name w:val="Footer Char"/>
    <w:basedOn w:val="DefaultParagraphFont"/>
    <w:link w:val="Footer"/>
    <w:uiPriority w:val="99"/>
    <w:rsid w:val="00426DC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E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20E"/>
    <w:pPr>
      <w:tabs>
        <w:tab w:val="center" w:pos="4252"/>
        <w:tab w:val="right" w:pos="8504"/>
      </w:tabs>
      <w:snapToGrid w:val="0"/>
    </w:pPr>
  </w:style>
  <w:style w:type="paragraph" w:styleId="Footer">
    <w:name w:val="footer"/>
    <w:basedOn w:val="Normal"/>
    <w:link w:val="FooterChar"/>
    <w:uiPriority w:val="99"/>
    <w:rsid w:val="0022620E"/>
    <w:pPr>
      <w:tabs>
        <w:tab w:val="center" w:pos="4252"/>
        <w:tab w:val="right" w:pos="8504"/>
      </w:tabs>
      <w:snapToGrid w:val="0"/>
    </w:pPr>
  </w:style>
  <w:style w:type="paragraph" w:styleId="BalloonText">
    <w:name w:val="Balloon Text"/>
    <w:basedOn w:val="Normal"/>
    <w:link w:val="BalloonTextChar"/>
    <w:rsid w:val="008018D0"/>
    <w:rPr>
      <w:rFonts w:ascii="Arial" w:eastAsia="MS Gothic" w:hAnsi="Arial"/>
      <w:sz w:val="18"/>
      <w:szCs w:val="18"/>
    </w:rPr>
  </w:style>
  <w:style w:type="character" w:customStyle="1" w:styleId="BalloonTextChar">
    <w:name w:val="Balloon Text Char"/>
    <w:link w:val="BalloonText"/>
    <w:rsid w:val="008018D0"/>
    <w:rPr>
      <w:rFonts w:ascii="Arial" w:eastAsia="MS Gothic" w:hAnsi="Arial" w:cs="Times New Roman"/>
      <w:kern w:val="2"/>
      <w:sz w:val="18"/>
      <w:szCs w:val="18"/>
    </w:rPr>
  </w:style>
  <w:style w:type="paragraph" w:styleId="Date">
    <w:name w:val="Date"/>
    <w:basedOn w:val="Normal"/>
    <w:next w:val="Normal"/>
    <w:link w:val="DateChar"/>
    <w:rsid w:val="00E948E2"/>
  </w:style>
  <w:style w:type="character" w:customStyle="1" w:styleId="DateChar">
    <w:name w:val="Date Char"/>
    <w:basedOn w:val="DefaultParagraphFont"/>
    <w:link w:val="Date"/>
    <w:rsid w:val="00E948E2"/>
    <w:rPr>
      <w:kern w:val="2"/>
      <w:sz w:val="21"/>
      <w:szCs w:val="24"/>
    </w:rPr>
  </w:style>
  <w:style w:type="paragraph" w:customStyle="1" w:styleId="HChG">
    <w:name w:val="_ H _Ch_G"/>
    <w:basedOn w:val="Normal"/>
    <w:next w:val="Normal"/>
    <w:link w:val="HChGChar"/>
    <w:qFormat/>
    <w:rsid w:val="00AA34D1"/>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en-GB" w:eastAsia="en-US"/>
    </w:rPr>
  </w:style>
  <w:style w:type="character" w:customStyle="1" w:styleId="HChGChar">
    <w:name w:val="_ H _Ch_G Char"/>
    <w:link w:val="HChG"/>
    <w:rsid w:val="00AA34D1"/>
    <w:rPr>
      <w:rFonts w:ascii="Times New Roman" w:eastAsia="Times New Roman" w:hAnsi="Times New Roman"/>
      <w:b/>
      <w:sz w:val="28"/>
      <w:lang w:val="en-GB" w:eastAsia="en-US"/>
    </w:rPr>
  </w:style>
  <w:style w:type="paragraph" w:customStyle="1" w:styleId="SingleTxtG">
    <w:name w:val="_ Single Txt_G"/>
    <w:basedOn w:val="Normal"/>
    <w:link w:val="SingleTxtGChar"/>
    <w:qFormat/>
    <w:rsid w:val="00AA34D1"/>
    <w:pPr>
      <w:widowControl/>
      <w:suppressAutoHyphens/>
      <w:spacing w:after="120" w:line="240" w:lineRule="atLeast"/>
      <w:ind w:left="1134" w:right="1134"/>
    </w:pPr>
    <w:rPr>
      <w:rFonts w:ascii="Times New Roman" w:eastAsia="Times New Roman" w:hAnsi="Times New Roman"/>
      <w:kern w:val="0"/>
      <w:sz w:val="20"/>
      <w:szCs w:val="20"/>
      <w:lang w:val="en-GB" w:eastAsia="en-US"/>
    </w:rPr>
  </w:style>
  <w:style w:type="character" w:customStyle="1" w:styleId="SingleTxtGChar">
    <w:name w:val="_ Single Txt_G Char"/>
    <w:basedOn w:val="DefaultParagraphFont"/>
    <w:link w:val="SingleTxtG"/>
    <w:rsid w:val="00AA34D1"/>
    <w:rPr>
      <w:rFonts w:ascii="Times New Roman" w:eastAsia="Times New Roman" w:hAnsi="Times New Roman"/>
      <w:lang w:val="en-GB" w:eastAsia="en-US"/>
    </w:rPr>
  </w:style>
  <w:style w:type="paragraph" w:styleId="ListParagraph">
    <w:name w:val="List Paragraph"/>
    <w:basedOn w:val="Normal"/>
    <w:uiPriority w:val="34"/>
    <w:qFormat/>
    <w:rsid w:val="005309CD"/>
    <w:pPr>
      <w:ind w:left="720"/>
      <w:contextualSpacing/>
    </w:pPr>
  </w:style>
  <w:style w:type="character" w:styleId="Hyperlink">
    <w:name w:val="Hyperlink"/>
    <w:basedOn w:val="DefaultParagraphFont"/>
    <w:uiPriority w:val="99"/>
    <w:semiHidden/>
    <w:unhideWhenUsed/>
    <w:rsid w:val="00732B04"/>
    <w:rPr>
      <w:color w:val="0000FF"/>
      <w:u w:val="single"/>
    </w:rPr>
  </w:style>
  <w:style w:type="character" w:styleId="FollowedHyperlink">
    <w:name w:val="FollowedHyperlink"/>
    <w:basedOn w:val="DefaultParagraphFont"/>
    <w:semiHidden/>
    <w:unhideWhenUsed/>
    <w:rsid w:val="00732B04"/>
    <w:rPr>
      <w:color w:val="800080" w:themeColor="followedHyperlink"/>
      <w:u w:val="single"/>
    </w:rPr>
  </w:style>
  <w:style w:type="character" w:customStyle="1" w:styleId="section-info-text">
    <w:name w:val="section-info-text"/>
    <w:basedOn w:val="DefaultParagraphFont"/>
    <w:rsid w:val="008C38F2"/>
  </w:style>
  <w:style w:type="character" w:customStyle="1" w:styleId="HeaderChar">
    <w:name w:val="Header Char"/>
    <w:basedOn w:val="DefaultParagraphFont"/>
    <w:link w:val="Header"/>
    <w:uiPriority w:val="99"/>
    <w:rsid w:val="007C179D"/>
    <w:rPr>
      <w:kern w:val="2"/>
      <w:sz w:val="21"/>
      <w:szCs w:val="24"/>
    </w:rPr>
  </w:style>
  <w:style w:type="character" w:customStyle="1" w:styleId="FooterChar">
    <w:name w:val="Footer Char"/>
    <w:basedOn w:val="DefaultParagraphFont"/>
    <w:link w:val="Footer"/>
    <w:uiPriority w:val="99"/>
    <w:rsid w:val="00426D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964">
      <w:bodyDiv w:val="1"/>
      <w:marLeft w:val="0"/>
      <w:marRight w:val="0"/>
      <w:marTop w:val="0"/>
      <w:marBottom w:val="0"/>
      <w:divBdr>
        <w:top w:val="none" w:sz="0" w:space="0" w:color="auto"/>
        <w:left w:val="none" w:sz="0" w:space="0" w:color="auto"/>
        <w:bottom w:val="none" w:sz="0" w:space="0" w:color="auto"/>
        <w:right w:val="none" w:sz="0" w:space="0" w:color="auto"/>
      </w:divBdr>
    </w:div>
    <w:div w:id="86311155">
      <w:bodyDiv w:val="1"/>
      <w:marLeft w:val="0"/>
      <w:marRight w:val="0"/>
      <w:marTop w:val="0"/>
      <w:marBottom w:val="0"/>
      <w:divBdr>
        <w:top w:val="none" w:sz="0" w:space="0" w:color="auto"/>
        <w:left w:val="none" w:sz="0" w:space="0" w:color="auto"/>
        <w:bottom w:val="none" w:sz="0" w:space="0" w:color="auto"/>
        <w:right w:val="none" w:sz="0" w:space="0" w:color="auto"/>
      </w:divBdr>
    </w:div>
    <w:div w:id="203979133">
      <w:bodyDiv w:val="1"/>
      <w:marLeft w:val="0"/>
      <w:marRight w:val="0"/>
      <w:marTop w:val="0"/>
      <w:marBottom w:val="0"/>
      <w:divBdr>
        <w:top w:val="none" w:sz="0" w:space="0" w:color="auto"/>
        <w:left w:val="none" w:sz="0" w:space="0" w:color="auto"/>
        <w:bottom w:val="none" w:sz="0" w:space="0" w:color="auto"/>
        <w:right w:val="none" w:sz="0" w:space="0" w:color="auto"/>
      </w:divBdr>
    </w:div>
    <w:div w:id="887379485">
      <w:bodyDiv w:val="1"/>
      <w:marLeft w:val="0"/>
      <w:marRight w:val="0"/>
      <w:marTop w:val="0"/>
      <w:marBottom w:val="0"/>
      <w:divBdr>
        <w:top w:val="none" w:sz="0" w:space="0" w:color="auto"/>
        <w:left w:val="none" w:sz="0" w:space="0" w:color="auto"/>
        <w:bottom w:val="none" w:sz="0" w:space="0" w:color="auto"/>
        <w:right w:val="none" w:sz="0" w:space="0" w:color="auto"/>
      </w:divBdr>
      <w:divsChild>
        <w:div w:id="1037314332">
          <w:marLeft w:val="0"/>
          <w:marRight w:val="0"/>
          <w:marTop w:val="0"/>
          <w:marBottom w:val="0"/>
          <w:divBdr>
            <w:top w:val="none" w:sz="0" w:space="0" w:color="auto"/>
            <w:left w:val="none" w:sz="0" w:space="0" w:color="auto"/>
            <w:bottom w:val="none" w:sz="0" w:space="0" w:color="auto"/>
            <w:right w:val="none" w:sz="0" w:space="0" w:color="auto"/>
          </w:divBdr>
          <w:divsChild>
            <w:div w:id="566648440">
              <w:marLeft w:val="0"/>
              <w:marRight w:val="0"/>
              <w:marTop w:val="0"/>
              <w:marBottom w:val="0"/>
              <w:divBdr>
                <w:top w:val="none" w:sz="0" w:space="0" w:color="auto"/>
                <w:left w:val="none" w:sz="0" w:space="0" w:color="auto"/>
                <w:bottom w:val="none" w:sz="0" w:space="0" w:color="auto"/>
                <w:right w:val="none" w:sz="0" w:space="0" w:color="auto"/>
              </w:divBdr>
              <w:divsChild>
                <w:div w:id="672488996">
                  <w:marLeft w:val="0"/>
                  <w:marRight w:val="0"/>
                  <w:marTop w:val="0"/>
                  <w:marBottom w:val="0"/>
                  <w:divBdr>
                    <w:top w:val="none" w:sz="0" w:space="0" w:color="auto"/>
                    <w:left w:val="none" w:sz="0" w:space="0" w:color="auto"/>
                    <w:bottom w:val="none" w:sz="0" w:space="0" w:color="auto"/>
                    <w:right w:val="none" w:sz="0" w:space="0" w:color="auto"/>
                  </w:divBdr>
                  <w:divsChild>
                    <w:div w:id="1109159164">
                      <w:marLeft w:val="4275"/>
                      <w:marRight w:val="0"/>
                      <w:marTop w:val="0"/>
                      <w:marBottom w:val="0"/>
                      <w:divBdr>
                        <w:top w:val="none" w:sz="0" w:space="0" w:color="auto"/>
                        <w:left w:val="none" w:sz="0" w:space="0" w:color="auto"/>
                        <w:bottom w:val="none" w:sz="0" w:space="0" w:color="auto"/>
                        <w:right w:val="none" w:sz="0" w:space="0" w:color="auto"/>
                      </w:divBdr>
                      <w:divsChild>
                        <w:div w:id="695690736">
                          <w:marLeft w:val="0"/>
                          <w:marRight w:val="0"/>
                          <w:marTop w:val="0"/>
                          <w:marBottom w:val="0"/>
                          <w:divBdr>
                            <w:top w:val="none" w:sz="0" w:space="0" w:color="auto"/>
                            <w:left w:val="none" w:sz="0" w:space="0" w:color="auto"/>
                            <w:bottom w:val="none" w:sz="0" w:space="0" w:color="auto"/>
                            <w:right w:val="none" w:sz="0" w:space="0" w:color="auto"/>
                          </w:divBdr>
                          <w:divsChild>
                            <w:div w:id="941687479">
                              <w:marLeft w:val="0"/>
                              <w:marRight w:val="0"/>
                              <w:marTop w:val="0"/>
                              <w:marBottom w:val="0"/>
                              <w:divBdr>
                                <w:top w:val="none" w:sz="0" w:space="0" w:color="auto"/>
                                <w:left w:val="none" w:sz="0" w:space="0" w:color="auto"/>
                                <w:bottom w:val="none" w:sz="0" w:space="0" w:color="auto"/>
                                <w:right w:val="none" w:sz="0" w:space="0" w:color="auto"/>
                              </w:divBdr>
                              <w:divsChild>
                                <w:div w:id="1398937913">
                                  <w:marLeft w:val="0"/>
                                  <w:marRight w:val="0"/>
                                  <w:marTop w:val="150"/>
                                  <w:marBottom w:val="150"/>
                                  <w:divBdr>
                                    <w:top w:val="single" w:sz="6" w:space="0" w:color="FFFFFF"/>
                                    <w:left w:val="single" w:sz="6" w:space="0" w:color="FFFFFF"/>
                                    <w:bottom w:val="single" w:sz="6" w:space="0" w:color="FFFFFF"/>
                                    <w:right w:val="single" w:sz="6" w:space="0" w:color="FFFFFF"/>
                                  </w:divBdr>
                                  <w:divsChild>
                                    <w:div w:id="1629623893">
                                      <w:marLeft w:val="0"/>
                                      <w:marRight w:val="0"/>
                                      <w:marTop w:val="0"/>
                                      <w:marBottom w:val="0"/>
                                      <w:divBdr>
                                        <w:top w:val="none" w:sz="0" w:space="0" w:color="auto"/>
                                        <w:left w:val="none" w:sz="0" w:space="0" w:color="auto"/>
                                        <w:bottom w:val="none" w:sz="0" w:space="0" w:color="auto"/>
                                        <w:right w:val="none" w:sz="0" w:space="0" w:color="auto"/>
                                      </w:divBdr>
                                      <w:divsChild>
                                        <w:div w:id="395831">
                                          <w:marLeft w:val="0"/>
                                          <w:marRight w:val="0"/>
                                          <w:marTop w:val="0"/>
                                          <w:marBottom w:val="0"/>
                                          <w:divBdr>
                                            <w:top w:val="none" w:sz="0" w:space="0" w:color="auto"/>
                                            <w:left w:val="none" w:sz="0" w:space="0" w:color="auto"/>
                                            <w:bottom w:val="none" w:sz="0" w:space="0" w:color="auto"/>
                                            <w:right w:val="none" w:sz="0" w:space="0" w:color="auto"/>
                                          </w:divBdr>
                                          <w:divsChild>
                                            <w:div w:id="508715552">
                                              <w:marLeft w:val="0"/>
                                              <w:marRight w:val="0"/>
                                              <w:marTop w:val="0"/>
                                              <w:marBottom w:val="150"/>
                                              <w:divBdr>
                                                <w:top w:val="none" w:sz="0" w:space="0" w:color="auto"/>
                                                <w:left w:val="none" w:sz="0" w:space="0" w:color="auto"/>
                                                <w:bottom w:val="none" w:sz="0" w:space="0" w:color="auto"/>
                                                <w:right w:val="none" w:sz="0" w:space="0" w:color="auto"/>
                                              </w:divBdr>
                                              <w:divsChild>
                                                <w:div w:id="1751341362">
                                                  <w:marLeft w:val="0"/>
                                                  <w:marRight w:val="0"/>
                                                  <w:marTop w:val="0"/>
                                                  <w:marBottom w:val="0"/>
                                                  <w:divBdr>
                                                    <w:top w:val="none" w:sz="0" w:space="0" w:color="auto"/>
                                                    <w:left w:val="none" w:sz="0" w:space="0" w:color="auto"/>
                                                    <w:bottom w:val="none" w:sz="0" w:space="0" w:color="auto"/>
                                                    <w:right w:val="none" w:sz="0" w:space="0" w:color="auto"/>
                                                  </w:divBdr>
                                                  <w:divsChild>
                                                    <w:div w:id="38017806">
                                                      <w:marLeft w:val="0"/>
                                                      <w:marRight w:val="0"/>
                                                      <w:marTop w:val="0"/>
                                                      <w:marBottom w:val="0"/>
                                                      <w:divBdr>
                                                        <w:top w:val="none" w:sz="0" w:space="0" w:color="auto"/>
                                                        <w:left w:val="none" w:sz="0" w:space="0" w:color="auto"/>
                                                        <w:bottom w:val="none" w:sz="0" w:space="0" w:color="auto"/>
                                                        <w:right w:val="none" w:sz="0" w:space="0" w:color="auto"/>
                                                      </w:divBdr>
                                                    </w:div>
                                                  </w:divsChild>
                                                </w:div>
                                                <w:div w:id="1765955402">
                                                  <w:marLeft w:val="0"/>
                                                  <w:marRight w:val="0"/>
                                                  <w:marTop w:val="0"/>
                                                  <w:marBottom w:val="0"/>
                                                  <w:divBdr>
                                                    <w:top w:val="none" w:sz="0" w:space="0" w:color="auto"/>
                                                    <w:left w:val="none" w:sz="0" w:space="0" w:color="auto"/>
                                                    <w:bottom w:val="none" w:sz="0" w:space="0" w:color="auto"/>
                                                    <w:right w:val="none" w:sz="0" w:space="0" w:color="auto"/>
                                                  </w:divBdr>
                                                </w:div>
                                                <w:div w:id="776371740">
                                                  <w:marLeft w:val="0"/>
                                                  <w:marRight w:val="0"/>
                                                  <w:marTop w:val="0"/>
                                                  <w:marBottom w:val="0"/>
                                                  <w:divBdr>
                                                    <w:top w:val="none" w:sz="0" w:space="0" w:color="auto"/>
                                                    <w:left w:val="none" w:sz="0" w:space="0" w:color="auto"/>
                                                    <w:bottom w:val="none" w:sz="0" w:space="0" w:color="auto"/>
                                                    <w:right w:val="none" w:sz="0" w:space="0" w:color="auto"/>
                                                  </w:divBdr>
                                                  <w:divsChild>
                                                    <w:div w:id="720831212">
                                                      <w:marLeft w:val="0"/>
                                                      <w:marRight w:val="0"/>
                                                      <w:marTop w:val="0"/>
                                                      <w:marBottom w:val="0"/>
                                                      <w:divBdr>
                                                        <w:top w:val="none" w:sz="0" w:space="0" w:color="auto"/>
                                                        <w:left w:val="none" w:sz="0" w:space="0" w:color="auto"/>
                                                        <w:bottom w:val="none" w:sz="0" w:space="0" w:color="auto"/>
                                                        <w:right w:val="none" w:sz="0" w:space="0" w:color="auto"/>
                                                      </w:divBdr>
                                                    </w:div>
                                                  </w:divsChild>
                                                </w:div>
                                                <w:div w:id="8016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52895">
      <w:bodyDiv w:val="1"/>
      <w:marLeft w:val="0"/>
      <w:marRight w:val="0"/>
      <w:marTop w:val="0"/>
      <w:marBottom w:val="0"/>
      <w:divBdr>
        <w:top w:val="none" w:sz="0" w:space="0" w:color="auto"/>
        <w:left w:val="none" w:sz="0" w:space="0" w:color="auto"/>
        <w:bottom w:val="none" w:sz="0" w:space="0" w:color="auto"/>
        <w:right w:val="none" w:sz="0" w:space="0" w:color="auto"/>
      </w:divBdr>
    </w:div>
    <w:div w:id="1279333143">
      <w:bodyDiv w:val="1"/>
      <w:marLeft w:val="0"/>
      <w:marRight w:val="0"/>
      <w:marTop w:val="0"/>
      <w:marBottom w:val="0"/>
      <w:divBdr>
        <w:top w:val="none" w:sz="0" w:space="0" w:color="auto"/>
        <w:left w:val="none" w:sz="0" w:space="0" w:color="auto"/>
        <w:bottom w:val="none" w:sz="0" w:space="0" w:color="auto"/>
        <w:right w:val="none" w:sz="0" w:space="0" w:color="auto"/>
      </w:divBdr>
    </w:div>
    <w:div w:id="1413507385">
      <w:bodyDiv w:val="1"/>
      <w:marLeft w:val="0"/>
      <w:marRight w:val="0"/>
      <w:marTop w:val="0"/>
      <w:marBottom w:val="0"/>
      <w:divBdr>
        <w:top w:val="none" w:sz="0" w:space="0" w:color="auto"/>
        <w:left w:val="none" w:sz="0" w:space="0" w:color="auto"/>
        <w:bottom w:val="none" w:sz="0" w:space="0" w:color="auto"/>
        <w:right w:val="none" w:sz="0" w:space="0" w:color="auto"/>
      </w:divBdr>
    </w:div>
    <w:div w:id="1439763057">
      <w:bodyDiv w:val="1"/>
      <w:marLeft w:val="0"/>
      <w:marRight w:val="0"/>
      <w:marTop w:val="0"/>
      <w:marBottom w:val="0"/>
      <w:divBdr>
        <w:top w:val="none" w:sz="0" w:space="0" w:color="auto"/>
        <w:left w:val="none" w:sz="0" w:space="0" w:color="auto"/>
        <w:bottom w:val="none" w:sz="0" w:space="0" w:color="auto"/>
        <w:right w:val="none" w:sz="0" w:space="0" w:color="auto"/>
      </w:divBdr>
    </w:div>
    <w:div w:id="21453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nece.org/fileadmin/DAM/trans/doc/2018/wp29grva/GRVA-01-18.pdf" TargetMode="External"/><Relationship Id="rId4" Type="http://schemas.microsoft.com/office/2007/relationships/stylesWithEffects" Target="stylesWithEffects.xml"/><Relationship Id="rId9" Type="http://schemas.openxmlformats.org/officeDocument/2006/relationships/hyperlink" Target="https://www.unece.org/fileadmin/DAM/trans/doc/2018/wp29grva/GRVA-01-17.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1D52-F235-4DA5-BD15-5194F045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11263</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Provisional Agenda for the 15th Session of the Informal Group on “PTI"</vt:lpstr>
      <vt:lpstr>Provisional Agenda for the 15th Session of the Informal Group on “PTI"</vt:lpstr>
    </vt:vector>
  </TitlesOfParts>
  <Company>国土交通省</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for the 15th Session of the Informal Group on “PTI"</dc:title>
  <dc:creator>"Francois Guichard" &lt;francois.guichard@gmail.com&gt;</dc:creator>
  <cp:lastModifiedBy>Schenkenberger, Jens</cp:lastModifiedBy>
  <cp:revision>3</cp:revision>
  <cp:lastPrinted>2016-12-15T10:25:00Z</cp:lastPrinted>
  <dcterms:created xsi:type="dcterms:W3CDTF">2018-10-15T13:07:00Z</dcterms:created>
  <dcterms:modified xsi:type="dcterms:W3CDTF">2018-10-18T08:38:00Z</dcterms:modified>
</cp:coreProperties>
</file>