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0E" w:rsidRPr="00D0614B" w:rsidRDefault="00D0614B" w:rsidP="000C0D9F">
      <w:pPr>
        <w:pStyle w:val="TRLBodyText"/>
        <w:rPr>
          <w:sz w:val="36"/>
          <w:szCs w:val="36"/>
          <w:u w:val="single"/>
        </w:rPr>
      </w:pPr>
      <w:r w:rsidRPr="00D0614B">
        <w:rPr>
          <w:sz w:val="36"/>
          <w:szCs w:val="36"/>
          <w:highlight w:val="yellow"/>
          <w:u w:val="single"/>
        </w:rPr>
        <w:t>3 g/km extension</w:t>
      </w:r>
      <w:bookmarkStart w:id="0" w:name="_GoBack"/>
      <w:bookmarkEnd w:id="0"/>
    </w:p>
    <w:p w:rsidR="00CA2696" w:rsidRPr="00CA2696" w:rsidRDefault="00CA2696" w:rsidP="000C0D9F">
      <w:pPr>
        <w:pStyle w:val="TRLBodyText"/>
        <w:rPr>
          <w:u w:val="single"/>
        </w:rPr>
      </w:pPr>
      <w:r w:rsidRPr="00CA2696">
        <w:rPr>
          <w:u w:val="single"/>
        </w:rPr>
        <w:t>GTR15</w:t>
      </w:r>
    </w:p>
    <w:p w:rsidR="002E7A72" w:rsidRPr="00CA2696" w:rsidRDefault="00CA2696" w:rsidP="000C0D9F">
      <w:pPr>
        <w:pStyle w:val="TRLBodyText"/>
        <w:rPr>
          <w:b/>
          <w:sz w:val="22"/>
        </w:rPr>
      </w:pPr>
      <w:r w:rsidRPr="00CA2696">
        <w:rPr>
          <w:b/>
          <w:sz w:val="22"/>
        </w:rPr>
        <w:t>GTR15 Amendment 4 Approved at WP.29 June 2018 (ECE/TRANS/WP.29/2018/71)</w:t>
      </w:r>
    </w:p>
    <w:p w:rsidR="00CA2696" w:rsidRPr="00CA2696" w:rsidRDefault="00CA2696" w:rsidP="00CA2696">
      <w:pPr>
        <w:pStyle w:val="TRLBodyText"/>
        <w:ind w:left="284" w:right="521"/>
        <w:rPr>
          <w:sz w:val="22"/>
        </w:rPr>
      </w:pPr>
      <w:r w:rsidRPr="00CA2696">
        <w:rPr>
          <w:sz w:val="22"/>
        </w:rPr>
        <w:t>“2.3.2.3.</w:t>
      </w:r>
      <w:r w:rsidRPr="00CA2696">
        <w:rPr>
          <w:sz w:val="22"/>
        </w:rPr>
        <w:tab/>
        <w:t xml:space="preserve">At the request of the manufacturer and with approval of the responsible authority, the interpolation line may be extrapolated to a maximum of 3 g/km above the CO2 emission of vehicle H and/or below the CO2 emission of vehicle L. </w:t>
      </w:r>
    </w:p>
    <w:p w:rsidR="00CA2696" w:rsidRPr="00CA2696" w:rsidRDefault="00CA2696" w:rsidP="00CA2696">
      <w:pPr>
        <w:pStyle w:val="TRLBodyText"/>
        <w:ind w:left="284" w:right="521"/>
        <w:rPr>
          <w:sz w:val="22"/>
        </w:rPr>
      </w:pPr>
      <w:r w:rsidRPr="00CA2696">
        <w:rPr>
          <w:sz w:val="22"/>
        </w:rPr>
        <w:t>For the application of a road load matrix family, extrapolation is not permitted.”</w:t>
      </w:r>
    </w:p>
    <w:p w:rsidR="002758B5" w:rsidRPr="00CA2696" w:rsidRDefault="002758B5" w:rsidP="000C0D9F">
      <w:pPr>
        <w:pStyle w:val="TRLBodyText"/>
        <w:rPr>
          <w:b/>
          <w:sz w:val="22"/>
        </w:rPr>
      </w:pPr>
      <w:r w:rsidRPr="00CA2696">
        <w:rPr>
          <w:b/>
          <w:sz w:val="22"/>
        </w:rPr>
        <w:t xml:space="preserve">WLTP-23-06 Appendix 14 proposal </w:t>
      </w:r>
      <w:r w:rsidR="002E7A72" w:rsidRPr="00CA2696">
        <w:rPr>
          <w:b/>
          <w:sz w:val="22"/>
        </w:rPr>
        <w:t>for GTR15</w:t>
      </w:r>
    </w:p>
    <w:p w:rsidR="002758B5" w:rsidRPr="00CA2696" w:rsidRDefault="00D0614B" w:rsidP="000C0D9F">
      <w:pPr>
        <w:pStyle w:val="TRLBodyText"/>
        <w:rPr>
          <w:sz w:val="22"/>
        </w:rPr>
      </w:pPr>
      <w:r>
        <w:rPr>
          <w:noProof/>
          <w:sz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134815</wp:posOffset>
                </wp:positionH>
                <wp:positionV relativeFrom="paragraph">
                  <wp:posOffset>413336</wp:posOffset>
                </wp:positionV>
                <wp:extent cx="5416062" cy="1418492"/>
                <wp:effectExtent l="0" t="0" r="1333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062" cy="14184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10.6pt;margin-top:32.55pt;width:426.45pt;height:1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" filled="f" strokecolor="black [1604]" strokeweight="2pt"/>
            </w:pict>
          </mc:Fallback>
        </mc:AlternateContent>
      </w:r>
      <w:r w:rsidR="002758B5" w:rsidRPr="00CA2696">
        <w:rPr>
          <w:sz w:val="22"/>
        </w:rPr>
        <w:t xml:space="preserve">(Blue and red = new propose additions and deletions. Green = already agreed in </w:t>
      </w:r>
      <w:proofErr w:type="spellStart"/>
      <w:r w:rsidR="002758B5" w:rsidRPr="00CA2696">
        <w:rPr>
          <w:sz w:val="22"/>
        </w:rPr>
        <w:t>Ispra</w:t>
      </w:r>
      <w:proofErr w:type="spellEnd"/>
      <w:r w:rsidR="00EE6600">
        <w:rPr>
          <w:sz w:val="22"/>
        </w:rPr>
        <w:t xml:space="preserve">. </w:t>
      </w:r>
      <w:r w:rsidR="00EE6600" w:rsidRPr="006B04EF">
        <w:rPr>
          <w:color w:val="7030A0"/>
          <w:sz w:val="22"/>
        </w:rPr>
        <w:t>Purple = further minor amendment from EC to align with text in Annex 8 paragraph 4.5.1.</w:t>
      </w:r>
      <w:r w:rsidR="002758B5" w:rsidRPr="006B04EF">
        <w:rPr>
          <w:color w:val="7030A0"/>
          <w:sz w:val="22"/>
        </w:rPr>
        <w:t>)</w:t>
      </w:r>
    </w:p>
    <w:p w:rsidR="002758B5" w:rsidRPr="00D0614B" w:rsidRDefault="002758B5" w:rsidP="002E7A72">
      <w:pPr>
        <w:pStyle w:val="TRLBodyText"/>
        <w:ind w:left="284" w:right="521"/>
        <w:rPr>
          <w:sz w:val="22"/>
        </w:rPr>
      </w:pPr>
      <w:r w:rsidRPr="00CA2696">
        <w:rPr>
          <w:sz w:val="22"/>
        </w:rPr>
        <w:t>“</w:t>
      </w:r>
      <w:r w:rsidRPr="00D0614B">
        <w:rPr>
          <w:sz w:val="22"/>
        </w:rPr>
        <w:t>2.</w:t>
      </w:r>
      <w:r w:rsidR="002E7A72" w:rsidRPr="00D0614B">
        <w:rPr>
          <w:sz w:val="22"/>
        </w:rPr>
        <w:t>3</w:t>
      </w:r>
      <w:r w:rsidRPr="00D0614B">
        <w:rPr>
          <w:sz w:val="22"/>
        </w:rPr>
        <w:t xml:space="preserve">.2.3. At the request of the manufacturer and with approval of the responsible authority, </w:t>
      </w:r>
      <w:r w:rsidRPr="00D0614B">
        <w:rPr>
          <w:color w:val="7030A0"/>
          <w:sz w:val="22"/>
          <w:u w:val="single"/>
        </w:rPr>
        <w:t xml:space="preserve">the </w:t>
      </w:r>
      <w:r w:rsidR="00B37012" w:rsidRPr="00D0614B">
        <w:rPr>
          <w:color w:val="7030A0"/>
          <w:sz w:val="22"/>
          <w:u w:val="single"/>
        </w:rPr>
        <w:t>application of</w:t>
      </w:r>
      <w:r w:rsidR="00B37012" w:rsidRPr="00D0614B">
        <w:rPr>
          <w:sz w:val="22"/>
        </w:rPr>
        <w:t xml:space="preserve"> the </w:t>
      </w:r>
      <w:r w:rsidRPr="00D0614B">
        <w:rPr>
          <w:sz w:val="22"/>
        </w:rPr>
        <w:t xml:space="preserve">interpolation </w:t>
      </w:r>
      <w:r w:rsidRPr="00D0614B">
        <w:rPr>
          <w:color w:val="0070C0"/>
          <w:sz w:val="22"/>
          <w:u w:val="single"/>
        </w:rPr>
        <w:t>method on individual vehicle values within a family may be extended if the</w:t>
      </w:r>
      <w:r w:rsidRPr="00D0614B">
        <w:rPr>
          <w:sz w:val="22"/>
        </w:rPr>
        <w:t xml:space="preserve"> </w:t>
      </w:r>
      <w:r w:rsidRPr="00D0614B">
        <w:rPr>
          <w:strike/>
          <w:color w:val="FF0000"/>
          <w:sz w:val="22"/>
        </w:rPr>
        <w:t>line extrapolated to a</w:t>
      </w:r>
      <w:r w:rsidRPr="00D0614B">
        <w:rPr>
          <w:sz w:val="22"/>
        </w:rPr>
        <w:t xml:space="preserve"> maximum </w:t>
      </w:r>
      <w:r w:rsidRPr="00D0614B">
        <w:rPr>
          <w:color w:val="0070C0"/>
          <w:sz w:val="22"/>
          <w:u w:val="single"/>
        </w:rPr>
        <w:t>extrapolation is not more than</w:t>
      </w:r>
      <w:r w:rsidRPr="00D0614B">
        <w:rPr>
          <w:sz w:val="22"/>
        </w:rPr>
        <w:t xml:space="preserve"> </w:t>
      </w:r>
      <w:r w:rsidRPr="00D0614B">
        <w:rPr>
          <w:strike/>
          <w:color w:val="FF0000"/>
          <w:sz w:val="22"/>
        </w:rPr>
        <w:t>of</w:t>
      </w:r>
      <w:r w:rsidRPr="00D0614B">
        <w:rPr>
          <w:sz w:val="22"/>
        </w:rPr>
        <w:t xml:space="preserve"> 3 g/km above the CO</w:t>
      </w:r>
      <w:r w:rsidRPr="00D0614B">
        <w:rPr>
          <w:sz w:val="22"/>
          <w:vertAlign w:val="subscript"/>
        </w:rPr>
        <w:t>2</w:t>
      </w:r>
      <w:r w:rsidRPr="00D0614B">
        <w:rPr>
          <w:sz w:val="22"/>
        </w:rPr>
        <w:t xml:space="preserve"> emission of vehicle H and/or </w:t>
      </w:r>
      <w:r w:rsidRPr="00D0614B">
        <w:rPr>
          <w:color w:val="0070C0"/>
          <w:sz w:val="22"/>
          <w:u w:val="single"/>
        </w:rPr>
        <w:t>is not more than 3g/km</w:t>
      </w:r>
      <w:r w:rsidRPr="00D0614B">
        <w:rPr>
          <w:sz w:val="22"/>
        </w:rPr>
        <w:t xml:space="preserve"> below the CO</w:t>
      </w:r>
      <w:r w:rsidRPr="00D0614B">
        <w:rPr>
          <w:sz w:val="22"/>
          <w:vertAlign w:val="subscript"/>
        </w:rPr>
        <w:t>2</w:t>
      </w:r>
      <w:r w:rsidRPr="00D0614B">
        <w:rPr>
          <w:sz w:val="22"/>
        </w:rPr>
        <w:t xml:space="preserve"> emission of vehicle L. </w:t>
      </w:r>
      <w:r w:rsidRPr="00D0614B">
        <w:rPr>
          <w:color w:val="00B050"/>
          <w:sz w:val="22"/>
          <w:u w:val="single"/>
        </w:rPr>
        <w:t>This extension is valid only within the absolute boundaries of the interpolation range specified in paragraph 2.3.2.2.</w:t>
      </w:r>
    </w:p>
    <w:p w:rsidR="002758B5" w:rsidRPr="00CA2696" w:rsidRDefault="002758B5" w:rsidP="002E7A72">
      <w:pPr>
        <w:pStyle w:val="TRLBodyText"/>
        <w:ind w:left="284" w:right="521"/>
        <w:rPr>
          <w:sz w:val="22"/>
        </w:rPr>
      </w:pPr>
      <w:r w:rsidRPr="00D0614B">
        <w:rPr>
          <w:sz w:val="22"/>
        </w:rPr>
        <w:t xml:space="preserve">For the application of a road load matrix family, extrapolation is not </w:t>
      </w:r>
      <w:commentRangeStart w:id="1"/>
      <w:r w:rsidRPr="00D0614B">
        <w:rPr>
          <w:sz w:val="22"/>
        </w:rPr>
        <w:t>permitted</w:t>
      </w:r>
      <w:commentRangeEnd w:id="1"/>
      <w:r w:rsidR="00D0614B">
        <w:rPr>
          <w:rStyle w:val="a9"/>
          <w:rFonts w:eastAsiaTheme="minorHAnsi" w:cs="Calibri"/>
        </w:rPr>
        <w:commentReference w:id="1"/>
      </w:r>
      <w:r w:rsidRPr="00D0614B">
        <w:rPr>
          <w:sz w:val="22"/>
        </w:rPr>
        <w:t>.”</w:t>
      </w:r>
    </w:p>
    <w:p w:rsidR="00D0614B" w:rsidRDefault="00D0614B" w:rsidP="000C0D9F">
      <w:pPr>
        <w:pStyle w:val="TRLBodyText"/>
        <w:rPr>
          <w:u w:val="single"/>
        </w:rPr>
      </w:pPr>
    </w:p>
    <w:p w:rsidR="00D0614B" w:rsidRDefault="00D0614B" w:rsidP="000C0D9F">
      <w:pPr>
        <w:pStyle w:val="TRLBodyText"/>
        <w:rPr>
          <w:u w:val="single"/>
        </w:rPr>
      </w:pPr>
    </w:p>
    <w:p w:rsidR="00D0614B" w:rsidRPr="00D0614B" w:rsidRDefault="00D0614B" w:rsidP="000C0D9F">
      <w:pPr>
        <w:pStyle w:val="TRLBodyText"/>
        <w:rPr>
          <w:sz w:val="36"/>
          <w:szCs w:val="36"/>
          <w:highlight w:val="yellow"/>
          <w:u w:val="single"/>
        </w:rPr>
      </w:pPr>
      <w:proofErr w:type="gramStart"/>
      <w:r w:rsidRPr="00D0614B">
        <w:rPr>
          <w:sz w:val="36"/>
          <w:szCs w:val="36"/>
          <w:highlight w:val="yellow"/>
          <w:u w:val="single"/>
        </w:rPr>
        <w:t>Paragraph 4.5.1.</w:t>
      </w:r>
      <w:proofErr w:type="gramEnd"/>
      <w:r w:rsidRPr="00D0614B">
        <w:rPr>
          <w:sz w:val="36"/>
          <w:szCs w:val="36"/>
          <w:highlight w:val="yellow"/>
          <w:u w:val="single"/>
        </w:rPr>
        <w:t xml:space="preserve"> </w:t>
      </w:r>
      <w:proofErr w:type="gramStart"/>
      <w:r w:rsidRPr="00D0614B">
        <w:rPr>
          <w:sz w:val="36"/>
          <w:szCs w:val="36"/>
          <w:highlight w:val="yellow"/>
          <w:u w:val="single"/>
        </w:rPr>
        <w:t>of</w:t>
      </w:r>
      <w:proofErr w:type="gramEnd"/>
      <w:r w:rsidRPr="00D0614B">
        <w:rPr>
          <w:sz w:val="36"/>
          <w:szCs w:val="36"/>
          <w:highlight w:val="yellow"/>
          <w:u w:val="single"/>
        </w:rPr>
        <w:t xml:space="preserve"> Annex 8</w:t>
      </w:r>
    </w:p>
    <w:p w:rsidR="002758B5" w:rsidRPr="00541220" w:rsidRDefault="00CA2696" w:rsidP="000C0D9F">
      <w:pPr>
        <w:pStyle w:val="TRLBodyText"/>
        <w:rPr>
          <w:u w:val="single"/>
        </w:rPr>
      </w:pPr>
      <w:r w:rsidRPr="00EE6600">
        <w:rPr>
          <w:u w:val="single"/>
        </w:rPr>
        <w:t xml:space="preserve">EU 2017/1151 </w:t>
      </w:r>
      <w:r w:rsidR="002758B5" w:rsidRPr="00EE6600">
        <w:rPr>
          <w:u w:val="single"/>
        </w:rPr>
        <w:t xml:space="preserve">Annex XXI Sub-Annex 8 paragraph 4.5.1. </w:t>
      </w:r>
      <w:r w:rsidR="00EE6600">
        <w:rPr>
          <w:u w:val="single"/>
        </w:rPr>
        <w:t xml:space="preserve">– </w:t>
      </w:r>
      <w:proofErr w:type="gramStart"/>
      <w:r w:rsidR="00EE6600">
        <w:rPr>
          <w:u w:val="single"/>
        </w:rPr>
        <w:t>first</w:t>
      </w:r>
      <w:proofErr w:type="gramEnd"/>
      <w:r w:rsidR="00EE6600">
        <w:rPr>
          <w:u w:val="single"/>
        </w:rPr>
        <w:t xml:space="preserve"> two paragraphs</w:t>
      </w:r>
      <w:r w:rsidR="002758B5" w:rsidRPr="00EE6600">
        <w:rPr>
          <w:u w:val="single"/>
        </w:rPr>
        <w:t>.</w:t>
      </w:r>
    </w:p>
    <w:p w:rsidR="00541220" w:rsidRPr="00EE6600" w:rsidRDefault="00D0614B" w:rsidP="002758B5">
      <w:pPr>
        <w:pStyle w:val="TRLBodyText"/>
        <w:rPr>
          <w:b/>
          <w:sz w:val="22"/>
        </w:rPr>
      </w:pPr>
      <w:r>
        <w:rPr>
          <w:b/>
          <w:sz w:val="22"/>
        </w:rPr>
        <w:t xml:space="preserve">EU WLTP </w:t>
      </w:r>
      <w:r w:rsidR="00541220" w:rsidRPr="00EE6600">
        <w:rPr>
          <w:b/>
          <w:sz w:val="22"/>
        </w:rPr>
        <w:t>2</w:t>
      </w:r>
      <w:r w:rsidR="00541220" w:rsidRPr="00EE6600">
        <w:rPr>
          <w:b/>
          <w:sz w:val="22"/>
          <w:vertAlign w:val="superscript"/>
        </w:rPr>
        <w:t>nd</w:t>
      </w:r>
      <w:r w:rsidR="00541220" w:rsidRPr="00EE6600">
        <w:rPr>
          <w:b/>
          <w:sz w:val="22"/>
        </w:rPr>
        <w:t xml:space="preserve"> Act</w:t>
      </w:r>
    </w:p>
    <w:p w:rsidR="00541220" w:rsidRPr="00CA2696" w:rsidRDefault="00541220" w:rsidP="002E7A72">
      <w:pPr>
        <w:pStyle w:val="TRLBodyText"/>
        <w:ind w:left="284" w:right="521"/>
        <w:rPr>
          <w:sz w:val="22"/>
        </w:rPr>
      </w:pPr>
      <w:r w:rsidRPr="00CA2696">
        <w:rPr>
          <w:sz w:val="22"/>
        </w:rPr>
        <w:t xml:space="preserve">“4.5.1. </w:t>
      </w:r>
      <w:r w:rsidR="00EE6600" w:rsidRPr="00EE6600">
        <w:rPr>
          <w:sz w:val="22"/>
        </w:rPr>
        <w:t>Interpolation range for NOVC- HEVs and OVC-HEVs</w:t>
      </w:r>
    </w:p>
    <w:p w:rsidR="00EE6600" w:rsidRPr="00EE6600" w:rsidRDefault="00EE6600" w:rsidP="00EE6600">
      <w:pPr>
        <w:pStyle w:val="TRLBodyText"/>
        <w:ind w:left="284" w:right="521"/>
        <w:rPr>
          <w:sz w:val="22"/>
        </w:rPr>
      </w:pPr>
      <w:r w:rsidRPr="005E0BF1">
        <w:rPr>
          <w:sz w:val="22"/>
          <w:highlight w:val="yellow"/>
        </w:rPr>
        <w:t>The interpolation method shall only be used if the difference in charge-sustaining CO</w:t>
      </w:r>
      <w:r w:rsidRPr="005E0BF1">
        <w:rPr>
          <w:sz w:val="22"/>
          <w:highlight w:val="yellow"/>
          <w:vertAlign w:val="subscript"/>
        </w:rPr>
        <w:t>2</w:t>
      </w:r>
      <w:r w:rsidRPr="005E0BF1">
        <w:rPr>
          <w:sz w:val="22"/>
          <w:highlight w:val="yellow"/>
        </w:rPr>
        <w:t xml:space="preserve"> mass emission</w:t>
      </w:r>
      <w:proofErr w:type="gramStart"/>
      <w:r w:rsidRPr="005E0BF1">
        <w:rPr>
          <w:sz w:val="22"/>
          <w:highlight w:val="yellow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sz w:val="22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highlight w:val="yellow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highlight w:val="yellow"/>
              </w:rPr>
              <m:t>CO2, CS</m:t>
            </m:r>
          </m:sub>
        </m:sSub>
      </m:oMath>
      <w:r w:rsidRPr="005E0BF1">
        <w:rPr>
          <w:sz w:val="22"/>
          <w:highlight w:val="yellow"/>
        </w:rPr>
        <w:t xml:space="preserve">, according to Table A8/5, step no. 8 between test vehicles L and H is between a minimum of 5 g/km and a maximum of 20 per cent plus 5 g/km of the charge-sustaining CO2 mass emission, </w:t>
      </w:r>
      <m:oMath>
        <m:sSub>
          <m:sSubPr>
            <m:ctrlPr>
              <w:rPr>
                <w:rFonts w:ascii="Cambria Math" w:hAnsi="Cambria Math"/>
                <w:sz w:val="22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highlight w:val="yellow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highlight w:val="yellow"/>
              </w:rPr>
              <m:t>CO2, CS</m:t>
            </m:r>
          </m:sub>
        </m:sSub>
        <m:r>
          <m:rPr>
            <m:sty m:val="p"/>
          </m:rPr>
          <w:rPr>
            <w:rFonts w:ascii="Cambria Math" w:hAnsi="Cambria Math"/>
            <w:sz w:val="22"/>
            <w:highlight w:val="yellow"/>
          </w:rPr>
          <m:t xml:space="preserve"> </m:t>
        </m:r>
      </m:oMath>
      <w:r w:rsidRPr="005E0BF1">
        <w:rPr>
          <w:sz w:val="22"/>
          <w:highlight w:val="yellow"/>
        </w:rPr>
        <w:t>, according to Table A8/5, step no. 8 for vehicle H, but at least 15 g/km and not exceeding 20 g/km.</w:t>
      </w:r>
    </w:p>
    <w:p w:rsidR="00541220" w:rsidRPr="00CA2696" w:rsidRDefault="00EE6600" w:rsidP="00EE6600">
      <w:pPr>
        <w:pStyle w:val="TRLBodyText"/>
        <w:ind w:left="284" w:right="521"/>
        <w:rPr>
          <w:sz w:val="22"/>
        </w:rPr>
      </w:pPr>
      <w:r w:rsidRPr="00EE6600">
        <w:rPr>
          <w:sz w:val="22"/>
        </w:rPr>
        <w:t>At the request of the manufacturer and with approval of the approval authority, the application of the interpolation method on individual vehicle values within a family may be extended if the maximum extrapolation is not more than 3 g/km above the charge-sustaining CO</w:t>
      </w:r>
      <w:r w:rsidRPr="00EE6600">
        <w:rPr>
          <w:sz w:val="22"/>
          <w:vertAlign w:val="subscript"/>
        </w:rPr>
        <w:t>2</w:t>
      </w:r>
      <w:r w:rsidRPr="00EE6600">
        <w:rPr>
          <w:sz w:val="22"/>
        </w:rPr>
        <w:t xml:space="preserve"> mass emission of vehicle H and/or is not more than 3 g/km below the charge-sustaining CO</w:t>
      </w:r>
      <w:r w:rsidRPr="00EE6600">
        <w:rPr>
          <w:sz w:val="22"/>
          <w:vertAlign w:val="subscript"/>
        </w:rPr>
        <w:t>2</w:t>
      </w:r>
      <w:r w:rsidRPr="00EE6600">
        <w:rPr>
          <w:sz w:val="22"/>
        </w:rPr>
        <w:t xml:space="preserve"> mass emission of vehicle L. This extension is valid only within the absolute boundaries of the interpolation range specified in this paragraph.'</w:t>
      </w:r>
      <w:r w:rsidR="00541220" w:rsidRPr="00CA2696">
        <w:rPr>
          <w:sz w:val="22"/>
        </w:rPr>
        <w:t>…</w:t>
      </w:r>
      <w:r w:rsidR="002E7A72" w:rsidRPr="00CA2696">
        <w:rPr>
          <w:sz w:val="22"/>
        </w:rPr>
        <w:t>”</w:t>
      </w:r>
    </w:p>
    <w:p w:rsidR="00CA2696" w:rsidRPr="00CA2696" w:rsidRDefault="00CA2696" w:rsidP="00CA2696">
      <w:pPr>
        <w:pStyle w:val="TRLBodyText"/>
        <w:rPr>
          <w:b/>
          <w:sz w:val="22"/>
        </w:rPr>
      </w:pPr>
      <w:r w:rsidRPr="00CA2696">
        <w:rPr>
          <w:b/>
          <w:sz w:val="22"/>
        </w:rPr>
        <w:t>GTR15 Amendment 4 Approved at WP.29 June 2018 (ECE/TRANS/WP.29/2018/71)</w:t>
      </w:r>
    </w:p>
    <w:p w:rsidR="00EE6600" w:rsidRPr="00EE6600" w:rsidRDefault="00CA2696" w:rsidP="00EE6600">
      <w:pPr>
        <w:pStyle w:val="TRLBodyText"/>
        <w:ind w:left="284" w:right="521"/>
        <w:rPr>
          <w:sz w:val="22"/>
        </w:rPr>
      </w:pPr>
      <w:r w:rsidRPr="00CA2696">
        <w:rPr>
          <w:sz w:val="22"/>
        </w:rPr>
        <w:t>“</w:t>
      </w:r>
      <w:r w:rsidR="00EE6600" w:rsidRPr="00EE6600">
        <w:rPr>
          <w:sz w:val="22"/>
        </w:rPr>
        <w:t>4.5.1.</w:t>
      </w:r>
      <w:r w:rsidR="00EE6600" w:rsidRPr="00EE6600">
        <w:rPr>
          <w:sz w:val="22"/>
        </w:rPr>
        <w:tab/>
        <w:t>Interpolation range for NOVC- HEVs and OVC-HEVs</w:t>
      </w:r>
    </w:p>
    <w:p w:rsidR="00EE6600" w:rsidRPr="00EE6600" w:rsidRDefault="00EE6600" w:rsidP="00EE6600">
      <w:pPr>
        <w:pStyle w:val="TRLBodyText"/>
        <w:ind w:left="284" w:right="521"/>
        <w:rPr>
          <w:sz w:val="22"/>
        </w:rPr>
      </w:pPr>
      <w:r w:rsidRPr="005E0BF1">
        <w:rPr>
          <w:sz w:val="22"/>
          <w:highlight w:val="cyan"/>
        </w:rPr>
        <w:t>The interpolation method shall only be used if the difference in charge-sustaining CO</w:t>
      </w:r>
      <w:r w:rsidRPr="005E0BF1">
        <w:rPr>
          <w:sz w:val="22"/>
          <w:highlight w:val="cyan"/>
          <w:vertAlign w:val="subscript"/>
        </w:rPr>
        <w:t>2</w:t>
      </w:r>
      <w:r w:rsidRPr="005E0BF1">
        <w:rPr>
          <w:sz w:val="22"/>
          <w:highlight w:val="cyan"/>
        </w:rPr>
        <w:t xml:space="preserve"> mass emission</w:t>
      </w:r>
      <w:proofErr w:type="gramStart"/>
      <w:r w:rsidRPr="005E0BF1">
        <w:rPr>
          <w:sz w:val="22"/>
          <w:highlight w:val="cyan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sz w:val="22"/>
                <w:highlight w:val="cy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highlight w:val="cy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highlight w:val="cyan"/>
              </w:rPr>
              <m:t>CO2, CS</m:t>
            </m:r>
          </m:sub>
        </m:sSub>
      </m:oMath>
      <w:r w:rsidRPr="005E0BF1">
        <w:rPr>
          <w:sz w:val="22"/>
          <w:highlight w:val="cyan"/>
        </w:rPr>
        <w:t>, according to Table A8/5, step No. 8 between test vehicles L and H is between a minimum of 5 g/km and a maximum of 20 g/km or 20 per cent of the charge-</w:t>
      </w:r>
      <w:r w:rsidRPr="005E0BF1">
        <w:rPr>
          <w:sz w:val="22"/>
          <w:highlight w:val="cyan"/>
        </w:rPr>
        <w:lastRenderedPageBreak/>
        <w:t>sustaining CO</w:t>
      </w:r>
      <w:r w:rsidRPr="005E0BF1">
        <w:rPr>
          <w:sz w:val="22"/>
          <w:highlight w:val="cyan"/>
          <w:vertAlign w:val="subscript"/>
        </w:rPr>
        <w:t>2</w:t>
      </w:r>
      <w:r w:rsidRPr="005E0BF1">
        <w:rPr>
          <w:sz w:val="22"/>
          <w:highlight w:val="cyan"/>
        </w:rPr>
        <w:t xml:space="preserve"> mass emission, </w:t>
      </w:r>
      <m:oMath>
        <m:sSub>
          <m:sSubPr>
            <m:ctrlPr>
              <w:rPr>
                <w:rFonts w:ascii="Cambria Math" w:hAnsi="Cambria Math"/>
                <w:sz w:val="22"/>
                <w:highlight w:val="cy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highlight w:val="cy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highlight w:val="cyan"/>
              </w:rPr>
              <m:t>CO2, CS</m:t>
            </m:r>
          </m:sub>
        </m:sSub>
        <m:r>
          <m:rPr>
            <m:sty m:val="p"/>
          </m:rPr>
          <w:rPr>
            <w:rFonts w:ascii="Cambria Math" w:hAnsi="Cambria Math"/>
            <w:sz w:val="22"/>
            <w:highlight w:val="cyan"/>
          </w:rPr>
          <m:t xml:space="preserve"> </m:t>
        </m:r>
      </m:oMath>
      <w:r w:rsidRPr="005E0BF1">
        <w:rPr>
          <w:sz w:val="22"/>
          <w:highlight w:val="cyan"/>
        </w:rPr>
        <w:t xml:space="preserve">, according to Table A8/5, step No. 8 for vehicle H, whichever value is </w:t>
      </w:r>
      <w:commentRangeStart w:id="2"/>
      <w:r w:rsidRPr="005E0BF1">
        <w:rPr>
          <w:sz w:val="22"/>
          <w:highlight w:val="cyan"/>
        </w:rPr>
        <w:t>smaller</w:t>
      </w:r>
      <w:commentRangeEnd w:id="2"/>
      <w:r w:rsidR="005E0BF1">
        <w:rPr>
          <w:rStyle w:val="a9"/>
          <w:rFonts w:eastAsiaTheme="minorHAnsi" w:cs="Calibri"/>
        </w:rPr>
        <w:commentReference w:id="2"/>
      </w:r>
      <w:r w:rsidRPr="005E0BF1">
        <w:rPr>
          <w:sz w:val="22"/>
          <w:highlight w:val="cyan"/>
        </w:rPr>
        <w:t>.</w:t>
      </w:r>
    </w:p>
    <w:p w:rsidR="00CA2696" w:rsidRDefault="00EE6600" w:rsidP="00EE6600">
      <w:pPr>
        <w:pStyle w:val="TRLBodyText"/>
        <w:ind w:left="284" w:right="521"/>
        <w:rPr>
          <w:sz w:val="22"/>
        </w:rPr>
      </w:pPr>
      <w:r w:rsidRPr="00EE6600">
        <w:rPr>
          <w:sz w:val="22"/>
        </w:rPr>
        <w:t>At the request of the manufacturer and with approval of the responsible authority, the application of the interpolation method on individual vehicle values within a family may be extended if the maximum extrapolation is not more than 3 g/km above the charge-sustaining CO</w:t>
      </w:r>
      <w:r w:rsidRPr="00EE6600">
        <w:rPr>
          <w:sz w:val="22"/>
          <w:vertAlign w:val="subscript"/>
        </w:rPr>
        <w:t>2</w:t>
      </w:r>
      <w:r w:rsidRPr="00EE6600">
        <w:rPr>
          <w:sz w:val="22"/>
        </w:rPr>
        <w:t xml:space="preserve"> mass emission of vehicle H and/or is not more than 3 g/km below the charge-sustaining CO</w:t>
      </w:r>
      <w:r w:rsidRPr="00EE6600">
        <w:rPr>
          <w:sz w:val="22"/>
          <w:vertAlign w:val="subscript"/>
        </w:rPr>
        <w:t>2</w:t>
      </w:r>
      <w:r w:rsidRPr="00EE6600">
        <w:rPr>
          <w:sz w:val="22"/>
        </w:rPr>
        <w:t xml:space="preserve"> mass emission of vehicle L. This extension is valid only within the absolute boundaries of the interpolation range specified in this paragraph.</w:t>
      </w:r>
    </w:p>
    <w:p w:rsidR="00CA2696" w:rsidRPr="00CA2696" w:rsidRDefault="00CA2696" w:rsidP="002E7A72">
      <w:pPr>
        <w:pStyle w:val="TRLBodyText"/>
        <w:ind w:left="284" w:right="521"/>
        <w:rPr>
          <w:sz w:val="22"/>
        </w:rPr>
      </w:pPr>
      <w:r>
        <w:rPr>
          <w:sz w:val="22"/>
        </w:rPr>
        <w:t>…</w:t>
      </w:r>
      <w:r w:rsidRPr="00CA2696">
        <w:rPr>
          <w:sz w:val="22"/>
        </w:rPr>
        <w:t>”</w:t>
      </w:r>
    </w:p>
    <w:sectPr w:rsidR="00CA2696" w:rsidRPr="00CA2696" w:rsidSect="008E0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ROTTA Alessandro (GROW)" w:date="2018-08-03T17:24:00Z" w:initials="AM">
    <w:p w:rsidR="00D0614B" w:rsidRDefault="00D0614B">
      <w:pPr>
        <w:pStyle w:val="aa"/>
      </w:pPr>
      <w:r>
        <w:rPr>
          <w:rStyle w:val="a9"/>
        </w:rPr>
        <w:annotationRef/>
      </w:r>
      <w:r>
        <w:t>This paragraph is OK for EU.</w:t>
      </w:r>
    </w:p>
  </w:comment>
  <w:comment w:id="2" w:author="MAROTTA Alessandro (GROW)" w:date="2018-08-03T17:01:00Z" w:initials="AM">
    <w:p w:rsidR="005E0BF1" w:rsidRDefault="005E0BF1">
      <w:pPr>
        <w:pStyle w:val="aa"/>
      </w:pPr>
      <w:r>
        <w:rPr>
          <w:rStyle w:val="a9"/>
        </w:rPr>
        <w:annotationRef/>
      </w:r>
      <w:r>
        <w:t>This paragraph should be updated in the light of the paragraph above, highlighted in yellow.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78" w:rsidRDefault="009D6F78" w:rsidP="00F55225">
      <w:pPr>
        <w:spacing w:after="0"/>
      </w:pPr>
      <w:r>
        <w:separator/>
      </w:r>
    </w:p>
  </w:endnote>
  <w:endnote w:type="continuationSeparator" w:id="0">
    <w:p w:rsidR="009D6F78" w:rsidRDefault="009D6F78" w:rsidP="00F552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78" w:rsidRDefault="009D6F78" w:rsidP="00F55225">
      <w:pPr>
        <w:spacing w:after="0"/>
      </w:pPr>
      <w:r>
        <w:separator/>
      </w:r>
    </w:p>
  </w:footnote>
  <w:footnote w:type="continuationSeparator" w:id="0">
    <w:p w:rsidR="009D6F78" w:rsidRDefault="009D6F78" w:rsidP="00F552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628E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422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EC4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18C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84C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422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500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0C5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92E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903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9A732B"/>
    <w:multiLevelType w:val="multilevel"/>
    <w:tmpl w:val="A86E2398"/>
    <w:lvl w:ilvl="0">
      <w:start w:val="1"/>
      <w:numFmt w:val="decimal"/>
      <w:pStyle w:val="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90"/>
        </w:tabs>
        <w:ind w:left="890" w:hanging="89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B5"/>
    <w:rsid w:val="00027685"/>
    <w:rsid w:val="00066971"/>
    <w:rsid w:val="00066DA0"/>
    <w:rsid w:val="000701B5"/>
    <w:rsid w:val="00072A29"/>
    <w:rsid w:val="000C0D9F"/>
    <w:rsid w:val="000D0F54"/>
    <w:rsid w:val="000D6E79"/>
    <w:rsid w:val="000E3176"/>
    <w:rsid w:val="000E40B3"/>
    <w:rsid w:val="000F2CB3"/>
    <w:rsid w:val="0010366D"/>
    <w:rsid w:val="00104D71"/>
    <w:rsid w:val="0011192A"/>
    <w:rsid w:val="00112536"/>
    <w:rsid w:val="00115A80"/>
    <w:rsid w:val="00132A03"/>
    <w:rsid w:val="00182BEF"/>
    <w:rsid w:val="00182F54"/>
    <w:rsid w:val="00184D6E"/>
    <w:rsid w:val="00187B2A"/>
    <w:rsid w:val="00191D17"/>
    <w:rsid w:val="0019310E"/>
    <w:rsid w:val="001A29B8"/>
    <w:rsid w:val="001C20D0"/>
    <w:rsid w:val="00212EB2"/>
    <w:rsid w:val="00216CD2"/>
    <w:rsid w:val="00222F66"/>
    <w:rsid w:val="00231886"/>
    <w:rsid w:val="002758B5"/>
    <w:rsid w:val="002D2360"/>
    <w:rsid w:val="002D7CAA"/>
    <w:rsid w:val="002E12B3"/>
    <w:rsid w:val="002E7873"/>
    <w:rsid w:val="002E7A72"/>
    <w:rsid w:val="002F76C9"/>
    <w:rsid w:val="00323985"/>
    <w:rsid w:val="00327639"/>
    <w:rsid w:val="0034110F"/>
    <w:rsid w:val="003A3424"/>
    <w:rsid w:val="003D66A0"/>
    <w:rsid w:val="00412658"/>
    <w:rsid w:val="00412BF1"/>
    <w:rsid w:val="004222D6"/>
    <w:rsid w:val="0044260E"/>
    <w:rsid w:val="00496A07"/>
    <w:rsid w:val="004B134E"/>
    <w:rsid w:val="004C6997"/>
    <w:rsid w:val="004F0AA9"/>
    <w:rsid w:val="005140D4"/>
    <w:rsid w:val="005364E9"/>
    <w:rsid w:val="00541220"/>
    <w:rsid w:val="005725AF"/>
    <w:rsid w:val="005930C4"/>
    <w:rsid w:val="005A494C"/>
    <w:rsid w:val="005D2D16"/>
    <w:rsid w:val="005E0BF1"/>
    <w:rsid w:val="006160EB"/>
    <w:rsid w:val="0062289A"/>
    <w:rsid w:val="0065702C"/>
    <w:rsid w:val="00661EDE"/>
    <w:rsid w:val="00690F27"/>
    <w:rsid w:val="00692708"/>
    <w:rsid w:val="00694D66"/>
    <w:rsid w:val="006A70CA"/>
    <w:rsid w:val="006B04EF"/>
    <w:rsid w:val="006C6D25"/>
    <w:rsid w:val="006D243F"/>
    <w:rsid w:val="006E3DB3"/>
    <w:rsid w:val="006F389E"/>
    <w:rsid w:val="00704F8B"/>
    <w:rsid w:val="00773841"/>
    <w:rsid w:val="0077477A"/>
    <w:rsid w:val="007800BB"/>
    <w:rsid w:val="00793FD3"/>
    <w:rsid w:val="007A5167"/>
    <w:rsid w:val="007D3C70"/>
    <w:rsid w:val="008273EC"/>
    <w:rsid w:val="008422A3"/>
    <w:rsid w:val="008654A0"/>
    <w:rsid w:val="00885243"/>
    <w:rsid w:val="008867E7"/>
    <w:rsid w:val="008A5934"/>
    <w:rsid w:val="008A7221"/>
    <w:rsid w:val="008C4144"/>
    <w:rsid w:val="008D4498"/>
    <w:rsid w:val="008E0EB7"/>
    <w:rsid w:val="008E17BD"/>
    <w:rsid w:val="00905D54"/>
    <w:rsid w:val="00933BE7"/>
    <w:rsid w:val="00960FED"/>
    <w:rsid w:val="0096701F"/>
    <w:rsid w:val="00991070"/>
    <w:rsid w:val="009A7416"/>
    <w:rsid w:val="009D15DD"/>
    <w:rsid w:val="009D6F78"/>
    <w:rsid w:val="009E452B"/>
    <w:rsid w:val="009E5D3D"/>
    <w:rsid w:val="009E758A"/>
    <w:rsid w:val="009F6EF9"/>
    <w:rsid w:val="00A175DE"/>
    <w:rsid w:val="00A27163"/>
    <w:rsid w:val="00AA1E57"/>
    <w:rsid w:val="00AA7240"/>
    <w:rsid w:val="00AE39F0"/>
    <w:rsid w:val="00AF3204"/>
    <w:rsid w:val="00B02A42"/>
    <w:rsid w:val="00B37012"/>
    <w:rsid w:val="00B519B1"/>
    <w:rsid w:val="00B5781C"/>
    <w:rsid w:val="00B67092"/>
    <w:rsid w:val="00B76198"/>
    <w:rsid w:val="00BA7FCD"/>
    <w:rsid w:val="00BC57DB"/>
    <w:rsid w:val="00BC6155"/>
    <w:rsid w:val="00C03FB6"/>
    <w:rsid w:val="00C42DE2"/>
    <w:rsid w:val="00C57CC2"/>
    <w:rsid w:val="00C76DAC"/>
    <w:rsid w:val="00CA2696"/>
    <w:rsid w:val="00CB0F50"/>
    <w:rsid w:val="00CB1EEC"/>
    <w:rsid w:val="00CE39EE"/>
    <w:rsid w:val="00D0614B"/>
    <w:rsid w:val="00D3568A"/>
    <w:rsid w:val="00D75C15"/>
    <w:rsid w:val="00D82717"/>
    <w:rsid w:val="00D828ED"/>
    <w:rsid w:val="00D84A1F"/>
    <w:rsid w:val="00DB1E4E"/>
    <w:rsid w:val="00DC17D0"/>
    <w:rsid w:val="00DD1E87"/>
    <w:rsid w:val="00DD350C"/>
    <w:rsid w:val="00DD35C2"/>
    <w:rsid w:val="00DE1495"/>
    <w:rsid w:val="00DE77C4"/>
    <w:rsid w:val="00E20890"/>
    <w:rsid w:val="00E45911"/>
    <w:rsid w:val="00E70FDC"/>
    <w:rsid w:val="00E97E50"/>
    <w:rsid w:val="00EE6600"/>
    <w:rsid w:val="00EF66C7"/>
    <w:rsid w:val="00F3666B"/>
    <w:rsid w:val="00F55225"/>
    <w:rsid w:val="00F82298"/>
    <w:rsid w:val="00FA4C8F"/>
    <w:rsid w:val="00FA7A41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unhideWhenUsed="0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9F"/>
    <w:pPr>
      <w:spacing w:after="120" w:line="240" w:lineRule="auto"/>
      <w:jc w:val="both"/>
    </w:pPr>
    <w:rPr>
      <w:rFonts w:ascii="Calibri" w:hAnsi="Calibri" w:cs="Calibri"/>
      <w:sz w:val="24"/>
      <w:szCs w:val="20"/>
      <w:lang w:eastAsia="zh-CN"/>
    </w:rPr>
  </w:style>
  <w:style w:type="paragraph" w:styleId="1">
    <w:name w:val="heading 1"/>
    <w:aliases w:val="TRL Head1"/>
    <w:next w:val="a"/>
    <w:link w:val="10"/>
    <w:qFormat/>
    <w:rsid w:val="000C0D9F"/>
    <w:pPr>
      <w:keepNext/>
      <w:numPr>
        <w:numId w:val="4"/>
      </w:numPr>
      <w:spacing w:before="360" w:after="120" w:line="240" w:lineRule="auto"/>
      <w:outlineLvl w:val="0"/>
    </w:pPr>
    <w:rPr>
      <w:rFonts w:ascii="Calibri" w:eastAsiaTheme="majorEastAsia" w:hAnsi="Calibri" w:cstheme="majorBidi"/>
      <w:b/>
      <w:color w:val="000000" w:themeColor="accent1"/>
      <w:sz w:val="32"/>
      <w:szCs w:val="20"/>
      <w:lang w:eastAsia="zh-CN"/>
    </w:rPr>
  </w:style>
  <w:style w:type="paragraph" w:styleId="2">
    <w:name w:val="heading 2"/>
    <w:aliases w:val="TRL Head2"/>
    <w:next w:val="a"/>
    <w:link w:val="20"/>
    <w:qFormat/>
    <w:rsid w:val="000C0D9F"/>
    <w:pPr>
      <w:keepNext/>
      <w:numPr>
        <w:ilvl w:val="1"/>
        <w:numId w:val="4"/>
      </w:numPr>
      <w:tabs>
        <w:tab w:val="left" w:pos="1276"/>
        <w:tab w:val="left" w:pos="2694"/>
      </w:tabs>
      <w:spacing w:before="360" w:after="120" w:line="240" w:lineRule="auto"/>
      <w:outlineLvl w:val="1"/>
    </w:pPr>
    <w:rPr>
      <w:rFonts w:ascii="Calibri" w:eastAsiaTheme="majorEastAsia" w:hAnsi="Calibri" w:cstheme="majorBidi"/>
      <w:b/>
      <w:color w:val="000000" w:themeColor="accent1"/>
      <w:sz w:val="28"/>
      <w:szCs w:val="20"/>
      <w:lang w:eastAsia="zh-CN"/>
    </w:rPr>
  </w:style>
  <w:style w:type="paragraph" w:styleId="3">
    <w:name w:val="heading 3"/>
    <w:aliases w:val="TRL Head3"/>
    <w:next w:val="a"/>
    <w:link w:val="30"/>
    <w:qFormat/>
    <w:rsid w:val="000C0D9F"/>
    <w:pPr>
      <w:keepNext/>
      <w:numPr>
        <w:ilvl w:val="2"/>
        <w:numId w:val="4"/>
      </w:numPr>
      <w:tabs>
        <w:tab w:val="left" w:pos="1191"/>
      </w:tabs>
      <w:spacing w:before="360" w:after="120" w:line="240" w:lineRule="auto"/>
      <w:outlineLvl w:val="2"/>
    </w:pPr>
    <w:rPr>
      <w:rFonts w:ascii="Calibri" w:eastAsiaTheme="majorEastAsia" w:hAnsi="Calibri" w:cstheme="majorBidi"/>
      <w:b/>
      <w:i/>
      <w:color w:val="000000" w:themeColor="accent1"/>
      <w:sz w:val="24"/>
      <w:szCs w:val="20"/>
      <w:lang w:eastAsia="zh-CN"/>
    </w:rPr>
  </w:style>
  <w:style w:type="paragraph" w:styleId="4">
    <w:name w:val="heading 4"/>
    <w:aliases w:val="TRL Head4"/>
    <w:next w:val="a"/>
    <w:link w:val="40"/>
    <w:qFormat/>
    <w:rsid w:val="000C0D9F"/>
    <w:pPr>
      <w:keepNext/>
      <w:numPr>
        <w:ilvl w:val="3"/>
        <w:numId w:val="4"/>
      </w:numPr>
      <w:tabs>
        <w:tab w:val="left" w:pos="1418"/>
      </w:tabs>
      <w:spacing w:before="360" w:after="120" w:line="240" w:lineRule="auto"/>
      <w:outlineLvl w:val="3"/>
    </w:pPr>
    <w:rPr>
      <w:rFonts w:ascii="Calibri" w:eastAsiaTheme="majorEastAsia" w:hAnsi="Calibri" w:cstheme="majorBidi"/>
      <w:i/>
      <w:color w:val="000000" w:themeColor="accent1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TRL Head1 (文字)"/>
    <w:basedOn w:val="a0"/>
    <w:link w:val="1"/>
    <w:rsid w:val="000C0D9F"/>
    <w:rPr>
      <w:rFonts w:ascii="Calibri" w:eastAsiaTheme="majorEastAsia" w:hAnsi="Calibri" w:cstheme="majorBidi"/>
      <w:b/>
      <w:color w:val="000000" w:themeColor="accent1"/>
      <w:sz w:val="32"/>
      <w:szCs w:val="20"/>
      <w:lang w:eastAsia="zh-CN"/>
    </w:rPr>
  </w:style>
  <w:style w:type="character" w:customStyle="1" w:styleId="20">
    <w:name w:val="見出し 2 (文字)"/>
    <w:aliases w:val="TRL Head2 (文字)"/>
    <w:basedOn w:val="a0"/>
    <w:link w:val="2"/>
    <w:rsid w:val="000C0D9F"/>
    <w:rPr>
      <w:rFonts w:ascii="Calibri" w:eastAsiaTheme="majorEastAsia" w:hAnsi="Calibri" w:cstheme="majorBidi"/>
      <w:b/>
      <w:color w:val="000000" w:themeColor="accent1"/>
      <w:sz w:val="28"/>
      <w:szCs w:val="20"/>
      <w:lang w:eastAsia="zh-CN"/>
    </w:rPr>
  </w:style>
  <w:style w:type="character" w:customStyle="1" w:styleId="30">
    <w:name w:val="見出し 3 (文字)"/>
    <w:aliases w:val="TRL Head3 (文字)"/>
    <w:basedOn w:val="a0"/>
    <w:link w:val="3"/>
    <w:rsid w:val="000C0D9F"/>
    <w:rPr>
      <w:rFonts w:ascii="Calibri" w:eastAsiaTheme="majorEastAsia" w:hAnsi="Calibri" w:cstheme="majorBidi"/>
      <w:b/>
      <w:i/>
      <w:color w:val="000000" w:themeColor="accent1"/>
      <w:sz w:val="24"/>
      <w:szCs w:val="20"/>
      <w:lang w:eastAsia="zh-CN"/>
    </w:rPr>
  </w:style>
  <w:style w:type="character" w:customStyle="1" w:styleId="40">
    <w:name w:val="見出し 4 (文字)"/>
    <w:aliases w:val="TRL Head4 (文字)"/>
    <w:basedOn w:val="a0"/>
    <w:link w:val="4"/>
    <w:rsid w:val="000C0D9F"/>
    <w:rPr>
      <w:rFonts w:ascii="Calibri" w:eastAsiaTheme="majorEastAsia" w:hAnsi="Calibri" w:cstheme="majorBidi"/>
      <w:i/>
      <w:color w:val="000000" w:themeColor="accent1"/>
      <w:sz w:val="24"/>
      <w:szCs w:val="20"/>
      <w:lang w:eastAsia="zh-CN"/>
    </w:rPr>
  </w:style>
  <w:style w:type="paragraph" w:customStyle="1" w:styleId="TRLBodyText">
    <w:name w:val="TRL Body Text"/>
    <w:qFormat/>
    <w:rsid w:val="000C0D9F"/>
    <w:pPr>
      <w:spacing w:after="120" w:line="280" w:lineRule="atLeast"/>
      <w:jc w:val="both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F55225"/>
    <w:pPr>
      <w:tabs>
        <w:tab w:val="center" w:pos="4513"/>
        <w:tab w:val="right" w:pos="9026"/>
      </w:tabs>
      <w:spacing w:after="0"/>
    </w:pPr>
  </w:style>
  <w:style w:type="character" w:customStyle="1" w:styleId="a4">
    <w:name w:val="ヘッダー (文字)"/>
    <w:basedOn w:val="a0"/>
    <w:link w:val="a3"/>
    <w:uiPriority w:val="99"/>
    <w:semiHidden/>
    <w:rsid w:val="00F55225"/>
    <w:rPr>
      <w:rFonts w:ascii="Verdana" w:hAnsi="Verdana" w:cs="Calibri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F55225"/>
    <w:pPr>
      <w:tabs>
        <w:tab w:val="center" w:pos="4513"/>
        <w:tab w:val="right" w:pos="9026"/>
      </w:tabs>
      <w:spacing w:after="0"/>
    </w:pPr>
  </w:style>
  <w:style w:type="character" w:customStyle="1" w:styleId="a6">
    <w:name w:val="フッター (文字)"/>
    <w:basedOn w:val="a0"/>
    <w:link w:val="a5"/>
    <w:uiPriority w:val="99"/>
    <w:semiHidden/>
    <w:rsid w:val="00F55225"/>
    <w:rPr>
      <w:rFonts w:ascii="Verdana" w:hAnsi="Verdana" w:cs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E660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E6600"/>
    <w:rPr>
      <w:rFonts w:ascii="Tahoma" w:hAnsi="Tahoma" w:cs="Tahoma"/>
      <w:sz w:val="16"/>
      <w:szCs w:val="16"/>
      <w:lang w:eastAsia="zh-CN"/>
    </w:rPr>
  </w:style>
  <w:style w:type="character" w:styleId="a9">
    <w:name w:val="annotation reference"/>
    <w:basedOn w:val="a0"/>
    <w:uiPriority w:val="99"/>
    <w:semiHidden/>
    <w:unhideWhenUsed/>
    <w:rsid w:val="005E0B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0BF1"/>
    <w:rPr>
      <w:sz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5E0BF1"/>
    <w:rPr>
      <w:rFonts w:ascii="Calibri" w:hAnsi="Calibri" w:cs="Calibri"/>
      <w:sz w:val="20"/>
      <w:szCs w:val="20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0BF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E0BF1"/>
    <w:rPr>
      <w:rFonts w:ascii="Calibri" w:hAnsi="Calibri" w:cs="Calibri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unhideWhenUsed="0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9F"/>
    <w:pPr>
      <w:spacing w:after="120" w:line="240" w:lineRule="auto"/>
      <w:jc w:val="both"/>
    </w:pPr>
    <w:rPr>
      <w:rFonts w:ascii="Calibri" w:hAnsi="Calibri" w:cs="Calibri"/>
      <w:sz w:val="24"/>
      <w:szCs w:val="20"/>
      <w:lang w:eastAsia="zh-CN"/>
    </w:rPr>
  </w:style>
  <w:style w:type="paragraph" w:styleId="1">
    <w:name w:val="heading 1"/>
    <w:aliases w:val="TRL Head1"/>
    <w:next w:val="a"/>
    <w:link w:val="10"/>
    <w:qFormat/>
    <w:rsid w:val="000C0D9F"/>
    <w:pPr>
      <w:keepNext/>
      <w:numPr>
        <w:numId w:val="4"/>
      </w:numPr>
      <w:spacing w:before="360" w:after="120" w:line="240" w:lineRule="auto"/>
      <w:outlineLvl w:val="0"/>
    </w:pPr>
    <w:rPr>
      <w:rFonts w:ascii="Calibri" w:eastAsiaTheme="majorEastAsia" w:hAnsi="Calibri" w:cstheme="majorBidi"/>
      <w:b/>
      <w:color w:val="000000" w:themeColor="accent1"/>
      <w:sz w:val="32"/>
      <w:szCs w:val="20"/>
      <w:lang w:eastAsia="zh-CN"/>
    </w:rPr>
  </w:style>
  <w:style w:type="paragraph" w:styleId="2">
    <w:name w:val="heading 2"/>
    <w:aliases w:val="TRL Head2"/>
    <w:next w:val="a"/>
    <w:link w:val="20"/>
    <w:qFormat/>
    <w:rsid w:val="000C0D9F"/>
    <w:pPr>
      <w:keepNext/>
      <w:numPr>
        <w:ilvl w:val="1"/>
        <w:numId w:val="4"/>
      </w:numPr>
      <w:tabs>
        <w:tab w:val="left" w:pos="1276"/>
        <w:tab w:val="left" w:pos="2694"/>
      </w:tabs>
      <w:spacing w:before="360" w:after="120" w:line="240" w:lineRule="auto"/>
      <w:outlineLvl w:val="1"/>
    </w:pPr>
    <w:rPr>
      <w:rFonts w:ascii="Calibri" w:eastAsiaTheme="majorEastAsia" w:hAnsi="Calibri" w:cstheme="majorBidi"/>
      <w:b/>
      <w:color w:val="000000" w:themeColor="accent1"/>
      <w:sz w:val="28"/>
      <w:szCs w:val="20"/>
      <w:lang w:eastAsia="zh-CN"/>
    </w:rPr>
  </w:style>
  <w:style w:type="paragraph" w:styleId="3">
    <w:name w:val="heading 3"/>
    <w:aliases w:val="TRL Head3"/>
    <w:next w:val="a"/>
    <w:link w:val="30"/>
    <w:qFormat/>
    <w:rsid w:val="000C0D9F"/>
    <w:pPr>
      <w:keepNext/>
      <w:numPr>
        <w:ilvl w:val="2"/>
        <w:numId w:val="4"/>
      </w:numPr>
      <w:tabs>
        <w:tab w:val="left" w:pos="1191"/>
      </w:tabs>
      <w:spacing w:before="360" w:after="120" w:line="240" w:lineRule="auto"/>
      <w:outlineLvl w:val="2"/>
    </w:pPr>
    <w:rPr>
      <w:rFonts w:ascii="Calibri" w:eastAsiaTheme="majorEastAsia" w:hAnsi="Calibri" w:cstheme="majorBidi"/>
      <w:b/>
      <w:i/>
      <w:color w:val="000000" w:themeColor="accent1"/>
      <w:sz w:val="24"/>
      <w:szCs w:val="20"/>
      <w:lang w:eastAsia="zh-CN"/>
    </w:rPr>
  </w:style>
  <w:style w:type="paragraph" w:styleId="4">
    <w:name w:val="heading 4"/>
    <w:aliases w:val="TRL Head4"/>
    <w:next w:val="a"/>
    <w:link w:val="40"/>
    <w:qFormat/>
    <w:rsid w:val="000C0D9F"/>
    <w:pPr>
      <w:keepNext/>
      <w:numPr>
        <w:ilvl w:val="3"/>
        <w:numId w:val="4"/>
      </w:numPr>
      <w:tabs>
        <w:tab w:val="left" w:pos="1418"/>
      </w:tabs>
      <w:spacing w:before="360" w:after="120" w:line="240" w:lineRule="auto"/>
      <w:outlineLvl w:val="3"/>
    </w:pPr>
    <w:rPr>
      <w:rFonts w:ascii="Calibri" w:eastAsiaTheme="majorEastAsia" w:hAnsi="Calibri" w:cstheme="majorBidi"/>
      <w:i/>
      <w:color w:val="000000" w:themeColor="accent1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TRL Head1 (文字)"/>
    <w:basedOn w:val="a0"/>
    <w:link w:val="1"/>
    <w:rsid w:val="000C0D9F"/>
    <w:rPr>
      <w:rFonts w:ascii="Calibri" w:eastAsiaTheme="majorEastAsia" w:hAnsi="Calibri" w:cstheme="majorBidi"/>
      <w:b/>
      <w:color w:val="000000" w:themeColor="accent1"/>
      <w:sz w:val="32"/>
      <w:szCs w:val="20"/>
      <w:lang w:eastAsia="zh-CN"/>
    </w:rPr>
  </w:style>
  <w:style w:type="character" w:customStyle="1" w:styleId="20">
    <w:name w:val="見出し 2 (文字)"/>
    <w:aliases w:val="TRL Head2 (文字)"/>
    <w:basedOn w:val="a0"/>
    <w:link w:val="2"/>
    <w:rsid w:val="000C0D9F"/>
    <w:rPr>
      <w:rFonts w:ascii="Calibri" w:eastAsiaTheme="majorEastAsia" w:hAnsi="Calibri" w:cstheme="majorBidi"/>
      <w:b/>
      <w:color w:val="000000" w:themeColor="accent1"/>
      <w:sz w:val="28"/>
      <w:szCs w:val="20"/>
      <w:lang w:eastAsia="zh-CN"/>
    </w:rPr>
  </w:style>
  <w:style w:type="character" w:customStyle="1" w:styleId="30">
    <w:name w:val="見出し 3 (文字)"/>
    <w:aliases w:val="TRL Head3 (文字)"/>
    <w:basedOn w:val="a0"/>
    <w:link w:val="3"/>
    <w:rsid w:val="000C0D9F"/>
    <w:rPr>
      <w:rFonts w:ascii="Calibri" w:eastAsiaTheme="majorEastAsia" w:hAnsi="Calibri" w:cstheme="majorBidi"/>
      <w:b/>
      <w:i/>
      <w:color w:val="000000" w:themeColor="accent1"/>
      <w:sz w:val="24"/>
      <w:szCs w:val="20"/>
      <w:lang w:eastAsia="zh-CN"/>
    </w:rPr>
  </w:style>
  <w:style w:type="character" w:customStyle="1" w:styleId="40">
    <w:name w:val="見出し 4 (文字)"/>
    <w:aliases w:val="TRL Head4 (文字)"/>
    <w:basedOn w:val="a0"/>
    <w:link w:val="4"/>
    <w:rsid w:val="000C0D9F"/>
    <w:rPr>
      <w:rFonts w:ascii="Calibri" w:eastAsiaTheme="majorEastAsia" w:hAnsi="Calibri" w:cstheme="majorBidi"/>
      <w:i/>
      <w:color w:val="000000" w:themeColor="accent1"/>
      <w:sz w:val="24"/>
      <w:szCs w:val="20"/>
      <w:lang w:eastAsia="zh-CN"/>
    </w:rPr>
  </w:style>
  <w:style w:type="paragraph" w:customStyle="1" w:styleId="TRLBodyText">
    <w:name w:val="TRL Body Text"/>
    <w:qFormat/>
    <w:rsid w:val="000C0D9F"/>
    <w:pPr>
      <w:spacing w:after="120" w:line="280" w:lineRule="atLeast"/>
      <w:jc w:val="both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F55225"/>
    <w:pPr>
      <w:tabs>
        <w:tab w:val="center" w:pos="4513"/>
        <w:tab w:val="right" w:pos="9026"/>
      </w:tabs>
      <w:spacing w:after="0"/>
    </w:pPr>
  </w:style>
  <w:style w:type="character" w:customStyle="1" w:styleId="a4">
    <w:name w:val="ヘッダー (文字)"/>
    <w:basedOn w:val="a0"/>
    <w:link w:val="a3"/>
    <w:uiPriority w:val="99"/>
    <w:semiHidden/>
    <w:rsid w:val="00F55225"/>
    <w:rPr>
      <w:rFonts w:ascii="Verdana" w:hAnsi="Verdana" w:cs="Calibri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F55225"/>
    <w:pPr>
      <w:tabs>
        <w:tab w:val="center" w:pos="4513"/>
        <w:tab w:val="right" w:pos="9026"/>
      </w:tabs>
      <w:spacing w:after="0"/>
    </w:pPr>
  </w:style>
  <w:style w:type="character" w:customStyle="1" w:styleId="a6">
    <w:name w:val="フッター (文字)"/>
    <w:basedOn w:val="a0"/>
    <w:link w:val="a5"/>
    <w:uiPriority w:val="99"/>
    <w:semiHidden/>
    <w:rsid w:val="00F55225"/>
    <w:rPr>
      <w:rFonts w:ascii="Verdana" w:hAnsi="Verdana" w:cs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E660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E6600"/>
    <w:rPr>
      <w:rFonts w:ascii="Tahoma" w:hAnsi="Tahoma" w:cs="Tahoma"/>
      <w:sz w:val="16"/>
      <w:szCs w:val="16"/>
      <w:lang w:eastAsia="zh-CN"/>
    </w:rPr>
  </w:style>
  <w:style w:type="character" w:styleId="a9">
    <w:name w:val="annotation reference"/>
    <w:basedOn w:val="a0"/>
    <w:uiPriority w:val="99"/>
    <w:semiHidden/>
    <w:unhideWhenUsed/>
    <w:rsid w:val="005E0B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0BF1"/>
    <w:rPr>
      <w:sz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5E0BF1"/>
    <w:rPr>
      <w:rFonts w:ascii="Calibri" w:hAnsi="Calibri" w:cs="Calibri"/>
      <w:sz w:val="20"/>
      <w:szCs w:val="20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0BF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E0BF1"/>
    <w:rPr>
      <w:rFonts w:ascii="Calibri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TRL Monochrom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808080"/>
      </a:accent2>
      <a:accent3>
        <a:srgbClr val="969696"/>
      </a:accent3>
      <a:accent4>
        <a:srgbClr val="B2B2B2"/>
      </a:accent4>
      <a:accent5>
        <a:srgbClr val="C8C8C8"/>
      </a:accent5>
      <a:accent6>
        <a:srgbClr val="E1E1E1"/>
      </a:accent6>
      <a:hlink>
        <a:srgbClr val="5F5F5F"/>
      </a:hlink>
      <a:folHlink>
        <a:srgbClr val="919191"/>
      </a:folHlink>
    </a:clrScheme>
    <a:fontScheme name="TRL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DEB1-B480-441A-8A43-B6B34A73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4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TRL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Gardner 250718</dc:creator>
  <cp:lastModifiedBy>mobile</cp:lastModifiedBy>
  <cp:revision>2</cp:revision>
  <dcterms:created xsi:type="dcterms:W3CDTF">2018-09-12T11:21:00Z</dcterms:created>
  <dcterms:modified xsi:type="dcterms:W3CDTF">2018-09-12T11:21:00Z</dcterms:modified>
</cp:coreProperties>
</file>