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44" w:rsidRPr="00436544" w:rsidRDefault="00436544" w:rsidP="00436544">
      <w:pPr>
        <w:jc w:val="right"/>
        <w:rPr>
          <w:b/>
          <w:sz w:val="40"/>
          <w:szCs w:val="40"/>
          <w:lang w:val="en-GB"/>
        </w:rPr>
      </w:pPr>
      <w:r w:rsidRPr="00436544">
        <w:rPr>
          <w:b/>
          <w:sz w:val="40"/>
          <w:szCs w:val="40"/>
          <w:lang w:val="en-GB"/>
        </w:rPr>
        <w:t>SLR-27-03</w:t>
      </w:r>
    </w:p>
    <w:p w:rsidR="00436544" w:rsidRDefault="00436544">
      <w:pPr>
        <w:rPr>
          <w:sz w:val="40"/>
          <w:szCs w:val="40"/>
          <w:lang w:val="en-GB"/>
        </w:rPr>
      </w:pPr>
      <w:bookmarkStart w:id="0" w:name="_GoBack"/>
      <w:bookmarkEnd w:id="0"/>
    </w:p>
    <w:p w:rsidR="00BC2C45" w:rsidRPr="00405021" w:rsidRDefault="00BC2C45">
      <w:pPr>
        <w:rPr>
          <w:sz w:val="40"/>
          <w:szCs w:val="40"/>
          <w:lang w:val="en-GB"/>
        </w:rPr>
      </w:pPr>
      <w:r w:rsidRPr="00405021">
        <w:rPr>
          <w:sz w:val="40"/>
          <w:szCs w:val="40"/>
          <w:lang w:val="en-GB"/>
        </w:rPr>
        <w:t>R.I.D. regulation, comments and proposal concerning the lamp aiming and cut-off requirements</w:t>
      </w:r>
    </w:p>
    <w:p w:rsidR="00BC2C45" w:rsidRPr="00405021" w:rsidRDefault="00BC2C45">
      <w:pPr>
        <w:rPr>
          <w:b/>
          <w:i/>
          <w:sz w:val="32"/>
          <w:szCs w:val="32"/>
          <w:lang w:val="en-GB"/>
        </w:rPr>
      </w:pPr>
      <w:r w:rsidRPr="00405021">
        <w:rPr>
          <w:b/>
          <w:i/>
          <w:sz w:val="32"/>
          <w:szCs w:val="32"/>
          <w:lang w:val="en-GB"/>
        </w:rPr>
        <w:t>Lamp aiming:</w:t>
      </w:r>
    </w:p>
    <w:p w:rsidR="00BC2C45" w:rsidRPr="00405021" w:rsidRDefault="00BC2C45">
      <w:pPr>
        <w:rPr>
          <w:sz w:val="24"/>
          <w:szCs w:val="24"/>
          <w:lang w:val="en-GB"/>
        </w:rPr>
      </w:pPr>
      <w:r w:rsidRPr="00405021">
        <w:rPr>
          <w:sz w:val="24"/>
          <w:szCs w:val="24"/>
          <w:lang w:val="en-GB"/>
        </w:rPr>
        <w:t>In R.I.D. regulation the lamp aiming definitions, requirements and tolerances are</w:t>
      </w:r>
      <w:r w:rsidR="009F73D9" w:rsidRPr="00405021">
        <w:rPr>
          <w:sz w:val="24"/>
          <w:szCs w:val="24"/>
          <w:lang w:val="en-GB"/>
        </w:rPr>
        <w:t xml:space="preserve"> scattered throughout the document. Because of this, we notice inconsistencies and the eventual modifications or updates of a chapter can still create more problems.</w:t>
      </w:r>
    </w:p>
    <w:p w:rsidR="009F73D9" w:rsidRPr="00405021" w:rsidRDefault="00522277">
      <w:pPr>
        <w:rPr>
          <w:rFonts w:ascii="Times New Roman" w:hAnsi="Times New Roman" w:cs="Times New Roman"/>
          <w:lang w:val="en-GB"/>
        </w:rPr>
      </w:pPr>
      <w:r w:rsidRPr="00405021">
        <w:rPr>
          <w:rFonts w:ascii="Times New Roman" w:hAnsi="Times New Roman" w:cs="Times New Roman"/>
          <w:lang w:val="en-GB"/>
        </w:rPr>
        <w:t>Examples</w:t>
      </w:r>
      <w:r w:rsidR="009F73D9" w:rsidRPr="00405021">
        <w:rPr>
          <w:rFonts w:ascii="Times New Roman" w:hAnsi="Times New Roman" w:cs="Times New Roman"/>
          <w:lang w:val="en-GB"/>
        </w:rPr>
        <w:t>:</w:t>
      </w:r>
    </w:p>
    <w:p w:rsidR="00522277" w:rsidRPr="00405021" w:rsidRDefault="00522277">
      <w:pPr>
        <w:rPr>
          <w:rFonts w:ascii="Times New Roman" w:hAnsi="Times New Roman" w:cs="Times New Roman"/>
          <w:lang w:val="en-GB" w:eastAsia="fr-FR"/>
        </w:rPr>
      </w:pPr>
      <w:r w:rsidRPr="00405021">
        <w:rPr>
          <w:rFonts w:ascii="Times New Roman" w:hAnsi="Times New Roman" w:cs="Times New Roman"/>
          <w:lang w:val="en-GB" w:eastAsia="fr-FR"/>
        </w:rPr>
        <w:t>5.</w:t>
      </w:r>
      <w:r w:rsidRPr="00405021">
        <w:rPr>
          <w:rFonts w:ascii="Times New Roman" w:hAnsi="Times New Roman" w:cs="Times New Roman"/>
          <w:lang w:val="en-GB" w:eastAsia="fr-FR"/>
        </w:rPr>
        <w:tab/>
      </w:r>
      <w:r w:rsidRPr="00405021">
        <w:rPr>
          <w:rFonts w:ascii="Times New Roman" w:hAnsi="Times New Roman" w:cs="Times New Roman"/>
          <w:lang w:val="en-GB" w:eastAsia="fr-FR"/>
        </w:rPr>
        <w:tab/>
        <w:t>Specific Technical Requirements</w:t>
      </w:r>
    </w:p>
    <w:p w:rsidR="000D649F" w:rsidRPr="00405021" w:rsidRDefault="000D649F" w:rsidP="000D649F">
      <w:pPr>
        <w:pStyle w:val="SingleTxtG"/>
        <w:ind w:left="2268" w:hanging="1134"/>
      </w:pPr>
      <w:r w:rsidRPr="00405021">
        <w:t>5.1.1.</w:t>
      </w:r>
      <w:r w:rsidRPr="00405021">
        <w:tab/>
      </w:r>
      <w:r w:rsidRPr="00405021">
        <w:tab/>
        <w:t>...</w:t>
      </w:r>
    </w:p>
    <w:p w:rsidR="000D649F" w:rsidRPr="00405021" w:rsidRDefault="000D649F" w:rsidP="000D649F">
      <w:pPr>
        <w:pStyle w:val="Paragrafoelenco"/>
        <w:numPr>
          <w:ilvl w:val="0"/>
          <w:numId w:val="2"/>
        </w:numPr>
        <w:rPr>
          <w:rFonts w:ascii="Times New Roman" w:hAnsi="Times New Roman" w:cs="Times New Roman"/>
          <w:lang w:val="en-GB"/>
        </w:rPr>
      </w:pPr>
      <w:r w:rsidRPr="00405021">
        <w:rPr>
          <w:rFonts w:ascii="Times New Roman" w:hAnsi="Times New Roman" w:cs="Times New Roman"/>
          <w:lang w:val="en-GB"/>
        </w:rPr>
        <w:t xml:space="preserve">In the case of a road illumination device providing a driving-beam only, it </w:t>
      </w:r>
      <w:r w:rsidRPr="00405021">
        <w:rPr>
          <w:rFonts w:ascii="Times New Roman" w:hAnsi="Times New Roman" w:cs="Times New Roman"/>
          <w:highlight w:val="yellow"/>
          <w:lang w:val="en-GB"/>
        </w:rPr>
        <w:t>shall be so adjusted that</w:t>
      </w:r>
      <w:r w:rsidRPr="00405021">
        <w:rPr>
          <w:rFonts w:ascii="Times New Roman" w:hAnsi="Times New Roman" w:cs="Times New Roman"/>
          <w:lang w:val="en-GB"/>
        </w:rPr>
        <w:t xml:space="preserve"> the area of maximum luminous intensity is centred on the point of intersection of lines H-H and V-V; such a device needs to meet only the requirements referred to in paragraph 5.1.3</w:t>
      </w:r>
    </w:p>
    <w:p w:rsidR="009F73D9" w:rsidRPr="00405021" w:rsidRDefault="009F73D9" w:rsidP="000D649F">
      <w:pPr>
        <w:tabs>
          <w:tab w:val="left" w:pos="9214"/>
        </w:tabs>
        <w:spacing w:after="120"/>
        <w:ind w:left="2268" w:right="143" w:hanging="1134"/>
        <w:jc w:val="both"/>
        <w:rPr>
          <w:rFonts w:ascii="Times New Roman" w:hAnsi="Times New Roman" w:cs="Times New Roman"/>
          <w:lang w:val="en-GB"/>
        </w:rPr>
      </w:pPr>
      <w:r w:rsidRPr="00405021">
        <w:rPr>
          <w:rFonts w:ascii="Times New Roman" w:hAnsi="Times New Roman" w:cs="Times New Roman"/>
          <w:lang w:val="en-GB"/>
        </w:rPr>
        <w:t>5.3.3.5.</w:t>
      </w:r>
      <w:r w:rsidRPr="00405021">
        <w:rPr>
          <w:rFonts w:ascii="Times New Roman" w:hAnsi="Times New Roman" w:cs="Times New Roman"/>
          <w:lang w:val="en-GB"/>
        </w:rPr>
        <w:tab/>
        <w:t xml:space="preserve">If the specified beam requirements are not met, </w:t>
      </w:r>
      <w:r w:rsidRPr="00405021">
        <w:rPr>
          <w:rFonts w:ascii="Times New Roman" w:hAnsi="Times New Roman" w:cs="Times New Roman"/>
          <w:highlight w:val="yellow"/>
          <w:lang w:val="en-GB"/>
        </w:rPr>
        <w:t>a re-aiming of the beam position within 0.5 degree up or down and/or 1 degree to the right or left,</w:t>
      </w:r>
      <w:r w:rsidRPr="00405021">
        <w:rPr>
          <w:rFonts w:ascii="Times New Roman" w:hAnsi="Times New Roman" w:cs="Times New Roman"/>
          <w:lang w:val="en-GB"/>
        </w:rPr>
        <w:t xml:space="preserve"> with respect to its initial aiming is allowed; in the revised position all photometric requirements shall be met. These provisions do not apply to lighting units as indicated under paragraph 5.3.3.1.1..</w:t>
      </w:r>
    </w:p>
    <w:p w:rsidR="009F73D9" w:rsidRPr="00405021" w:rsidRDefault="009F73D9" w:rsidP="009F73D9">
      <w:pPr>
        <w:pStyle w:val="SingleTxtG"/>
        <w:rPr>
          <w:rFonts w:eastAsia="HGSGothicM"/>
          <w:sz w:val="22"/>
          <w:szCs w:val="22"/>
        </w:rPr>
      </w:pPr>
      <w:r w:rsidRPr="00405021">
        <w:rPr>
          <w:sz w:val="22"/>
          <w:szCs w:val="22"/>
        </w:rPr>
        <w:t>5.4.1.</w:t>
      </w:r>
      <w:r w:rsidRPr="00405021">
        <w:rPr>
          <w:sz w:val="22"/>
          <w:szCs w:val="22"/>
        </w:rPr>
        <w:tab/>
      </w:r>
      <w:r w:rsidRPr="00405021">
        <w:rPr>
          <w:rFonts w:eastAsia="HGSGothicM"/>
          <w:sz w:val="22"/>
          <w:szCs w:val="22"/>
        </w:rPr>
        <w:tab/>
      </w:r>
      <w:r w:rsidRPr="00405021">
        <w:rPr>
          <w:sz w:val="22"/>
          <w:szCs w:val="22"/>
          <w:highlight w:val="yellow"/>
        </w:rPr>
        <w:t>Aiming procedure</w:t>
      </w:r>
    </w:p>
    <w:p w:rsidR="009F73D9" w:rsidRPr="00405021" w:rsidRDefault="009F73D9" w:rsidP="000D649F">
      <w:pPr>
        <w:pStyle w:val="para"/>
        <w:ind w:right="143"/>
        <w:rPr>
          <w:sz w:val="22"/>
          <w:szCs w:val="22"/>
          <w:lang w:val="en-GB"/>
        </w:rPr>
      </w:pPr>
      <w:r w:rsidRPr="00405021">
        <w:rPr>
          <w:sz w:val="22"/>
          <w:szCs w:val="22"/>
          <w:lang w:val="en-GB"/>
        </w:rPr>
        <w:t>5.4.3.</w:t>
      </w:r>
      <w:r w:rsidRPr="00405021">
        <w:rPr>
          <w:sz w:val="22"/>
          <w:szCs w:val="22"/>
          <w:lang w:val="en-GB"/>
        </w:rPr>
        <w:tab/>
        <w:t xml:space="preserve">Where a headlamp so aimed does not meet the requirements set out in paragraphs 5.4.4. and 5.1., its alignment may be changed, except for headlamps that have no mechanism to adjust horizontal aim, on condition that the axis of the beam </w:t>
      </w:r>
      <w:r w:rsidRPr="00405021">
        <w:rPr>
          <w:sz w:val="22"/>
          <w:szCs w:val="22"/>
          <w:highlight w:val="yellow"/>
          <w:lang w:val="en-GB"/>
        </w:rPr>
        <w:t>is not displaced laterally by more than 0.5 degree to the right or left and vertically by not more than 0.25 degree up or down.</w:t>
      </w:r>
      <w:r w:rsidRPr="00405021">
        <w:rPr>
          <w:sz w:val="22"/>
          <w:szCs w:val="22"/>
          <w:lang w:val="en-GB"/>
        </w:rPr>
        <w:t xml:space="preserve"> To facilitate alignment by means of the "cut-off", the headlamp may be partially occulted in order to sharpen the "cut-off". However, the "cut-off" should not extend beyond the line H-H. </w:t>
      </w:r>
    </w:p>
    <w:p w:rsidR="009F73D9" w:rsidRPr="00405021" w:rsidRDefault="009F73D9" w:rsidP="000D649F">
      <w:pPr>
        <w:pStyle w:val="SingleTxtG"/>
        <w:ind w:left="2268" w:right="143" w:hanging="1134"/>
        <w:rPr>
          <w:bCs/>
          <w:sz w:val="22"/>
          <w:szCs w:val="22"/>
        </w:rPr>
      </w:pPr>
      <w:r w:rsidRPr="00405021">
        <w:rPr>
          <w:bCs/>
          <w:sz w:val="22"/>
          <w:szCs w:val="22"/>
        </w:rPr>
        <w:t>5.5.2.5.</w:t>
      </w:r>
      <w:r w:rsidRPr="00405021">
        <w:rPr>
          <w:bCs/>
          <w:sz w:val="22"/>
          <w:szCs w:val="22"/>
        </w:rPr>
        <w:tab/>
        <w:t xml:space="preserve">If the specified luminous intensity requirements are not met, </w:t>
      </w:r>
      <w:r w:rsidRPr="00405021">
        <w:rPr>
          <w:bCs/>
          <w:sz w:val="22"/>
          <w:szCs w:val="22"/>
          <w:highlight w:val="yellow"/>
        </w:rPr>
        <w:t>a re-aim of the cut-off position within</w:t>
      </w:r>
      <w:r w:rsidRPr="00405021">
        <w:rPr>
          <w:b/>
          <w:sz w:val="22"/>
          <w:szCs w:val="22"/>
          <w:highlight w:val="yellow"/>
        </w:rPr>
        <w:t xml:space="preserve"> </w:t>
      </w:r>
      <w:r w:rsidRPr="00405021">
        <w:rPr>
          <w:sz w:val="22"/>
          <w:szCs w:val="22"/>
          <w:highlight w:val="yellow"/>
        </w:rPr>
        <w:t>±0.5</w:t>
      </w:r>
      <w:r w:rsidRPr="00405021">
        <w:rPr>
          <w:bCs/>
          <w:sz w:val="22"/>
          <w:szCs w:val="22"/>
          <w:highlight w:val="yellow"/>
        </w:rPr>
        <w:t>° vertical and/or ±</w:t>
      </w:r>
      <w:r w:rsidRPr="00405021">
        <w:rPr>
          <w:sz w:val="22"/>
          <w:szCs w:val="22"/>
          <w:highlight w:val="yellow"/>
        </w:rPr>
        <w:t>2</w:t>
      </w:r>
      <w:r w:rsidRPr="00405021">
        <w:rPr>
          <w:bCs/>
          <w:sz w:val="22"/>
          <w:szCs w:val="22"/>
          <w:highlight w:val="yellow"/>
        </w:rPr>
        <w:t>° horizontal</w:t>
      </w:r>
      <w:r w:rsidRPr="00405021">
        <w:rPr>
          <w:bCs/>
          <w:sz w:val="22"/>
          <w:szCs w:val="22"/>
        </w:rPr>
        <w:t xml:space="preserve"> is allowed. In the re-aimed position all photometric requirements shall be met.</w:t>
      </w:r>
    </w:p>
    <w:p w:rsidR="009F73D9" w:rsidRPr="00405021" w:rsidRDefault="009F73D9" w:rsidP="00522277">
      <w:pPr>
        <w:pStyle w:val="SingleTxtG"/>
        <w:ind w:left="0"/>
        <w:rPr>
          <w:bCs/>
          <w:sz w:val="22"/>
          <w:szCs w:val="22"/>
        </w:rPr>
      </w:pPr>
    </w:p>
    <w:p w:rsidR="00522277" w:rsidRPr="00522277" w:rsidRDefault="00522277" w:rsidP="00522277">
      <w:pPr>
        <w:shd w:val="clear" w:color="auto" w:fill="FFFFFF"/>
        <w:spacing w:after="0" w:line="240" w:lineRule="auto"/>
        <w:rPr>
          <w:rFonts w:ascii="Times New Roman" w:eastAsia="Times New Roman" w:hAnsi="Times New Roman" w:cs="Times New Roman"/>
          <w:color w:val="222222"/>
          <w:lang w:val="en-GB" w:eastAsia="fr-BE"/>
        </w:rPr>
      </w:pPr>
      <w:r w:rsidRPr="00522277">
        <w:rPr>
          <w:rFonts w:ascii="Times New Roman" w:eastAsia="Times New Roman" w:hAnsi="Times New Roman" w:cs="Times New Roman"/>
          <w:b/>
          <w:bCs/>
          <w:color w:val="222222"/>
          <w:lang w:val="en-GB" w:eastAsia="fr-BE"/>
        </w:rPr>
        <w:t> Annexe 2</w:t>
      </w:r>
      <w:r w:rsidRPr="00522277">
        <w:rPr>
          <w:rFonts w:ascii="Times New Roman" w:eastAsia="Times New Roman" w:hAnsi="Times New Roman" w:cs="Times New Roman"/>
          <w:color w:val="222222"/>
          <w:lang w:val="en-GB" w:eastAsia="fr-BE"/>
        </w:rPr>
        <w:t> </w:t>
      </w:r>
    </w:p>
    <w:p w:rsidR="00522277" w:rsidRPr="00522277" w:rsidRDefault="00522277" w:rsidP="000D649F">
      <w:pPr>
        <w:shd w:val="clear" w:color="auto" w:fill="FFFFFF"/>
        <w:spacing w:after="120" w:line="240" w:lineRule="atLeast"/>
        <w:ind w:left="2268" w:right="143"/>
        <w:jc w:val="both"/>
        <w:rPr>
          <w:rFonts w:ascii="Times New Roman" w:eastAsia="Times New Roman" w:hAnsi="Times New Roman" w:cs="Times New Roman"/>
          <w:color w:val="222222"/>
          <w:lang w:val="en-GB" w:eastAsia="fr-BE"/>
        </w:rPr>
      </w:pPr>
      <w:r w:rsidRPr="00522277">
        <w:rPr>
          <w:rFonts w:ascii="Times New Roman" w:eastAsia="Times New Roman" w:hAnsi="Times New Roman" w:cs="Times New Roman"/>
          <w:color w:val="222222"/>
          <w:lang w:val="en-GB" w:eastAsia="fr-BE"/>
        </w:rPr>
        <w:t xml:space="preserve">1.2.3.              For AFS corresponding to paragraph 5.3. of this UN Regulation, if the results of the test described above do not meet the requirements, the alignment of the system may be changed in each class, provided that the axis of the beam is </w:t>
      </w:r>
      <w:r w:rsidRPr="00522277">
        <w:rPr>
          <w:rFonts w:ascii="Times New Roman" w:eastAsia="Times New Roman" w:hAnsi="Times New Roman" w:cs="Times New Roman"/>
          <w:b/>
          <w:color w:val="222222"/>
          <w:highlight w:val="yellow"/>
          <w:lang w:val="en-GB" w:eastAsia="fr-BE"/>
        </w:rPr>
        <w:t>not displaced laterally by more than 0.5 degree to the right or left and not by more than 0.2 degree up and down</w:t>
      </w:r>
      <w:r w:rsidRPr="00522277">
        <w:rPr>
          <w:rFonts w:ascii="Times New Roman" w:eastAsia="Times New Roman" w:hAnsi="Times New Roman" w:cs="Times New Roman"/>
          <w:color w:val="222222"/>
          <w:lang w:val="en-GB" w:eastAsia="fr-BE"/>
        </w:rPr>
        <w:t>, each independently and with respect to the first aiming.</w:t>
      </w:r>
    </w:p>
    <w:p w:rsidR="00522277" w:rsidRPr="00522277" w:rsidRDefault="00522277" w:rsidP="00522277">
      <w:pPr>
        <w:shd w:val="clear" w:color="auto" w:fill="FFFFFF"/>
        <w:spacing w:after="120" w:line="240" w:lineRule="atLeast"/>
        <w:ind w:right="1134"/>
        <w:jc w:val="both"/>
        <w:rPr>
          <w:rFonts w:ascii="Times New Roman" w:eastAsia="Times New Roman" w:hAnsi="Times New Roman" w:cs="Times New Roman"/>
          <w:color w:val="222222"/>
          <w:lang w:val="en-GB" w:eastAsia="fr-BE"/>
        </w:rPr>
      </w:pPr>
      <w:r w:rsidRPr="00405021">
        <w:rPr>
          <w:rFonts w:ascii="Times New Roman" w:eastAsia="Times New Roman" w:hAnsi="Times New Roman" w:cs="Times New Roman"/>
          <w:color w:val="222222"/>
          <w:lang w:val="en-GB" w:eastAsia="fr-BE"/>
        </w:rPr>
        <w:t>AND</w:t>
      </w:r>
    </w:p>
    <w:p w:rsidR="00522277" w:rsidRPr="00522277" w:rsidRDefault="00522277" w:rsidP="00522277">
      <w:pPr>
        <w:shd w:val="clear" w:color="auto" w:fill="FFFFFF"/>
        <w:spacing w:after="120" w:line="240" w:lineRule="atLeast"/>
        <w:ind w:right="1134"/>
        <w:jc w:val="both"/>
        <w:rPr>
          <w:rFonts w:ascii="Times New Roman" w:eastAsia="Times New Roman" w:hAnsi="Times New Roman" w:cs="Times New Roman"/>
          <w:color w:val="222222"/>
          <w:lang w:val="en-GB" w:eastAsia="fr-BE"/>
        </w:rPr>
      </w:pPr>
      <w:r w:rsidRPr="00522277">
        <w:rPr>
          <w:rFonts w:ascii="Times New Roman" w:eastAsia="Times New Roman" w:hAnsi="Times New Roman" w:cs="Times New Roman"/>
          <w:b/>
          <w:bCs/>
          <w:color w:val="222222"/>
          <w:lang w:val="en-GB" w:eastAsia="fr-BE"/>
        </w:rPr>
        <w:lastRenderedPageBreak/>
        <w:t>Annexe 5</w:t>
      </w:r>
    </w:p>
    <w:p w:rsidR="00522277" w:rsidRPr="00522277" w:rsidRDefault="00522277" w:rsidP="000D649F">
      <w:pPr>
        <w:shd w:val="clear" w:color="auto" w:fill="FFFFFF"/>
        <w:spacing w:after="120" w:line="240" w:lineRule="atLeast"/>
        <w:ind w:left="2268" w:right="143"/>
        <w:jc w:val="both"/>
        <w:rPr>
          <w:rFonts w:ascii="Times New Roman" w:eastAsia="Times New Roman" w:hAnsi="Times New Roman" w:cs="Times New Roman"/>
          <w:color w:val="222222"/>
          <w:lang w:val="en-GB" w:eastAsia="fr-BE"/>
        </w:rPr>
      </w:pPr>
      <w:r w:rsidRPr="00522277">
        <w:rPr>
          <w:rFonts w:ascii="Times New Roman" w:eastAsia="Times New Roman" w:hAnsi="Times New Roman" w:cs="Times New Roman"/>
          <w:color w:val="222222"/>
          <w:lang w:val="en-GB" w:eastAsia="fr-BE"/>
        </w:rPr>
        <w:t>1.2.3.              Where a headlamp or AFS so aimed does not meet the requirements set out in paragraphs this UN Regulation 5.2. to 5.4. of this UN Regulation respectively, its alignment may be changed, provided that the axis of the beam is not displaced:</w:t>
      </w:r>
    </w:p>
    <w:p w:rsidR="00522277" w:rsidRPr="00522277" w:rsidRDefault="00522277" w:rsidP="00522277">
      <w:pPr>
        <w:shd w:val="clear" w:color="auto" w:fill="FFFFFF"/>
        <w:spacing w:after="120" w:line="240" w:lineRule="atLeast"/>
        <w:ind w:left="2268" w:right="1134"/>
        <w:jc w:val="both"/>
        <w:rPr>
          <w:rFonts w:ascii="Times New Roman" w:eastAsia="Times New Roman" w:hAnsi="Times New Roman" w:cs="Times New Roman"/>
          <w:color w:val="222222"/>
          <w:lang w:val="en-GB" w:eastAsia="fr-BE"/>
        </w:rPr>
      </w:pPr>
      <w:r w:rsidRPr="00522277">
        <w:rPr>
          <w:rFonts w:ascii="Times New Roman" w:eastAsia="Times New Roman" w:hAnsi="Times New Roman" w:cs="Times New Roman"/>
          <w:color w:val="222222"/>
          <w:lang w:val="en-GB" w:eastAsia="fr-BE"/>
        </w:rPr>
        <w:t>            Horizontally from line A by more than:</w:t>
      </w:r>
    </w:p>
    <w:p w:rsidR="00522277" w:rsidRPr="00522277" w:rsidRDefault="00522277" w:rsidP="000D649F">
      <w:pPr>
        <w:shd w:val="clear" w:color="auto" w:fill="FFFFFF"/>
        <w:spacing w:after="120" w:line="240" w:lineRule="atLeast"/>
        <w:ind w:left="2835" w:right="143"/>
        <w:jc w:val="both"/>
        <w:rPr>
          <w:rFonts w:ascii="Times New Roman" w:eastAsia="Times New Roman" w:hAnsi="Times New Roman" w:cs="Times New Roman"/>
          <w:b/>
          <w:color w:val="222222"/>
          <w:highlight w:val="yellow"/>
          <w:lang w:val="en-GB" w:eastAsia="fr-BE"/>
        </w:rPr>
      </w:pPr>
      <w:r w:rsidRPr="00522277">
        <w:rPr>
          <w:rFonts w:ascii="Times New Roman" w:eastAsia="Times New Roman" w:hAnsi="Times New Roman" w:cs="Times New Roman"/>
          <w:b/>
          <w:color w:val="222222"/>
          <w:highlight w:val="yellow"/>
          <w:lang w:val="en-GB" w:eastAsia="fr-BE"/>
        </w:rPr>
        <w:t>(a)       0.5° to the left or 0.75° to the right, for right hand traffic; or</w:t>
      </w:r>
    </w:p>
    <w:p w:rsidR="00522277" w:rsidRPr="00522277" w:rsidRDefault="00522277" w:rsidP="000D649F">
      <w:pPr>
        <w:shd w:val="clear" w:color="auto" w:fill="FFFFFF"/>
        <w:spacing w:after="120" w:line="240" w:lineRule="atLeast"/>
        <w:ind w:left="2835" w:right="143"/>
        <w:jc w:val="both"/>
        <w:rPr>
          <w:rFonts w:ascii="Times New Roman" w:eastAsia="Times New Roman" w:hAnsi="Times New Roman" w:cs="Times New Roman"/>
          <w:b/>
          <w:color w:val="222222"/>
          <w:highlight w:val="yellow"/>
          <w:lang w:val="en-GB" w:eastAsia="fr-BE"/>
        </w:rPr>
      </w:pPr>
      <w:r w:rsidRPr="00522277">
        <w:rPr>
          <w:rFonts w:ascii="Times New Roman" w:eastAsia="Times New Roman" w:hAnsi="Times New Roman" w:cs="Times New Roman"/>
          <w:b/>
          <w:color w:val="222222"/>
          <w:highlight w:val="yellow"/>
          <w:lang w:val="en-GB" w:eastAsia="fr-BE"/>
        </w:rPr>
        <w:t>(b)       0.5° to the right or 0.75° to the left, for left hand traffic; and</w:t>
      </w:r>
    </w:p>
    <w:p w:rsidR="00522277" w:rsidRPr="00522277" w:rsidRDefault="00522277" w:rsidP="00522277">
      <w:pPr>
        <w:shd w:val="clear" w:color="auto" w:fill="FFFFFF"/>
        <w:spacing w:after="120" w:line="240" w:lineRule="atLeast"/>
        <w:ind w:left="2268" w:right="1134"/>
        <w:jc w:val="both"/>
        <w:rPr>
          <w:rFonts w:ascii="Times New Roman" w:eastAsia="Times New Roman" w:hAnsi="Times New Roman" w:cs="Times New Roman"/>
          <w:b/>
          <w:color w:val="222222"/>
          <w:lang w:val="en-GB" w:eastAsia="fr-BE"/>
        </w:rPr>
      </w:pPr>
      <w:r w:rsidRPr="00522277">
        <w:rPr>
          <w:rFonts w:ascii="Times New Roman" w:eastAsia="Times New Roman" w:hAnsi="Times New Roman" w:cs="Times New Roman"/>
          <w:b/>
          <w:color w:val="222222"/>
          <w:highlight w:val="yellow"/>
          <w:lang w:val="en-GB" w:eastAsia="fr-BE"/>
        </w:rPr>
        <w:t>            Vertically not more than 0.25° up or down from line B.</w:t>
      </w:r>
    </w:p>
    <w:p w:rsidR="000D649F" w:rsidRPr="006645BA" w:rsidRDefault="000D649F" w:rsidP="000D649F">
      <w:pPr>
        <w:shd w:val="clear" w:color="auto" w:fill="FFFFFF"/>
        <w:spacing w:after="120" w:line="240" w:lineRule="atLeast"/>
        <w:ind w:right="1134"/>
        <w:jc w:val="both"/>
        <w:rPr>
          <w:rFonts w:ascii="Times New Roman" w:eastAsia="Times New Roman" w:hAnsi="Times New Roman" w:cs="Times New Roman"/>
          <w:b/>
          <w:bCs/>
          <w:color w:val="FF0000"/>
          <w:sz w:val="28"/>
          <w:szCs w:val="28"/>
          <w:lang w:val="en-GB" w:eastAsia="fr-BE"/>
        </w:rPr>
      </w:pPr>
      <w:r w:rsidRPr="006645BA">
        <w:rPr>
          <w:rFonts w:ascii="Times New Roman" w:eastAsia="Times New Roman" w:hAnsi="Times New Roman" w:cs="Times New Roman"/>
          <w:b/>
          <w:bCs/>
          <w:color w:val="FF0000"/>
          <w:sz w:val="28"/>
          <w:szCs w:val="28"/>
          <w:lang w:val="en-GB" w:eastAsia="fr-BE"/>
        </w:rPr>
        <w:t>Conclusions:</w:t>
      </w:r>
      <w:r w:rsidR="00522277" w:rsidRPr="00522277">
        <w:rPr>
          <w:rFonts w:ascii="Times New Roman" w:eastAsia="Times New Roman" w:hAnsi="Times New Roman" w:cs="Times New Roman"/>
          <w:b/>
          <w:bCs/>
          <w:color w:val="FF0000"/>
          <w:sz w:val="28"/>
          <w:szCs w:val="28"/>
          <w:lang w:val="en-GB" w:eastAsia="fr-BE"/>
        </w:rPr>
        <w:t xml:space="preserve"> </w:t>
      </w:r>
    </w:p>
    <w:p w:rsidR="00522277" w:rsidRPr="00405021" w:rsidRDefault="00522277" w:rsidP="000D649F">
      <w:pPr>
        <w:pStyle w:val="Paragrafoelenco"/>
        <w:numPr>
          <w:ilvl w:val="0"/>
          <w:numId w:val="1"/>
        </w:numPr>
        <w:shd w:val="clear" w:color="auto" w:fill="FFFFFF"/>
        <w:spacing w:after="120" w:line="240" w:lineRule="atLeast"/>
        <w:ind w:right="143"/>
        <w:jc w:val="both"/>
        <w:rPr>
          <w:rFonts w:ascii="Times New Roman" w:eastAsia="Times New Roman" w:hAnsi="Times New Roman" w:cs="Times New Roman"/>
          <w:b/>
          <w:bCs/>
          <w:color w:val="FF0000"/>
          <w:lang w:val="en-GB" w:eastAsia="fr-BE"/>
        </w:rPr>
      </w:pPr>
      <w:r w:rsidRPr="00405021">
        <w:rPr>
          <w:rFonts w:ascii="Times New Roman" w:eastAsia="Times New Roman" w:hAnsi="Times New Roman" w:cs="Times New Roman"/>
          <w:b/>
          <w:bCs/>
          <w:color w:val="FF0000"/>
          <w:lang w:val="en-GB" w:eastAsia="fr-BE"/>
        </w:rPr>
        <w:t xml:space="preserve">For AFS </w:t>
      </w:r>
      <w:r w:rsidR="000D649F" w:rsidRPr="00405021">
        <w:rPr>
          <w:rFonts w:ascii="Times New Roman" w:eastAsia="Times New Roman" w:hAnsi="Times New Roman" w:cs="Times New Roman"/>
          <w:b/>
          <w:bCs/>
          <w:color w:val="FF0000"/>
          <w:lang w:val="en-GB" w:eastAsia="fr-BE"/>
        </w:rPr>
        <w:t xml:space="preserve">, </w:t>
      </w:r>
      <w:r w:rsidR="000D649F" w:rsidRPr="00405021">
        <w:rPr>
          <w:rFonts w:ascii="Times New Roman" w:eastAsia="Times New Roman" w:hAnsi="Times New Roman" w:cs="Times New Roman"/>
          <w:b/>
          <w:color w:val="FF0000"/>
          <w:lang w:val="en-GB" w:eastAsia="fr-BE"/>
        </w:rPr>
        <w:t>horizontally</w:t>
      </w:r>
      <w:r w:rsidR="000D649F" w:rsidRPr="00405021">
        <w:rPr>
          <w:rFonts w:ascii="Times New Roman" w:eastAsia="Times New Roman" w:hAnsi="Times New Roman" w:cs="Times New Roman"/>
          <w:b/>
          <w:bCs/>
          <w:color w:val="FF0000"/>
          <w:lang w:val="en-GB" w:eastAsia="fr-BE"/>
        </w:rPr>
        <w:t xml:space="preserve"> re-aim in Annex2</w:t>
      </w:r>
      <w:r w:rsidRPr="00405021">
        <w:rPr>
          <w:rFonts w:ascii="Times New Roman" w:eastAsia="Times New Roman" w:hAnsi="Times New Roman" w:cs="Times New Roman"/>
          <w:b/>
          <w:bCs/>
          <w:color w:val="FF0000"/>
          <w:lang w:val="en-GB" w:eastAsia="fr-BE"/>
        </w:rPr>
        <w:t> </w:t>
      </w:r>
      <w:r w:rsidR="000D649F" w:rsidRPr="00405021">
        <w:rPr>
          <w:rFonts w:ascii="Times New Roman" w:eastAsia="Times New Roman" w:hAnsi="Times New Roman" w:cs="Times New Roman"/>
          <w:b/>
          <w:bCs/>
          <w:color w:val="FF0000"/>
          <w:lang w:val="en-GB" w:eastAsia="fr-BE"/>
        </w:rPr>
        <w:t xml:space="preserve"> </w:t>
      </w:r>
      <w:r w:rsidRPr="00405021">
        <w:rPr>
          <w:rFonts w:ascii="Times New Roman" w:eastAsia="Times New Roman" w:hAnsi="Times New Roman" w:cs="Times New Roman"/>
          <w:b/>
          <w:bCs/>
          <w:color w:val="FF0000"/>
          <w:lang w:val="en-GB" w:eastAsia="fr-BE"/>
        </w:rPr>
        <w:t xml:space="preserve"> +/- 0.5° v</w:t>
      </w:r>
      <w:r w:rsidR="000D649F" w:rsidRPr="00405021">
        <w:rPr>
          <w:rFonts w:ascii="Times New Roman" w:eastAsia="Times New Roman" w:hAnsi="Times New Roman" w:cs="Times New Roman"/>
          <w:b/>
          <w:bCs/>
          <w:color w:val="FF0000"/>
          <w:lang w:val="en-GB" w:eastAsia="fr-BE"/>
        </w:rPr>
        <w:t>ersu</w:t>
      </w:r>
      <w:r w:rsidRPr="00405021">
        <w:rPr>
          <w:rFonts w:ascii="Times New Roman" w:eastAsia="Times New Roman" w:hAnsi="Times New Roman" w:cs="Times New Roman"/>
          <w:b/>
          <w:bCs/>
          <w:color w:val="FF0000"/>
          <w:lang w:val="en-GB" w:eastAsia="fr-BE"/>
        </w:rPr>
        <w:t xml:space="preserve">s  0.5° to the left or 0.75° to the right </w:t>
      </w:r>
      <w:r w:rsidR="000D649F" w:rsidRPr="00405021">
        <w:rPr>
          <w:rFonts w:ascii="Times New Roman" w:eastAsia="Times New Roman" w:hAnsi="Times New Roman" w:cs="Times New Roman"/>
          <w:b/>
          <w:bCs/>
          <w:color w:val="FF0000"/>
          <w:lang w:val="en-GB" w:eastAsia="fr-BE"/>
        </w:rPr>
        <w:t>accorded</w:t>
      </w:r>
      <w:r w:rsidRPr="00405021">
        <w:rPr>
          <w:rFonts w:ascii="Times New Roman" w:eastAsia="Times New Roman" w:hAnsi="Times New Roman" w:cs="Times New Roman"/>
          <w:b/>
          <w:bCs/>
          <w:color w:val="FF0000"/>
          <w:lang w:val="en-GB" w:eastAsia="fr-BE"/>
        </w:rPr>
        <w:t xml:space="preserve"> </w:t>
      </w:r>
      <w:r w:rsidR="000D649F" w:rsidRPr="00405021">
        <w:rPr>
          <w:rFonts w:ascii="Times New Roman" w:eastAsia="Times New Roman" w:hAnsi="Times New Roman" w:cs="Times New Roman"/>
          <w:b/>
          <w:bCs/>
          <w:color w:val="FF0000"/>
          <w:lang w:val="en-GB" w:eastAsia="fr-BE"/>
        </w:rPr>
        <w:t>by annex</w:t>
      </w:r>
      <w:r w:rsidRPr="00405021">
        <w:rPr>
          <w:rFonts w:ascii="Times New Roman" w:eastAsia="Times New Roman" w:hAnsi="Times New Roman" w:cs="Times New Roman"/>
          <w:b/>
          <w:bCs/>
          <w:color w:val="FF0000"/>
          <w:lang w:val="en-GB" w:eastAsia="fr-BE"/>
        </w:rPr>
        <w:t xml:space="preserve"> 5</w:t>
      </w:r>
    </w:p>
    <w:p w:rsidR="000D649F" w:rsidRPr="00405021" w:rsidRDefault="000D649F" w:rsidP="00405021">
      <w:pPr>
        <w:pStyle w:val="Paragrafoelenco"/>
        <w:numPr>
          <w:ilvl w:val="0"/>
          <w:numId w:val="1"/>
        </w:numPr>
        <w:shd w:val="clear" w:color="auto" w:fill="FFFFFF"/>
        <w:spacing w:after="120" w:line="240" w:lineRule="atLeast"/>
        <w:ind w:right="143"/>
        <w:jc w:val="both"/>
        <w:rPr>
          <w:rFonts w:ascii="Times New Roman" w:eastAsia="Times New Roman" w:hAnsi="Times New Roman" w:cs="Times New Roman"/>
          <w:b/>
          <w:color w:val="FF0000"/>
          <w:lang w:val="en-GB" w:eastAsia="fr-BE"/>
        </w:rPr>
      </w:pPr>
      <w:r w:rsidRPr="00405021">
        <w:rPr>
          <w:rFonts w:ascii="Times New Roman" w:eastAsia="Times New Roman" w:hAnsi="Times New Roman" w:cs="Times New Roman"/>
          <w:b/>
          <w:bCs/>
          <w:color w:val="FF0000"/>
          <w:lang w:val="en-GB" w:eastAsia="fr-BE"/>
        </w:rPr>
        <w:t xml:space="preserve">For AFS , </w:t>
      </w:r>
      <w:r w:rsidRPr="00405021">
        <w:rPr>
          <w:rFonts w:ascii="Times New Roman" w:eastAsia="Times New Roman" w:hAnsi="Times New Roman" w:cs="Times New Roman"/>
          <w:b/>
          <w:color w:val="FF0000"/>
          <w:lang w:val="en-GB" w:eastAsia="fr-BE"/>
        </w:rPr>
        <w:t>vertically</w:t>
      </w:r>
      <w:r w:rsidRPr="00405021">
        <w:rPr>
          <w:rFonts w:ascii="Times New Roman" w:eastAsia="Times New Roman" w:hAnsi="Times New Roman" w:cs="Times New Roman"/>
          <w:b/>
          <w:bCs/>
          <w:color w:val="FF0000"/>
          <w:lang w:val="en-GB" w:eastAsia="fr-BE"/>
        </w:rPr>
        <w:t xml:space="preserve"> re-aim in Annex2    +/- 0.2° versus  0.25° accorded by annex 5</w:t>
      </w:r>
    </w:p>
    <w:p w:rsidR="000D649F" w:rsidRPr="00405021" w:rsidRDefault="000D649F" w:rsidP="000D649F">
      <w:pPr>
        <w:pStyle w:val="Paragrafoelenco"/>
        <w:shd w:val="clear" w:color="auto" w:fill="FFFFFF"/>
        <w:spacing w:after="120" w:line="240" w:lineRule="atLeast"/>
        <w:ind w:right="143"/>
        <w:jc w:val="both"/>
        <w:rPr>
          <w:rFonts w:ascii="Times New Roman" w:eastAsia="Times New Roman" w:hAnsi="Times New Roman" w:cs="Times New Roman"/>
          <w:b/>
          <w:color w:val="FF0000"/>
          <w:lang w:val="en-GB" w:eastAsia="fr-BE"/>
        </w:rPr>
      </w:pPr>
    </w:p>
    <w:p w:rsidR="000D649F" w:rsidRPr="00522277" w:rsidRDefault="000D649F" w:rsidP="000D649F">
      <w:pPr>
        <w:pStyle w:val="HChG"/>
        <w:spacing w:before="0"/>
        <w:ind w:right="143"/>
        <w:rPr>
          <w:szCs w:val="28"/>
        </w:rPr>
      </w:pPr>
      <w:r w:rsidRPr="00405021">
        <w:rPr>
          <w:szCs w:val="28"/>
        </w:rPr>
        <w:t>Annex 5</w:t>
      </w:r>
      <w:r w:rsidRPr="00405021">
        <w:rPr>
          <w:snapToGrid w:val="0"/>
          <w:szCs w:val="28"/>
        </w:rPr>
        <w:tab/>
        <w:t>Aiming procedures</w:t>
      </w:r>
      <w:r w:rsidRPr="00405021">
        <w:rPr>
          <w:szCs w:val="28"/>
        </w:rPr>
        <w:t>, instrumental verification of the "cut-off" for asymmetric passing-beams</w:t>
      </w:r>
    </w:p>
    <w:p w:rsidR="000D649F" w:rsidRPr="00405021" w:rsidRDefault="000D649F" w:rsidP="000D649F">
      <w:pPr>
        <w:pStyle w:val="HChG"/>
        <w:ind w:right="143"/>
        <w:rPr>
          <w:szCs w:val="28"/>
        </w:rPr>
      </w:pPr>
      <w:r w:rsidRPr="00405021">
        <w:rPr>
          <w:szCs w:val="28"/>
        </w:rPr>
        <w:t>Annex 6</w:t>
      </w:r>
      <w:r w:rsidRPr="00405021">
        <w:rPr>
          <w:szCs w:val="28"/>
        </w:rPr>
        <w:tab/>
        <w:t>Definition and sharpness of the horizontal "cut-off" line and aiming procedure by means of this "cut-off" line for symmetrical passing beam headlamps and front fog lamps</w:t>
      </w:r>
    </w:p>
    <w:p w:rsidR="009F73D9" w:rsidRPr="00405021" w:rsidRDefault="000D649F" w:rsidP="000D649F">
      <w:pPr>
        <w:pStyle w:val="para"/>
        <w:ind w:left="0" w:right="710" w:firstLine="0"/>
        <w:rPr>
          <w:color w:val="FF0000"/>
          <w:sz w:val="22"/>
          <w:szCs w:val="22"/>
          <w:lang w:val="en-GB"/>
        </w:rPr>
      </w:pPr>
      <w:r w:rsidRPr="00405021">
        <w:rPr>
          <w:b/>
          <w:color w:val="FF0000"/>
          <w:sz w:val="28"/>
          <w:szCs w:val="22"/>
          <w:lang w:val="en-GB"/>
        </w:rPr>
        <w:t>Comments:</w:t>
      </w:r>
      <w:r w:rsidRPr="00405021">
        <w:rPr>
          <w:color w:val="FF0000"/>
          <w:sz w:val="22"/>
          <w:szCs w:val="22"/>
          <w:lang w:val="en-GB"/>
        </w:rPr>
        <w:t xml:space="preserve"> Annex 5 and 6 treat the same subject but have completely different titles</w:t>
      </w:r>
    </w:p>
    <w:p w:rsidR="009F73D9" w:rsidRPr="00405021" w:rsidRDefault="009F73D9">
      <w:pPr>
        <w:rPr>
          <w:rFonts w:ascii="Times New Roman" w:hAnsi="Times New Roman" w:cs="Times New Roman"/>
          <w:lang w:val="en-GB"/>
        </w:rPr>
      </w:pPr>
    </w:p>
    <w:p w:rsidR="000D649F" w:rsidRPr="00405021" w:rsidRDefault="000D649F" w:rsidP="000D649F">
      <w:pPr>
        <w:rPr>
          <w:b/>
          <w:i/>
          <w:sz w:val="32"/>
          <w:szCs w:val="32"/>
          <w:lang w:val="en-GB"/>
        </w:rPr>
      </w:pPr>
      <w:r w:rsidRPr="00405021">
        <w:rPr>
          <w:b/>
          <w:i/>
          <w:sz w:val="32"/>
          <w:szCs w:val="32"/>
          <w:lang w:val="en-GB"/>
        </w:rPr>
        <w:t xml:space="preserve">Cut-off </w:t>
      </w:r>
      <w:r w:rsidRPr="00405021">
        <w:rPr>
          <w:b/>
          <w:i/>
          <w:sz w:val="28"/>
          <w:szCs w:val="28"/>
          <w:lang w:val="en-GB"/>
        </w:rPr>
        <w:t>Definition and sharpness</w:t>
      </w:r>
      <w:r w:rsidRPr="00405021">
        <w:rPr>
          <w:b/>
          <w:i/>
          <w:sz w:val="32"/>
          <w:szCs w:val="32"/>
          <w:lang w:val="en-GB"/>
        </w:rPr>
        <w:t>:</w:t>
      </w:r>
    </w:p>
    <w:p w:rsidR="00405021" w:rsidRPr="00405021" w:rsidRDefault="00405021" w:rsidP="00405021">
      <w:pPr>
        <w:pStyle w:val="SingleTxtG"/>
        <w:ind w:left="0"/>
        <w:rPr>
          <w:sz w:val="22"/>
          <w:szCs w:val="22"/>
        </w:rPr>
      </w:pPr>
      <w:r w:rsidRPr="00405021">
        <w:rPr>
          <w:sz w:val="28"/>
          <w:szCs w:val="28"/>
        </w:rPr>
        <w:t>Annex 5</w:t>
      </w:r>
      <w:r w:rsidRPr="00405021">
        <w:rPr>
          <w:sz w:val="28"/>
          <w:szCs w:val="28"/>
        </w:rPr>
        <w:tab/>
      </w:r>
      <w:r w:rsidRPr="00405021">
        <w:rPr>
          <w:sz w:val="22"/>
          <w:szCs w:val="22"/>
        </w:rPr>
        <w:t>2.3.2.</w:t>
      </w:r>
      <w:r w:rsidRPr="00405021">
        <w:rPr>
          <w:sz w:val="22"/>
          <w:szCs w:val="22"/>
        </w:rPr>
        <w:tab/>
        <w:t>Horizontal adjustment</w:t>
      </w:r>
    </w:p>
    <w:p w:rsidR="00405021" w:rsidRPr="00405021" w:rsidRDefault="00405021" w:rsidP="00405021">
      <w:pPr>
        <w:pStyle w:val="StyleSingleTxtGLeft2cmHanging206cm"/>
        <w:rPr>
          <w:sz w:val="22"/>
          <w:szCs w:val="22"/>
        </w:rPr>
      </w:pPr>
      <w:r w:rsidRPr="00405021">
        <w:rPr>
          <w:sz w:val="22"/>
          <w:szCs w:val="22"/>
        </w:rPr>
        <w:t>........</w:t>
      </w:r>
    </w:p>
    <w:p w:rsidR="00405021" w:rsidRDefault="00405021" w:rsidP="00405021">
      <w:pPr>
        <w:pStyle w:val="a"/>
        <w:numPr>
          <w:ilvl w:val="0"/>
          <w:numId w:val="3"/>
        </w:numPr>
        <w:rPr>
          <w:sz w:val="22"/>
          <w:szCs w:val="22"/>
        </w:rPr>
      </w:pPr>
      <w:r w:rsidRPr="00405021">
        <w:rPr>
          <w:sz w:val="22"/>
          <w:szCs w:val="22"/>
        </w:rPr>
        <w:t>The "0.2 D line" method (see Figure A5-III).</w:t>
      </w:r>
    </w:p>
    <w:p w:rsidR="00405021" w:rsidRPr="00405021" w:rsidRDefault="00405021" w:rsidP="00405021">
      <w:pPr>
        <w:pStyle w:val="a"/>
        <w:ind w:left="1494" w:right="426" w:firstLine="0"/>
        <w:rPr>
          <w:sz w:val="22"/>
          <w:szCs w:val="22"/>
        </w:rPr>
      </w:pPr>
      <w:r w:rsidRPr="00405021">
        <w:rPr>
          <w:sz w:val="22"/>
          <w:szCs w:val="22"/>
        </w:rPr>
        <w:t xml:space="preserve">...........The maximum gradient "G" determined using the formula G </w:t>
      </w:r>
      <w:r w:rsidRPr="00405021">
        <w:rPr>
          <w:sz w:val="22"/>
          <w:szCs w:val="22"/>
          <w:highlight w:val="yellow"/>
        </w:rPr>
        <w:t>= (log E</w:t>
      </w:r>
      <w:r w:rsidRPr="00405021">
        <w:rPr>
          <w:sz w:val="22"/>
          <w:szCs w:val="22"/>
          <w:highlight w:val="yellow"/>
          <w:vertAlign w:val="subscript"/>
        </w:rPr>
        <w:t>β</w:t>
      </w:r>
      <w:r w:rsidRPr="00405021">
        <w:rPr>
          <w:sz w:val="22"/>
          <w:szCs w:val="22"/>
          <w:highlight w:val="yellow"/>
        </w:rPr>
        <w:t xml:space="preserve"> - log E</w:t>
      </w:r>
      <w:r w:rsidRPr="00405021">
        <w:rPr>
          <w:sz w:val="22"/>
          <w:szCs w:val="22"/>
          <w:highlight w:val="yellow"/>
          <w:vertAlign w:val="subscript"/>
        </w:rPr>
        <w:t>(β + 0.1°)</w:t>
      </w:r>
      <w:r w:rsidRPr="00405021">
        <w:rPr>
          <w:sz w:val="22"/>
          <w:szCs w:val="22"/>
          <w:highlight w:val="yellow"/>
        </w:rPr>
        <w:t>)</w:t>
      </w:r>
      <w:r w:rsidRPr="00405021">
        <w:rPr>
          <w:sz w:val="22"/>
          <w:szCs w:val="22"/>
        </w:rPr>
        <w:t xml:space="preserve"> where β is the horizontal position in degrees, shall not be less than 0.08. </w:t>
      </w:r>
    </w:p>
    <w:p w:rsidR="00405021" w:rsidRPr="00405021" w:rsidRDefault="00405021" w:rsidP="00405021">
      <w:pPr>
        <w:pStyle w:val="SingleTxtG"/>
        <w:ind w:left="0"/>
        <w:rPr>
          <w:sz w:val="22"/>
          <w:szCs w:val="22"/>
        </w:rPr>
      </w:pPr>
      <w:r w:rsidRPr="00405021">
        <w:rPr>
          <w:sz w:val="28"/>
          <w:szCs w:val="28"/>
        </w:rPr>
        <w:t>Annex 5</w:t>
      </w:r>
      <w:r w:rsidRPr="00405021">
        <w:rPr>
          <w:sz w:val="28"/>
          <w:szCs w:val="28"/>
        </w:rPr>
        <w:tab/>
      </w:r>
      <w:r w:rsidRPr="00405021">
        <w:rPr>
          <w:sz w:val="22"/>
          <w:szCs w:val="22"/>
        </w:rPr>
        <w:t>2.3.2.</w:t>
      </w:r>
      <w:r w:rsidRPr="00405021">
        <w:rPr>
          <w:sz w:val="22"/>
          <w:szCs w:val="22"/>
        </w:rPr>
        <w:tab/>
        <w:t>Horizontal adjustment</w:t>
      </w:r>
    </w:p>
    <w:p w:rsidR="00405021" w:rsidRPr="00405021" w:rsidRDefault="00405021" w:rsidP="00405021">
      <w:pPr>
        <w:pStyle w:val="para"/>
        <w:ind w:hanging="852"/>
        <w:rPr>
          <w:sz w:val="22"/>
          <w:szCs w:val="22"/>
          <w:lang w:val="en-GB"/>
        </w:rPr>
      </w:pPr>
      <w:r w:rsidRPr="00405021">
        <w:rPr>
          <w:sz w:val="22"/>
          <w:szCs w:val="22"/>
          <w:lang w:val="en-GB"/>
        </w:rPr>
        <w:t>4.1.2.</w:t>
      </w:r>
      <w:r w:rsidRPr="00405021">
        <w:rPr>
          <w:sz w:val="22"/>
          <w:szCs w:val="22"/>
          <w:lang w:val="en-GB"/>
        </w:rPr>
        <w:tab/>
        <w:t>Sharpness of "cut-off":  if scanned vertically through the horizontal part of the "cut-off" line along the ±2.5 -lines, the maximum value measured for:</w:t>
      </w:r>
    </w:p>
    <w:p w:rsidR="00405021" w:rsidRPr="00436544" w:rsidRDefault="00405021" w:rsidP="00405021">
      <w:pPr>
        <w:pStyle w:val="para"/>
        <w:ind w:firstLine="0"/>
        <w:rPr>
          <w:sz w:val="22"/>
          <w:szCs w:val="22"/>
          <w:lang w:val="it-IT"/>
        </w:rPr>
      </w:pPr>
      <w:r w:rsidRPr="00405021">
        <w:rPr>
          <w:sz w:val="22"/>
          <w:szCs w:val="22"/>
          <w:lang w:val="en-GB"/>
        </w:rPr>
        <w:tab/>
      </w:r>
      <w:r w:rsidRPr="00436544">
        <w:rPr>
          <w:sz w:val="22"/>
          <w:szCs w:val="22"/>
          <w:highlight w:val="yellow"/>
          <w:lang w:val="it-IT"/>
        </w:rPr>
        <w:t>G = (log E</w:t>
      </w:r>
      <w:r w:rsidRPr="00436544">
        <w:rPr>
          <w:sz w:val="22"/>
          <w:szCs w:val="22"/>
          <w:highlight w:val="yellow"/>
          <w:vertAlign w:val="subscript"/>
          <w:lang w:val="it-IT"/>
        </w:rPr>
        <w:t>V</w:t>
      </w:r>
      <w:r w:rsidRPr="00436544">
        <w:rPr>
          <w:sz w:val="22"/>
          <w:szCs w:val="22"/>
          <w:highlight w:val="yellow"/>
          <w:lang w:val="it-IT"/>
        </w:rPr>
        <w:t xml:space="preserve"> - log E</w:t>
      </w:r>
      <w:r w:rsidRPr="00436544">
        <w:rPr>
          <w:sz w:val="22"/>
          <w:szCs w:val="22"/>
          <w:highlight w:val="yellow"/>
          <w:vertAlign w:val="subscript"/>
          <w:lang w:val="it-IT"/>
        </w:rPr>
        <w:t>(V + 0.1°)</w:t>
      </w:r>
      <w:r w:rsidRPr="00436544">
        <w:rPr>
          <w:sz w:val="22"/>
          <w:szCs w:val="22"/>
          <w:highlight w:val="yellow"/>
          <w:lang w:val="it-IT"/>
        </w:rPr>
        <w:t xml:space="preserve"> )</w:t>
      </w:r>
    </w:p>
    <w:p w:rsidR="00295575" w:rsidRDefault="00405021">
      <w:pPr>
        <w:rPr>
          <w:rFonts w:ascii="Times New Roman" w:hAnsi="Times New Roman" w:cs="Times New Roman"/>
          <w:b/>
          <w:color w:val="FF0000"/>
          <w:sz w:val="28"/>
          <w:lang w:val="en-GB"/>
        </w:rPr>
      </w:pPr>
      <w:r w:rsidRPr="00405021">
        <w:rPr>
          <w:rFonts w:ascii="Times New Roman" w:hAnsi="Times New Roman" w:cs="Times New Roman"/>
          <w:b/>
          <w:color w:val="FF0000"/>
          <w:sz w:val="28"/>
          <w:lang w:val="en-GB"/>
        </w:rPr>
        <w:t>Conclusion:  Same formula in the two annexes</w:t>
      </w:r>
    </w:p>
    <w:p w:rsidR="00295575" w:rsidRPr="00295575" w:rsidRDefault="00295575" w:rsidP="00295575">
      <w:pPr>
        <w:shd w:val="clear" w:color="auto" w:fill="FFFFFF"/>
        <w:spacing w:after="120" w:line="240" w:lineRule="atLeast"/>
        <w:ind w:right="1134"/>
        <w:jc w:val="both"/>
        <w:rPr>
          <w:rFonts w:ascii="Times New Roman" w:eastAsia="Times New Roman" w:hAnsi="Times New Roman" w:cs="Times New Roman"/>
          <w:color w:val="222222"/>
          <w:lang w:eastAsia="fr-BE"/>
        </w:rPr>
      </w:pPr>
      <w:r w:rsidRPr="00405021">
        <w:rPr>
          <w:sz w:val="28"/>
          <w:szCs w:val="28"/>
          <w:lang w:val="en-GB"/>
        </w:rPr>
        <w:t>Annex 5</w:t>
      </w:r>
      <w:r>
        <w:rPr>
          <w:sz w:val="28"/>
          <w:szCs w:val="28"/>
          <w:lang w:val="en-GB"/>
        </w:rPr>
        <w:tab/>
      </w:r>
      <w:r w:rsidRPr="00295575">
        <w:rPr>
          <w:rFonts w:ascii="Times New Roman" w:eastAsia="Times New Roman" w:hAnsi="Times New Roman" w:cs="Times New Roman"/>
          <w:color w:val="222222"/>
          <w:lang w:val="en-GB" w:eastAsia="fr-BE"/>
        </w:rPr>
        <w:t>2.2.                 Measurement of the quality of the "cut-off"</w:t>
      </w:r>
    </w:p>
    <w:p w:rsidR="00295575" w:rsidRPr="00295575" w:rsidRDefault="00295575" w:rsidP="00295575">
      <w:pPr>
        <w:shd w:val="clear" w:color="auto" w:fill="FFFFFF"/>
        <w:spacing w:after="120" w:line="240" w:lineRule="atLeast"/>
        <w:ind w:left="2268" w:right="284"/>
        <w:jc w:val="both"/>
        <w:rPr>
          <w:rFonts w:ascii="Times New Roman" w:eastAsia="Times New Roman" w:hAnsi="Times New Roman" w:cs="Times New Roman"/>
          <w:color w:val="222222"/>
          <w:lang w:eastAsia="fr-BE"/>
        </w:rPr>
      </w:pPr>
      <w:r w:rsidRPr="00295575">
        <w:rPr>
          <w:rFonts w:ascii="Times New Roman" w:eastAsia="Times New Roman" w:hAnsi="Times New Roman" w:cs="Times New Roman"/>
          <w:color w:val="222222"/>
          <w:lang w:val="en-GB" w:eastAsia="fr-BE"/>
        </w:rPr>
        <w:t xml:space="preserve">            </w:t>
      </w:r>
      <w:r w:rsidRPr="00295575">
        <w:rPr>
          <w:rFonts w:ascii="Times New Roman" w:eastAsia="Times New Roman" w:hAnsi="Times New Roman" w:cs="Times New Roman"/>
          <w:color w:val="222222"/>
          <w:highlight w:val="yellow"/>
          <w:lang w:val="en-GB" w:eastAsia="fr-BE"/>
        </w:rPr>
        <w:t>To determine the minimum sharpness</w:t>
      </w:r>
      <w:r w:rsidRPr="00295575">
        <w:rPr>
          <w:rFonts w:ascii="Times New Roman" w:eastAsia="Times New Roman" w:hAnsi="Times New Roman" w:cs="Times New Roman"/>
          <w:color w:val="222222"/>
          <w:lang w:val="en-GB" w:eastAsia="fr-BE"/>
        </w:rPr>
        <w:t>, measurements shall be performed by vertically scanning through the horizontal part of the "cut-off" in angular steps of 0.05° at either a measurement distance of:</w:t>
      </w:r>
    </w:p>
    <w:p w:rsidR="00295575" w:rsidRPr="00295575" w:rsidRDefault="00295575" w:rsidP="00295575">
      <w:pPr>
        <w:shd w:val="clear" w:color="auto" w:fill="FFFFFF"/>
        <w:spacing w:after="120" w:line="240" w:lineRule="atLeast"/>
        <w:ind w:left="2835" w:right="1134"/>
        <w:jc w:val="both"/>
        <w:rPr>
          <w:rFonts w:ascii="Times New Roman" w:eastAsia="Times New Roman" w:hAnsi="Times New Roman" w:cs="Times New Roman"/>
          <w:color w:val="222222"/>
          <w:lang w:eastAsia="fr-BE"/>
        </w:rPr>
      </w:pPr>
      <w:r w:rsidRPr="00295575">
        <w:rPr>
          <w:rFonts w:ascii="Times New Roman" w:eastAsia="Times New Roman" w:hAnsi="Times New Roman" w:cs="Times New Roman"/>
          <w:color w:val="222222"/>
          <w:lang w:val="en-GB" w:eastAsia="fr-BE"/>
        </w:rPr>
        <w:t xml:space="preserve">(a)       </w:t>
      </w:r>
      <w:r w:rsidRPr="00295575">
        <w:rPr>
          <w:rFonts w:ascii="Times New Roman" w:eastAsia="Times New Roman" w:hAnsi="Times New Roman" w:cs="Times New Roman"/>
          <w:color w:val="222222"/>
          <w:highlight w:val="yellow"/>
          <w:lang w:val="en-GB" w:eastAsia="fr-BE"/>
        </w:rPr>
        <w:t>10 m</w:t>
      </w:r>
      <w:r w:rsidRPr="00295575">
        <w:rPr>
          <w:rFonts w:ascii="Times New Roman" w:eastAsia="Times New Roman" w:hAnsi="Times New Roman" w:cs="Times New Roman"/>
          <w:color w:val="222222"/>
          <w:lang w:val="en-GB" w:eastAsia="fr-BE"/>
        </w:rPr>
        <w:t xml:space="preserve"> with a detector having a diameter of approximately 10 mm; </w:t>
      </w:r>
      <w:r w:rsidRPr="00295575">
        <w:rPr>
          <w:rFonts w:ascii="Times New Roman" w:eastAsia="Times New Roman" w:hAnsi="Times New Roman" w:cs="Times New Roman"/>
          <w:color w:val="222222"/>
          <w:highlight w:val="yellow"/>
          <w:lang w:val="en-GB" w:eastAsia="fr-BE"/>
        </w:rPr>
        <w:t>or</w:t>
      </w:r>
    </w:p>
    <w:p w:rsidR="00295575" w:rsidRPr="00295575" w:rsidRDefault="00295575" w:rsidP="00295575">
      <w:pPr>
        <w:shd w:val="clear" w:color="auto" w:fill="FFFFFF"/>
        <w:spacing w:after="120" w:line="240" w:lineRule="atLeast"/>
        <w:ind w:left="2835" w:right="1134"/>
        <w:jc w:val="both"/>
        <w:rPr>
          <w:rFonts w:ascii="Times New Roman" w:eastAsia="Times New Roman" w:hAnsi="Times New Roman" w:cs="Times New Roman"/>
          <w:color w:val="222222"/>
          <w:lang w:eastAsia="fr-BE"/>
        </w:rPr>
      </w:pPr>
      <w:r w:rsidRPr="00295575">
        <w:rPr>
          <w:rFonts w:ascii="Times New Roman" w:eastAsia="Times New Roman" w:hAnsi="Times New Roman" w:cs="Times New Roman"/>
          <w:color w:val="222222"/>
          <w:lang w:val="en-GB" w:eastAsia="fr-BE"/>
        </w:rPr>
        <w:t xml:space="preserve">(b)       </w:t>
      </w:r>
      <w:r w:rsidRPr="00295575">
        <w:rPr>
          <w:rFonts w:ascii="Times New Roman" w:eastAsia="Times New Roman" w:hAnsi="Times New Roman" w:cs="Times New Roman"/>
          <w:color w:val="222222"/>
          <w:highlight w:val="yellow"/>
          <w:lang w:val="en-GB" w:eastAsia="fr-BE"/>
        </w:rPr>
        <w:t>25 m</w:t>
      </w:r>
      <w:r w:rsidRPr="00295575">
        <w:rPr>
          <w:rFonts w:ascii="Times New Roman" w:eastAsia="Times New Roman" w:hAnsi="Times New Roman" w:cs="Times New Roman"/>
          <w:color w:val="222222"/>
          <w:lang w:val="en-GB" w:eastAsia="fr-BE"/>
        </w:rPr>
        <w:t xml:space="preserve"> with a detector having a diameter of approximately 30 mm.</w:t>
      </w:r>
    </w:p>
    <w:p w:rsidR="00295575" w:rsidRPr="00295575" w:rsidRDefault="00295575" w:rsidP="00295575">
      <w:pPr>
        <w:shd w:val="clear" w:color="auto" w:fill="FFFFFF"/>
        <w:spacing w:after="120" w:line="240" w:lineRule="atLeast"/>
        <w:ind w:left="2268" w:right="1134"/>
        <w:jc w:val="both"/>
        <w:rPr>
          <w:rFonts w:ascii="Times New Roman" w:eastAsia="Times New Roman" w:hAnsi="Times New Roman" w:cs="Times New Roman"/>
          <w:color w:val="222222"/>
          <w:lang w:eastAsia="fr-BE"/>
        </w:rPr>
      </w:pPr>
      <w:r>
        <w:rPr>
          <w:rFonts w:ascii="Times New Roman" w:eastAsia="Times New Roman" w:hAnsi="Times New Roman" w:cs="Times New Roman"/>
          <w:color w:val="222222"/>
          <w:lang w:val="en-GB" w:eastAsia="fr-BE"/>
        </w:rPr>
        <w:lastRenderedPageBreak/>
        <w:t>.......</w:t>
      </w:r>
    </w:p>
    <w:p w:rsidR="00295575" w:rsidRPr="00295575" w:rsidRDefault="00295575" w:rsidP="00295575">
      <w:pPr>
        <w:shd w:val="clear" w:color="auto" w:fill="FFFFFF"/>
        <w:spacing w:after="120" w:line="240" w:lineRule="atLeast"/>
        <w:ind w:left="2268" w:right="1134"/>
        <w:jc w:val="both"/>
        <w:rPr>
          <w:rFonts w:ascii="Times New Roman" w:eastAsia="Times New Roman" w:hAnsi="Times New Roman" w:cs="Times New Roman"/>
          <w:color w:val="222222"/>
          <w:lang w:eastAsia="fr-BE"/>
        </w:rPr>
      </w:pPr>
      <w:r w:rsidRPr="00295575">
        <w:rPr>
          <w:rFonts w:ascii="Times New Roman" w:eastAsia="Times New Roman" w:hAnsi="Times New Roman" w:cs="Times New Roman"/>
          <w:color w:val="222222"/>
          <w:lang w:val="en-GB" w:eastAsia="fr-BE"/>
        </w:rPr>
        <w:t xml:space="preserve">            </w:t>
      </w:r>
      <w:r w:rsidRPr="00295575">
        <w:rPr>
          <w:rFonts w:ascii="Times New Roman" w:eastAsia="Times New Roman" w:hAnsi="Times New Roman" w:cs="Times New Roman"/>
          <w:color w:val="222222"/>
          <w:highlight w:val="yellow"/>
          <w:lang w:val="en-GB" w:eastAsia="fr-BE"/>
        </w:rPr>
        <w:t>To determine the maximum sharpness</w:t>
      </w:r>
      <w:r w:rsidRPr="00295575">
        <w:rPr>
          <w:rFonts w:ascii="Times New Roman" w:eastAsia="Times New Roman" w:hAnsi="Times New Roman" w:cs="Times New Roman"/>
          <w:color w:val="222222"/>
          <w:lang w:val="en-GB" w:eastAsia="fr-BE"/>
        </w:rPr>
        <w:t xml:space="preserve">, measurements shall be performed by vertically scanning through the horizontal part of the "cut-off" in angular steps of 0.05° exclusively at a measurement distance of </w:t>
      </w:r>
      <w:r w:rsidRPr="00295575">
        <w:rPr>
          <w:rFonts w:ascii="Times New Roman" w:eastAsia="Times New Roman" w:hAnsi="Times New Roman" w:cs="Times New Roman"/>
          <w:color w:val="222222"/>
          <w:highlight w:val="yellow"/>
          <w:lang w:val="en-GB" w:eastAsia="fr-BE"/>
        </w:rPr>
        <w:t>25 m</w:t>
      </w:r>
      <w:r w:rsidRPr="00295575">
        <w:rPr>
          <w:rFonts w:ascii="Times New Roman" w:eastAsia="Times New Roman" w:hAnsi="Times New Roman" w:cs="Times New Roman"/>
          <w:color w:val="222222"/>
          <w:lang w:val="en-GB" w:eastAsia="fr-BE"/>
        </w:rPr>
        <w:t xml:space="preserve"> and with a detector having a diameter of approximately 30 mm.</w:t>
      </w:r>
    </w:p>
    <w:p w:rsidR="00295575" w:rsidRPr="00295575" w:rsidRDefault="00295575" w:rsidP="00295575">
      <w:pPr>
        <w:shd w:val="clear" w:color="auto" w:fill="FFFFFF"/>
        <w:spacing w:after="0" w:line="240" w:lineRule="auto"/>
        <w:rPr>
          <w:rFonts w:ascii="Times New Roman" w:eastAsia="Times New Roman" w:hAnsi="Times New Roman" w:cs="Times New Roman"/>
          <w:color w:val="FF0000"/>
          <w:sz w:val="24"/>
          <w:szCs w:val="24"/>
          <w:lang w:eastAsia="fr-BE"/>
        </w:rPr>
      </w:pPr>
      <w:r w:rsidRPr="00295575">
        <w:rPr>
          <w:rFonts w:ascii="Arial" w:eastAsia="Times New Roman" w:hAnsi="Arial" w:cs="Arial"/>
          <w:b/>
          <w:bCs/>
          <w:color w:val="FF0000"/>
          <w:sz w:val="24"/>
          <w:szCs w:val="24"/>
          <w:lang w:eastAsia="fr-BE"/>
        </w:rPr>
        <w:t>Conclusion: For </w:t>
      </w:r>
      <w:proofErr w:type="spellStart"/>
      <w:r w:rsidRPr="00295575">
        <w:rPr>
          <w:rFonts w:ascii="Arial" w:eastAsia="Times New Roman" w:hAnsi="Arial" w:cs="Arial"/>
          <w:b/>
          <w:bCs/>
          <w:color w:val="FF0000"/>
          <w:sz w:val="24"/>
          <w:szCs w:val="24"/>
          <w:u w:val="single"/>
          <w:lang w:eastAsia="fr-BE"/>
        </w:rPr>
        <w:t>minium</w:t>
      </w:r>
      <w:proofErr w:type="spellEnd"/>
      <w:r w:rsidRPr="00295575">
        <w:rPr>
          <w:rFonts w:ascii="Arial" w:eastAsia="Times New Roman" w:hAnsi="Arial" w:cs="Arial"/>
          <w:b/>
          <w:bCs/>
          <w:color w:val="FF0000"/>
          <w:sz w:val="24"/>
          <w:szCs w:val="24"/>
          <w:lang w:eastAsia="fr-BE"/>
        </w:rPr>
        <w:t> sharpness</w:t>
      </w:r>
      <w:r>
        <w:rPr>
          <w:rFonts w:ascii="Arial" w:eastAsia="Times New Roman" w:hAnsi="Arial" w:cs="Arial"/>
          <w:b/>
          <w:bCs/>
          <w:color w:val="FF0000"/>
          <w:sz w:val="24"/>
          <w:szCs w:val="24"/>
          <w:lang w:eastAsia="fr-BE"/>
        </w:rPr>
        <w:t>,</w:t>
      </w:r>
      <w:r w:rsidRPr="00295575">
        <w:rPr>
          <w:rFonts w:ascii="Arial" w:eastAsia="Times New Roman" w:hAnsi="Arial" w:cs="Arial"/>
          <w:b/>
          <w:bCs/>
          <w:color w:val="FF0000"/>
          <w:sz w:val="24"/>
          <w:szCs w:val="24"/>
          <w:lang w:eastAsia="fr-BE"/>
        </w:rPr>
        <w:t xml:space="preserve"> measurement are at 10 or 25 </w:t>
      </w:r>
      <w:r>
        <w:rPr>
          <w:rFonts w:ascii="Arial" w:eastAsia="Times New Roman" w:hAnsi="Arial" w:cs="Arial"/>
          <w:b/>
          <w:bCs/>
          <w:color w:val="FF0000"/>
          <w:sz w:val="24"/>
          <w:szCs w:val="24"/>
          <w:lang w:eastAsia="fr-BE"/>
        </w:rPr>
        <w:t>m</w:t>
      </w:r>
      <w:r w:rsidRPr="00295575">
        <w:rPr>
          <w:rFonts w:ascii="Arial" w:eastAsia="Times New Roman" w:hAnsi="Arial" w:cs="Arial"/>
          <w:b/>
          <w:bCs/>
          <w:color w:val="FF0000"/>
          <w:sz w:val="24"/>
          <w:szCs w:val="24"/>
          <w:lang w:eastAsia="fr-BE"/>
        </w:rPr>
        <w:t xml:space="preserve"> but for the </w:t>
      </w:r>
      <w:r w:rsidRPr="00295575">
        <w:rPr>
          <w:rFonts w:ascii="Arial" w:eastAsia="Times New Roman" w:hAnsi="Arial" w:cs="Arial"/>
          <w:b/>
          <w:bCs/>
          <w:color w:val="FF0000"/>
          <w:sz w:val="24"/>
          <w:szCs w:val="24"/>
          <w:u w:val="single"/>
          <w:lang w:eastAsia="fr-BE"/>
        </w:rPr>
        <w:t>maximum</w:t>
      </w:r>
      <w:r w:rsidRPr="00295575">
        <w:rPr>
          <w:rFonts w:ascii="Arial" w:eastAsia="Times New Roman" w:hAnsi="Arial" w:cs="Arial"/>
          <w:b/>
          <w:bCs/>
          <w:color w:val="FF0000"/>
          <w:sz w:val="24"/>
          <w:szCs w:val="24"/>
          <w:lang w:eastAsia="fr-BE"/>
        </w:rPr>
        <w:t> sharpness the option 10m does not exist.</w:t>
      </w:r>
    </w:p>
    <w:p w:rsidR="006645BA" w:rsidRPr="00295575" w:rsidRDefault="006645BA">
      <w:pPr>
        <w:rPr>
          <w:rFonts w:ascii="Times New Roman" w:hAnsi="Times New Roman" w:cs="Times New Roman"/>
          <w:b/>
          <w:color w:val="FF0000"/>
          <w:sz w:val="28"/>
        </w:rPr>
      </w:pPr>
    </w:p>
    <w:p w:rsidR="00405021" w:rsidRPr="00405021" w:rsidRDefault="00405021">
      <w:pPr>
        <w:rPr>
          <w:rFonts w:ascii="Times New Roman" w:hAnsi="Times New Roman" w:cs="Times New Roman"/>
          <w:b/>
          <w:i/>
          <w:color w:val="000000" w:themeColor="text1"/>
          <w:sz w:val="32"/>
          <w:lang w:val="en-GB"/>
        </w:rPr>
      </w:pPr>
      <w:r w:rsidRPr="00405021">
        <w:rPr>
          <w:rFonts w:ascii="Times New Roman" w:hAnsi="Times New Roman" w:cs="Times New Roman"/>
          <w:b/>
          <w:i/>
          <w:color w:val="000000" w:themeColor="text1"/>
          <w:sz w:val="32"/>
          <w:lang w:val="en-GB"/>
        </w:rPr>
        <w:t>Proposal:</w:t>
      </w:r>
    </w:p>
    <w:p w:rsidR="00405021" w:rsidRPr="00405021" w:rsidRDefault="00405021" w:rsidP="00405021">
      <w:pPr>
        <w:pStyle w:val="Paragrafoelenco"/>
        <w:numPr>
          <w:ilvl w:val="0"/>
          <w:numId w:val="1"/>
        </w:numPr>
        <w:rPr>
          <w:rFonts w:ascii="Times New Roman" w:hAnsi="Times New Roman" w:cs="Times New Roman"/>
          <w:color w:val="000000" w:themeColor="text1"/>
          <w:sz w:val="28"/>
          <w:lang w:val="en-GB"/>
        </w:rPr>
      </w:pPr>
      <w:r w:rsidRPr="00405021">
        <w:rPr>
          <w:rFonts w:ascii="Times New Roman" w:hAnsi="Times New Roman" w:cs="Times New Roman"/>
          <w:color w:val="000000" w:themeColor="text1"/>
          <w:sz w:val="28"/>
          <w:lang w:val="en-GB"/>
        </w:rPr>
        <w:t>reorganize and group all the requirements concerning the RID functions aiming in a single annex (new annex 5)</w:t>
      </w:r>
    </w:p>
    <w:p w:rsidR="00405021" w:rsidRPr="00405021" w:rsidRDefault="00405021" w:rsidP="00405021">
      <w:pPr>
        <w:pStyle w:val="Paragrafoelenco"/>
        <w:numPr>
          <w:ilvl w:val="0"/>
          <w:numId w:val="1"/>
        </w:numPr>
        <w:rPr>
          <w:rFonts w:ascii="Times New Roman" w:hAnsi="Times New Roman" w:cs="Times New Roman"/>
          <w:b/>
          <w:color w:val="FF0000"/>
          <w:sz w:val="28"/>
          <w:lang w:val="en-GB"/>
        </w:rPr>
      </w:pPr>
      <w:r w:rsidRPr="00405021">
        <w:rPr>
          <w:rFonts w:ascii="Times New Roman" w:hAnsi="Times New Roman" w:cs="Times New Roman"/>
          <w:color w:val="000000" w:themeColor="text1"/>
          <w:sz w:val="28"/>
          <w:lang w:val="en-GB"/>
        </w:rPr>
        <w:t xml:space="preserve">reorganize and group all the requirements concerning the Passing Beams and Front Fog Lamps </w:t>
      </w:r>
      <w:r w:rsidRPr="00405021">
        <w:rPr>
          <w:rFonts w:ascii="Times New Roman" w:hAnsi="Times New Roman" w:cs="Times New Roman"/>
          <w:color w:val="000000" w:themeColor="text1"/>
          <w:sz w:val="28"/>
          <w:szCs w:val="28"/>
          <w:lang w:val="en-GB"/>
        </w:rPr>
        <w:t>"cut-off" line</w:t>
      </w:r>
      <w:r w:rsidRPr="00405021">
        <w:rPr>
          <w:rFonts w:ascii="Times New Roman" w:hAnsi="Times New Roman" w:cs="Times New Roman"/>
          <w:color w:val="000000" w:themeColor="text1"/>
          <w:sz w:val="28"/>
          <w:lang w:val="en-GB"/>
        </w:rPr>
        <w:t xml:space="preserve"> </w:t>
      </w:r>
      <w:r w:rsidRPr="00405021">
        <w:rPr>
          <w:rFonts w:ascii="Times New Roman" w:hAnsi="Times New Roman" w:cs="Times New Roman"/>
          <w:color w:val="000000" w:themeColor="text1"/>
          <w:sz w:val="28"/>
          <w:szCs w:val="28"/>
          <w:lang w:val="en-GB"/>
        </w:rPr>
        <w:t>sharpness</w:t>
      </w:r>
      <w:r w:rsidRPr="00405021">
        <w:rPr>
          <w:rFonts w:ascii="Times New Roman" w:hAnsi="Times New Roman" w:cs="Times New Roman"/>
          <w:color w:val="000000" w:themeColor="text1"/>
          <w:sz w:val="28"/>
          <w:lang w:val="en-GB"/>
        </w:rPr>
        <w:t xml:space="preserve"> in a single annex (new annex 6)</w:t>
      </w:r>
    </w:p>
    <w:sectPr w:rsidR="00405021" w:rsidRPr="00405021" w:rsidSect="00295575">
      <w:pgSz w:w="11906" w:h="16838"/>
      <w:pgMar w:top="1134"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07" w:rsidRDefault="00CD1B07" w:rsidP="009F73D9">
      <w:pPr>
        <w:spacing w:after="0" w:line="240" w:lineRule="auto"/>
      </w:pPr>
      <w:r>
        <w:separator/>
      </w:r>
    </w:p>
  </w:endnote>
  <w:endnote w:type="continuationSeparator" w:id="0">
    <w:p w:rsidR="00CD1B07" w:rsidRDefault="00CD1B07" w:rsidP="009F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SGothicM">
    <w:altName w:val="Arial Unicode MS"/>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07" w:rsidRDefault="00CD1B07" w:rsidP="009F73D9">
      <w:pPr>
        <w:spacing w:after="0" w:line="240" w:lineRule="auto"/>
      </w:pPr>
      <w:r>
        <w:separator/>
      </w:r>
    </w:p>
  </w:footnote>
  <w:footnote w:type="continuationSeparator" w:id="0">
    <w:p w:rsidR="00CD1B07" w:rsidRDefault="00CD1B07" w:rsidP="009F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383"/>
    <w:multiLevelType w:val="hybridMultilevel"/>
    <w:tmpl w:val="AD341BB0"/>
    <w:lvl w:ilvl="0" w:tplc="FC222F50">
      <w:start w:val="5"/>
      <w:numFmt w:val="bullet"/>
      <w:lvlText w:val="-"/>
      <w:lvlJc w:val="left"/>
      <w:pPr>
        <w:ind w:left="2484" w:hanging="360"/>
      </w:pPr>
      <w:rPr>
        <w:rFonts w:ascii="Times New Roman" w:eastAsia="Times New Roman" w:hAnsi="Times New Roman" w:cs="Times New Roman"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
    <w:nsid w:val="35040EBA"/>
    <w:multiLevelType w:val="hybridMultilevel"/>
    <w:tmpl w:val="649407D8"/>
    <w:lvl w:ilvl="0" w:tplc="FC222F50">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1B50393"/>
    <w:multiLevelType w:val="hybridMultilevel"/>
    <w:tmpl w:val="9ED24902"/>
    <w:lvl w:ilvl="0" w:tplc="A942C3A8">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2C45"/>
    <w:rsid w:val="000D649F"/>
    <w:rsid w:val="001C2119"/>
    <w:rsid w:val="00247F6D"/>
    <w:rsid w:val="00295575"/>
    <w:rsid w:val="002C7CAE"/>
    <w:rsid w:val="00405021"/>
    <w:rsid w:val="00415C71"/>
    <w:rsid w:val="00436544"/>
    <w:rsid w:val="00452354"/>
    <w:rsid w:val="004A0C65"/>
    <w:rsid w:val="004C289F"/>
    <w:rsid w:val="004E7E7A"/>
    <w:rsid w:val="00522277"/>
    <w:rsid w:val="005B1505"/>
    <w:rsid w:val="00654A6A"/>
    <w:rsid w:val="006645BA"/>
    <w:rsid w:val="00670677"/>
    <w:rsid w:val="0071283F"/>
    <w:rsid w:val="00762C94"/>
    <w:rsid w:val="008F4A45"/>
    <w:rsid w:val="009027D5"/>
    <w:rsid w:val="00922A46"/>
    <w:rsid w:val="00924D4E"/>
    <w:rsid w:val="009828C4"/>
    <w:rsid w:val="009E0D1A"/>
    <w:rsid w:val="009F73D9"/>
    <w:rsid w:val="00B43166"/>
    <w:rsid w:val="00BC2C45"/>
    <w:rsid w:val="00C011BC"/>
    <w:rsid w:val="00C746FF"/>
    <w:rsid w:val="00CD1B07"/>
    <w:rsid w:val="00D032FC"/>
    <w:rsid w:val="00D46D61"/>
    <w:rsid w:val="00DD7A24"/>
    <w:rsid w:val="00E04334"/>
    <w:rsid w:val="00EF0523"/>
    <w:rsid w:val="00FC659F"/>
    <w:rsid w:val="00FD35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F6D"/>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9F73D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9F73D9"/>
    <w:rPr>
      <w:rFonts w:ascii="Times New Roman" w:eastAsia="Times New Roman" w:hAnsi="Times New Roman" w:cs="Times New Roman"/>
      <w:sz w:val="20"/>
      <w:szCs w:val="20"/>
      <w:lang w:val="en-GB"/>
    </w:rPr>
  </w:style>
  <w:style w:type="character" w:styleId="Rimandonotaapidipagina">
    <w:name w:val="footnote reference"/>
    <w:aliases w:val="4_G,(Footnote Reference),-E Fußnotenzeichen,BVI fnr,Footnote symbol,Footnote,Footnote Reference Superscript,SUPERS, BVI fnr"/>
    <w:uiPriority w:val="99"/>
    <w:rsid w:val="009F73D9"/>
    <w:rPr>
      <w:rFonts w:ascii="Times New Roman" w:hAnsi="Times New Roman"/>
      <w:sz w:val="18"/>
      <w:vertAlign w:val="superscript"/>
    </w:rPr>
  </w:style>
  <w:style w:type="paragraph" w:styleId="Testonotaapidipagina">
    <w:name w:val="footnote text"/>
    <w:aliases w:val="5_G,PP,Footnote Text Char,5_G_6"/>
    <w:basedOn w:val="Normale"/>
    <w:link w:val="TestonotaapidipaginaCarattere"/>
    <w:qFormat/>
    <w:rsid w:val="009F73D9"/>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TestonotaapidipaginaCarattere">
    <w:name w:val="Testo nota a piè di pagina Carattere"/>
    <w:aliases w:val="5_G Carattere,PP Carattere,Footnote Text Char Carattere,5_G_6 Carattere"/>
    <w:basedOn w:val="Carpredefinitoparagrafo"/>
    <w:link w:val="Testonotaapidipagina"/>
    <w:rsid w:val="009F73D9"/>
    <w:rPr>
      <w:rFonts w:ascii="Times New Roman" w:eastAsia="Times New Roman" w:hAnsi="Times New Roman" w:cs="Times New Roman"/>
      <w:sz w:val="18"/>
      <w:szCs w:val="20"/>
      <w:lang w:val="en-GB"/>
    </w:rPr>
  </w:style>
  <w:style w:type="paragraph" w:customStyle="1" w:styleId="para">
    <w:name w:val="para"/>
    <w:basedOn w:val="SingleTxtG"/>
    <w:link w:val="paraChar"/>
    <w:qFormat/>
    <w:rsid w:val="009F73D9"/>
    <w:pPr>
      <w:ind w:left="2268" w:hanging="1134"/>
    </w:pPr>
    <w:rPr>
      <w:lang w:val="fr-CH"/>
    </w:rPr>
  </w:style>
  <w:style w:type="character" w:customStyle="1" w:styleId="paraChar">
    <w:name w:val="para Char"/>
    <w:link w:val="para"/>
    <w:rsid w:val="009F73D9"/>
    <w:rPr>
      <w:rFonts w:ascii="Times New Roman" w:eastAsia="Times New Roman" w:hAnsi="Times New Roman" w:cs="Times New Roman"/>
      <w:sz w:val="20"/>
      <w:szCs w:val="20"/>
      <w:lang w:val="fr-CH"/>
    </w:rPr>
  </w:style>
  <w:style w:type="paragraph" w:customStyle="1" w:styleId="HChG">
    <w:name w:val="_ H _Ch_G"/>
    <w:basedOn w:val="Normale"/>
    <w:next w:val="Normale"/>
    <w:link w:val="HChGChar"/>
    <w:qFormat/>
    <w:rsid w:val="0052227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522277"/>
    <w:rPr>
      <w:rFonts w:ascii="Times New Roman" w:eastAsia="Times New Roman" w:hAnsi="Times New Roman" w:cs="Times New Roman"/>
      <w:b/>
      <w:sz w:val="28"/>
      <w:szCs w:val="20"/>
      <w:lang w:val="en-GB"/>
    </w:rPr>
  </w:style>
  <w:style w:type="paragraph" w:customStyle="1" w:styleId="m8374979515411162737gmail-stylesingletxtgleft2cmhanging206cm">
    <w:name w:val="m_8374979515411162737gmail-stylesingletxtgleft2cmhanging206cm"/>
    <w:basedOn w:val="Normale"/>
    <w:rsid w:val="0052227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8374979515411162737gmail-a">
    <w:name w:val="m_8374979515411162737gmail-a"/>
    <w:basedOn w:val="Normale"/>
    <w:rsid w:val="0052227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aragrafoelenco">
    <w:name w:val="List Paragraph"/>
    <w:basedOn w:val="Normale"/>
    <w:uiPriority w:val="34"/>
    <w:qFormat/>
    <w:rsid w:val="000D649F"/>
    <w:pPr>
      <w:ind w:left="720"/>
      <w:contextualSpacing/>
    </w:pPr>
  </w:style>
  <w:style w:type="paragraph" w:customStyle="1" w:styleId="StyleSingleTxtGLeft2cmHanging206cm">
    <w:name w:val="Style _ Single Txt_G + Left:  2 cm Hanging:  2.06 cm"/>
    <w:basedOn w:val="SingleTxtG"/>
    <w:link w:val="StyleSingleTxtGLeft2cmHanging206cmChar"/>
    <w:rsid w:val="00405021"/>
    <w:pPr>
      <w:ind w:left="2268" w:hanging="1134"/>
    </w:pPr>
  </w:style>
  <w:style w:type="character" w:customStyle="1" w:styleId="StyleSingleTxtGLeft2cmHanging206cmChar">
    <w:name w:val="Style _ Single Txt_G + Left:  2 cm Hanging:  2.06 cm Char"/>
    <w:link w:val="StyleSingleTxtGLeft2cmHanging206cm"/>
    <w:rsid w:val="00405021"/>
    <w:rPr>
      <w:rFonts w:ascii="Times New Roman" w:eastAsia="Times New Roman" w:hAnsi="Times New Roman" w:cs="Times New Roman"/>
      <w:sz w:val="20"/>
      <w:szCs w:val="20"/>
      <w:lang w:val="en-GB"/>
    </w:rPr>
  </w:style>
  <w:style w:type="paragraph" w:customStyle="1" w:styleId="a">
    <w:name w:val="(a)"/>
    <w:basedOn w:val="Normale"/>
    <w:qFormat/>
    <w:rsid w:val="00405021"/>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m8374979515411162737gmail-singletxtg">
    <w:name w:val="m_8374979515411162737gmail-singletxtg"/>
    <w:basedOn w:val="Normale"/>
    <w:rsid w:val="00295575"/>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9926">
      <w:bodyDiv w:val="1"/>
      <w:marLeft w:val="0"/>
      <w:marRight w:val="0"/>
      <w:marTop w:val="0"/>
      <w:marBottom w:val="0"/>
      <w:divBdr>
        <w:top w:val="none" w:sz="0" w:space="0" w:color="auto"/>
        <w:left w:val="none" w:sz="0" w:space="0" w:color="auto"/>
        <w:bottom w:val="none" w:sz="0" w:space="0" w:color="auto"/>
        <w:right w:val="none" w:sz="0" w:space="0" w:color="auto"/>
      </w:divBdr>
    </w:div>
    <w:div w:id="1908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764</Words>
  <Characters>4358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Valeo</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bgrigore</dc:creator>
  <cp:lastModifiedBy>Davide Puglisi</cp:lastModifiedBy>
  <cp:revision>6</cp:revision>
  <dcterms:created xsi:type="dcterms:W3CDTF">2018-12-07T08:01:00Z</dcterms:created>
  <dcterms:modified xsi:type="dcterms:W3CDTF">2018-12-07T16:03:00Z</dcterms:modified>
</cp:coreProperties>
</file>