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0F" w:rsidRDefault="00312062">
      <w:pPr>
        <w:widowControl w:val="0"/>
        <w:spacing w:beforeLines="50" w:before="120" w:afterLines="50" w:after="120"/>
        <w:rPr>
          <w:rFonts w:eastAsia="DengXian"/>
          <w:b/>
          <w:kern w:val="2"/>
        </w:rPr>
      </w:pPr>
      <w:r>
        <w:rPr>
          <w:rFonts w:eastAsia="DengXian"/>
          <w:b/>
          <w:kern w:val="2"/>
        </w:rPr>
        <w:t>Framework document on automated/autonomous driving technology</w:t>
      </w:r>
    </w:p>
    <w:p w:rsidR="004E160F" w:rsidRDefault="00312062">
      <w:pPr>
        <w:widowControl w:val="0"/>
        <w:spacing w:beforeLines="50" w:before="120" w:afterLines="50" w:after="120"/>
        <w:rPr>
          <w:rFonts w:eastAsia="DengXian"/>
          <w:bCs/>
          <w:kern w:val="2"/>
        </w:rPr>
      </w:pPr>
      <w:r>
        <w:rPr>
          <w:rFonts w:eastAsia="DengXian"/>
          <w:kern w:val="2"/>
        </w:rPr>
        <w:t>As announced at the 2</w:t>
      </w:r>
      <w:r>
        <w:rPr>
          <w:rFonts w:eastAsia="DengXian"/>
          <w:kern w:val="2"/>
          <w:vertAlign w:val="superscript"/>
        </w:rPr>
        <w:t>nd</w:t>
      </w:r>
      <w:r>
        <w:rPr>
          <w:rFonts w:eastAsia="DengXian"/>
          <w:kern w:val="2"/>
        </w:rPr>
        <w:t xml:space="preserve"> session of GRVA in January, WP.29, at its 176</w:t>
      </w:r>
      <w:r>
        <w:rPr>
          <w:rFonts w:eastAsia="DengXian"/>
          <w:kern w:val="2"/>
          <w:vertAlign w:val="superscript"/>
        </w:rPr>
        <w:t>th</w:t>
      </w:r>
      <w:r>
        <w:rPr>
          <w:rFonts w:eastAsia="DengXian"/>
          <w:kern w:val="2"/>
        </w:rPr>
        <w:t xml:space="preserve"> session in November 2018</w:t>
      </w:r>
      <w:r>
        <w:rPr>
          <w:rFonts w:eastAsia="DengXian"/>
          <w:kern w:val="2"/>
        </w:rPr>
        <w:t xml:space="preserve"> and following</w:t>
      </w:r>
      <w:r w:rsidR="00B070CE">
        <w:rPr>
          <w:rFonts w:eastAsia="DengXian"/>
          <w:kern w:val="2"/>
        </w:rPr>
        <w:t xml:space="preserve"> a</w:t>
      </w:r>
      <w:r>
        <w:rPr>
          <w:rFonts w:eastAsia="DengXian"/>
          <w:kern w:val="2"/>
        </w:rPr>
        <w:t xml:space="preserve"> Web conference</w:t>
      </w:r>
      <w:r>
        <w:rPr>
          <w:rFonts w:eastAsia="DengXian"/>
          <w:kern w:val="2"/>
        </w:rPr>
        <w:t xml:space="preserve">, </w:t>
      </w:r>
      <w:r>
        <w:rPr>
          <w:rFonts w:eastAsia="DengXian"/>
          <w:kern w:val="2"/>
        </w:rPr>
        <w:t>developed</w:t>
      </w:r>
      <w:r>
        <w:rPr>
          <w:rFonts w:eastAsia="DengXian"/>
          <w:kern w:val="2"/>
        </w:rPr>
        <w:t xml:space="preserve"> a list of priority work items associated with its work concerning automated and connected vehicles (</w:t>
      </w:r>
      <w:r>
        <w:rPr>
          <w:rFonts w:eastAsia="DengXian"/>
          <w:bCs/>
          <w:kern w:val="2"/>
        </w:rPr>
        <w:t>ECE/TRANS/WP.29/2019/2).  GRVA is responsible for the majority of the work items listed currently.</w:t>
      </w:r>
    </w:p>
    <w:p w:rsidR="004E160F" w:rsidRDefault="00312062">
      <w:pPr>
        <w:widowControl w:val="0"/>
        <w:spacing w:beforeLines="50" w:before="120" w:afterLines="50" w:after="120"/>
        <w:rPr>
          <w:rFonts w:eastAsia="DengXian"/>
          <w:bCs/>
          <w:kern w:val="2"/>
        </w:rPr>
      </w:pPr>
      <w:r>
        <w:rPr>
          <w:rFonts w:eastAsia="DengXian"/>
          <w:bCs/>
          <w:kern w:val="2"/>
        </w:rPr>
        <w:t>The first item is the development of a Framework documen</w:t>
      </w:r>
      <w:r>
        <w:rPr>
          <w:rFonts w:eastAsia="DengXian"/>
          <w:bCs/>
          <w:kern w:val="2"/>
        </w:rPr>
        <w:t>t which should concentrate on developing principles and guidelines governing automated / autonomous vehicles and especially their safety. The content should include all key elements and evaluation methods.</w:t>
      </w:r>
    </w:p>
    <w:p w:rsidR="004E160F" w:rsidRDefault="00312062">
      <w:pPr>
        <w:widowControl w:val="0"/>
        <w:spacing w:beforeLines="50" w:before="120" w:afterLines="50" w:after="120"/>
        <w:rPr>
          <w:rFonts w:eastAsia="DengXian"/>
          <w:bCs/>
          <w:kern w:val="2"/>
        </w:rPr>
      </w:pPr>
      <w:r>
        <w:rPr>
          <w:rFonts w:eastAsia="DengXian"/>
          <w:bCs/>
          <w:kern w:val="2"/>
        </w:rPr>
        <w:t>At GRVA the Chair recommended that an initial draf</w:t>
      </w:r>
      <w:r>
        <w:rPr>
          <w:rFonts w:eastAsia="DengXian"/>
          <w:bCs/>
          <w:kern w:val="2"/>
        </w:rPr>
        <w:t>t be created by Contracting Parties to the 1958 and 1998 Agreements.  GRVA agreed that this work should be proceed quickly and th</w:t>
      </w:r>
      <w:r>
        <w:rPr>
          <w:rFonts w:eastAsia="DengXian"/>
          <w:bCs/>
          <w:kern w:val="2"/>
        </w:rPr>
        <w:t>at</w:t>
      </w:r>
      <w:r>
        <w:rPr>
          <w:rFonts w:eastAsia="DengXian"/>
          <w:bCs/>
          <w:kern w:val="2"/>
        </w:rPr>
        <w:t xml:space="preserve"> online meetings </w:t>
      </w:r>
      <w:r>
        <w:rPr>
          <w:rFonts w:eastAsia="DengXian" w:hint="eastAsia"/>
          <w:bCs/>
          <w:kern w:val="2"/>
        </w:rPr>
        <w:t xml:space="preserve">should </w:t>
      </w:r>
      <w:r>
        <w:rPr>
          <w:rFonts w:eastAsia="DengXian"/>
          <w:bCs/>
          <w:kern w:val="2"/>
        </w:rPr>
        <w:t xml:space="preserve">be used to create an initial draft that could be presented to WP.29 for </w:t>
      </w:r>
      <w:r>
        <w:rPr>
          <w:rFonts w:eastAsia="DengXian"/>
          <w:bCs/>
          <w:kern w:val="2"/>
        </w:rPr>
        <w:t xml:space="preserve"> </w:t>
      </w:r>
      <w:r>
        <w:rPr>
          <w:rFonts w:eastAsia="SimSun" w:hint="eastAsia"/>
          <w:bCs/>
          <w:kern w:val="2"/>
        </w:rPr>
        <w:t>con</w:t>
      </w:r>
      <w:r>
        <w:rPr>
          <w:rFonts w:eastAsia="SimSun" w:hint="eastAsia"/>
          <w:bCs/>
          <w:kern w:val="2"/>
        </w:rPr>
        <w:t xml:space="preserve">sideration </w:t>
      </w:r>
      <w:r>
        <w:rPr>
          <w:rFonts w:eastAsia="DengXian"/>
          <w:bCs/>
          <w:kern w:val="2"/>
        </w:rPr>
        <w:t>at its 177</w:t>
      </w:r>
      <w:r>
        <w:rPr>
          <w:rFonts w:eastAsia="DengXian"/>
          <w:bCs/>
          <w:kern w:val="2"/>
          <w:vertAlign w:val="superscript"/>
        </w:rPr>
        <w:t>th</w:t>
      </w:r>
      <w:r>
        <w:rPr>
          <w:rFonts w:eastAsia="DengXian"/>
          <w:bCs/>
          <w:kern w:val="2"/>
        </w:rPr>
        <w:t xml:space="preserve"> session in March 2019.  Based on the response from WP.29, GRVA would continue with the development of the </w:t>
      </w:r>
      <w:r>
        <w:rPr>
          <w:rFonts w:eastAsia="DengXian" w:hint="eastAsia"/>
          <w:bCs/>
          <w:kern w:val="2"/>
        </w:rPr>
        <w:t xml:space="preserve">Framework </w:t>
      </w:r>
      <w:r>
        <w:rPr>
          <w:rFonts w:eastAsia="DengXian"/>
          <w:bCs/>
          <w:kern w:val="2"/>
        </w:rPr>
        <w:t>document in order to submit it to WP.29 at their 178</w:t>
      </w:r>
      <w:r>
        <w:rPr>
          <w:rFonts w:eastAsia="DengXian"/>
          <w:bCs/>
          <w:kern w:val="2"/>
          <w:vertAlign w:val="superscript"/>
        </w:rPr>
        <w:t>th</w:t>
      </w:r>
      <w:r>
        <w:rPr>
          <w:rFonts w:eastAsia="DengXian"/>
          <w:bCs/>
          <w:kern w:val="2"/>
        </w:rPr>
        <w:t xml:space="preserve"> session in June 2019.</w:t>
      </w:r>
    </w:p>
    <w:p w:rsidR="004E160F" w:rsidRDefault="00312062">
      <w:pPr>
        <w:widowControl w:val="0"/>
        <w:spacing w:beforeLines="50" w:before="120" w:afterLines="50" w:after="120"/>
        <w:rPr>
          <w:rFonts w:eastAsia="DengXian"/>
          <w:bCs/>
          <w:kern w:val="2"/>
        </w:rPr>
      </w:pPr>
      <w:r>
        <w:rPr>
          <w:rFonts w:eastAsia="DengXian"/>
          <w:bCs/>
          <w:kern w:val="2"/>
        </w:rPr>
        <w:t>As announced by the Secretariat, the fi</w:t>
      </w:r>
      <w:r>
        <w:rPr>
          <w:rFonts w:eastAsia="DengXian"/>
          <w:bCs/>
          <w:kern w:val="2"/>
        </w:rPr>
        <w:t>rst WebEx meeting will be on Friday February 22nd and will:</w:t>
      </w:r>
    </w:p>
    <w:p w:rsidR="004E160F" w:rsidRDefault="00312062">
      <w:pPr>
        <w:pStyle w:val="ListParagraph1"/>
        <w:widowControl w:val="0"/>
        <w:numPr>
          <w:ilvl w:val="0"/>
          <w:numId w:val="1"/>
        </w:numPr>
        <w:spacing w:beforeLines="50" w:before="120" w:afterLines="50" w:after="120"/>
        <w:rPr>
          <w:rFonts w:eastAsia="DengXian"/>
          <w:bCs/>
          <w:kern w:val="2"/>
        </w:rPr>
      </w:pPr>
      <w:r>
        <w:rPr>
          <w:rFonts w:eastAsia="DengXian"/>
          <w:bCs/>
          <w:kern w:val="2"/>
        </w:rPr>
        <w:t>Agree a common understanding of the purpose of the Framework Document,</w:t>
      </w:r>
    </w:p>
    <w:p w:rsidR="004E160F" w:rsidRDefault="00312062">
      <w:pPr>
        <w:pStyle w:val="ListParagraph1"/>
        <w:widowControl w:val="0"/>
        <w:numPr>
          <w:ilvl w:val="0"/>
          <w:numId w:val="1"/>
        </w:numPr>
        <w:spacing w:beforeLines="50" w:before="120" w:afterLines="50" w:after="120"/>
        <w:rPr>
          <w:rFonts w:eastAsia="DengXian"/>
          <w:bCs/>
          <w:kern w:val="2"/>
        </w:rPr>
      </w:pPr>
      <w:r>
        <w:rPr>
          <w:rFonts w:eastAsia="DengXian"/>
          <w:bCs/>
          <w:kern w:val="2"/>
        </w:rPr>
        <w:t>Review GRVA-02-43 and, time permitting, GRVA-02-17 and GRVA-02-44 together with any further contributions from Contracting Pa</w:t>
      </w:r>
      <w:r>
        <w:rPr>
          <w:rFonts w:eastAsia="DengXian"/>
          <w:bCs/>
          <w:kern w:val="2"/>
        </w:rPr>
        <w:t xml:space="preserve">rties. </w:t>
      </w:r>
    </w:p>
    <w:p w:rsidR="004E160F" w:rsidRDefault="00312062">
      <w:pPr>
        <w:pStyle w:val="ListParagraph1"/>
        <w:widowControl w:val="0"/>
        <w:numPr>
          <w:ilvl w:val="0"/>
          <w:numId w:val="1"/>
        </w:numPr>
        <w:spacing w:beforeLines="50" w:before="120" w:afterLines="50" w:after="120"/>
        <w:rPr>
          <w:rFonts w:eastAsia="DengXian"/>
          <w:bCs/>
          <w:kern w:val="2"/>
        </w:rPr>
      </w:pPr>
      <w:r>
        <w:rPr>
          <w:rFonts w:eastAsia="DengXian"/>
          <w:bCs/>
          <w:kern w:val="2"/>
        </w:rPr>
        <w:t xml:space="preserve">Agree a schedule of items to be discussed in each WebEx meeting until the March session of WP29 </w:t>
      </w:r>
    </w:p>
    <w:p w:rsidR="004E160F" w:rsidRDefault="00312062">
      <w:pPr>
        <w:pStyle w:val="ListParagraph1"/>
        <w:widowControl w:val="0"/>
        <w:numPr>
          <w:ilvl w:val="0"/>
          <w:numId w:val="1"/>
        </w:numPr>
        <w:spacing w:beforeLines="50" w:before="120" w:afterLines="50" w:after="120"/>
        <w:rPr>
          <w:rFonts w:eastAsia="DengXian"/>
          <w:bCs/>
          <w:kern w:val="2"/>
        </w:rPr>
      </w:pPr>
      <w:r>
        <w:rPr>
          <w:rFonts w:eastAsia="DengXian"/>
          <w:bCs/>
          <w:kern w:val="2"/>
        </w:rPr>
        <w:t>Agree actions to be completed before the next WebEx meeting.</w:t>
      </w:r>
    </w:p>
    <w:p w:rsidR="004E160F" w:rsidRDefault="00312062">
      <w:pPr>
        <w:widowControl w:val="0"/>
        <w:spacing w:beforeLines="50" w:before="120" w:afterLines="50" w:after="120"/>
        <w:rPr>
          <w:rFonts w:eastAsia="DengXian"/>
          <w:bCs/>
          <w:kern w:val="2"/>
        </w:rPr>
      </w:pPr>
      <w:r>
        <w:rPr>
          <w:rFonts w:eastAsia="DengXian"/>
          <w:bCs/>
          <w:kern w:val="2"/>
        </w:rPr>
        <w:t xml:space="preserve">The following text, developed jointly by the Chair and the co-Chairs of GRVA, </w:t>
      </w:r>
      <w:r>
        <w:rPr>
          <w:rFonts w:eastAsia="DengXian"/>
          <w:bCs/>
          <w:kern w:val="2"/>
        </w:rPr>
        <w:t>proposes</w:t>
      </w:r>
      <w:r>
        <w:rPr>
          <w:rFonts w:eastAsia="DengXian"/>
          <w:bCs/>
          <w:kern w:val="2"/>
        </w:rPr>
        <w:t xml:space="preserve"> </w:t>
      </w:r>
      <w:r>
        <w:rPr>
          <w:rFonts w:eastAsia="DengXian" w:hint="eastAsia"/>
          <w:bCs/>
          <w:kern w:val="2"/>
        </w:rPr>
        <w:t xml:space="preserve">the </w:t>
      </w:r>
      <w:r>
        <w:rPr>
          <w:rFonts w:eastAsia="DengXian"/>
          <w:bCs/>
          <w:kern w:val="2"/>
        </w:rPr>
        <w:t>content</w:t>
      </w:r>
      <w:r>
        <w:rPr>
          <w:rFonts w:eastAsia="DengXian"/>
          <w:bCs/>
          <w:kern w:val="2"/>
        </w:rPr>
        <w:t xml:space="preserve"> for the “</w:t>
      </w:r>
      <w:r w:rsidR="00B070CE">
        <w:rPr>
          <w:rFonts w:eastAsia="DengXian"/>
          <w:bCs/>
          <w:kern w:val="2"/>
        </w:rPr>
        <w:t>P</w:t>
      </w:r>
      <w:r w:rsidR="00B070CE">
        <w:rPr>
          <w:rFonts w:eastAsia="DengXian"/>
          <w:bCs/>
          <w:kern w:val="2"/>
        </w:rPr>
        <w:t>urpose</w:t>
      </w:r>
      <w:r>
        <w:rPr>
          <w:rFonts w:eastAsia="DengXian"/>
          <w:bCs/>
          <w:kern w:val="2"/>
        </w:rPr>
        <w:t>”</w:t>
      </w:r>
      <w:r>
        <w:rPr>
          <w:rFonts w:eastAsia="DengXian"/>
          <w:bCs/>
          <w:kern w:val="2"/>
        </w:rPr>
        <w:t xml:space="preserve"> of the Framework</w:t>
      </w:r>
      <w:r>
        <w:rPr>
          <w:rFonts w:eastAsia="DengXian"/>
          <w:bCs/>
          <w:kern w:val="2"/>
        </w:rPr>
        <w:t xml:space="preserve"> document and </w:t>
      </w:r>
      <w:r>
        <w:rPr>
          <w:rFonts w:eastAsia="DengXian"/>
          <w:bCs/>
          <w:kern w:val="2"/>
        </w:rPr>
        <w:t xml:space="preserve">describes </w:t>
      </w:r>
      <w:r w:rsidR="00B070CE">
        <w:rPr>
          <w:rFonts w:eastAsia="DengXian"/>
          <w:bCs/>
          <w:kern w:val="2"/>
        </w:rPr>
        <w:t>a</w:t>
      </w:r>
      <w:r w:rsidR="00B070CE">
        <w:rPr>
          <w:rFonts w:eastAsia="DengXian"/>
          <w:bCs/>
          <w:kern w:val="2"/>
        </w:rPr>
        <w:t xml:space="preserve"> </w:t>
      </w:r>
      <w:r>
        <w:rPr>
          <w:rFonts w:eastAsia="DengXian"/>
          <w:bCs/>
          <w:kern w:val="2"/>
        </w:rPr>
        <w:t xml:space="preserve">proposed structure </w:t>
      </w:r>
      <w:r w:rsidR="00B070CE">
        <w:rPr>
          <w:rFonts w:eastAsia="DengXian"/>
          <w:bCs/>
          <w:kern w:val="2"/>
        </w:rPr>
        <w:t>for</w:t>
      </w:r>
      <w:r w:rsidR="00B070CE">
        <w:rPr>
          <w:rFonts w:eastAsia="DengXian"/>
          <w:bCs/>
          <w:kern w:val="2"/>
        </w:rPr>
        <w:t xml:space="preserve"> </w:t>
      </w:r>
      <w:r>
        <w:rPr>
          <w:rFonts w:eastAsia="DengXian"/>
          <w:bCs/>
          <w:kern w:val="2"/>
        </w:rPr>
        <w:t xml:space="preserve">the </w:t>
      </w:r>
      <w:r>
        <w:rPr>
          <w:rFonts w:eastAsia="DengXian"/>
          <w:bCs/>
          <w:kern w:val="2"/>
        </w:rPr>
        <w:t>d</w:t>
      </w:r>
      <w:r>
        <w:rPr>
          <w:rFonts w:eastAsia="DengXian"/>
          <w:bCs/>
          <w:kern w:val="2"/>
        </w:rPr>
        <w:t>ocument</w:t>
      </w:r>
      <w:r>
        <w:rPr>
          <w:rFonts w:eastAsia="DengXian"/>
          <w:bCs/>
          <w:kern w:val="2"/>
        </w:rPr>
        <w:t>.</w:t>
      </w:r>
    </w:p>
    <w:p w:rsidR="004E160F" w:rsidRDefault="00312062">
      <w:pPr>
        <w:widowControl w:val="0"/>
        <w:spacing w:beforeLines="50" w:before="120" w:afterLines="50" w:after="120"/>
        <w:jc w:val="both"/>
        <w:rPr>
          <w:rFonts w:eastAsia="DengXian"/>
          <w:b/>
          <w:kern w:val="2"/>
        </w:rPr>
      </w:pPr>
      <w:r>
        <w:rPr>
          <w:rFonts w:eastAsia="DengXian"/>
          <w:b/>
          <w:kern w:val="2"/>
        </w:rPr>
        <w:t>Purpose (Proposal)</w:t>
      </w:r>
    </w:p>
    <w:p w:rsidR="004E160F" w:rsidRDefault="00312062">
      <w:pPr>
        <w:widowControl w:val="0"/>
        <w:spacing w:beforeLines="50" w:before="120" w:afterLines="50" w:after="120"/>
        <w:jc w:val="both"/>
        <w:rPr>
          <w:rFonts w:eastAsia="DengXian"/>
          <w:kern w:val="2"/>
        </w:rPr>
      </w:pPr>
      <w:r>
        <w:rPr>
          <w:rFonts w:eastAsia="DengXian"/>
          <w:kern w:val="2"/>
        </w:rPr>
        <w:t>The purpose of the framework document is to:</w:t>
      </w:r>
    </w:p>
    <w:p w:rsidR="004E160F" w:rsidRDefault="00312062">
      <w:pPr>
        <w:widowControl w:val="0"/>
        <w:spacing w:beforeLines="50" w:before="120" w:afterLines="50" w:after="120"/>
        <w:ind w:left="720" w:hanging="720"/>
        <w:jc w:val="both"/>
        <w:rPr>
          <w:rFonts w:eastAsia="DengXian"/>
          <w:kern w:val="2"/>
        </w:rPr>
      </w:pPr>
      <w:r>
        <w:rPr>
          <w:rFonts w:eastAsia="DengXian"/>
          <w:kern w:val="2"/>
        </w:rPr>
        <w:t>a)</w:t>
      </w:r>
      <w:r>
        <w:rPr>
          <w:rFonts w:eastAsia="DengXian"/>
          <w:kern w:val="2"/>
        </w:rPr>
        <w:tab/>
      </w:r>
      <w:r>
        <w:rPr>
          <w:rFonts w:eastAsia="DengXian"/>
          <w:kern w:val="2"/>
        </w:rPr>
        <w:t>provide a picture of the automated/autonomous</w:t>
      </w:r>
      <w:r>
        <w:rPr>
          <w:rFonts w:eastAsia="DengXian"/>
          <w:kern w:val="2"/>
        </w:rPr>
        <w:t xml:space="preserve"> driving activities to be dealt under WP.29 and to provide a generic guide for future Resolutions/GTRs/UN Regulations made under the 1958 and</w:t>
      </w:r>
      <w:r>
        <w:rPr>
          <w:rFonts w:eastAsia="DengXian"/>
          <w:kern w:val="2"/>
        </w:rPr>
        <w:t>/or</w:t>
      </w:r>
      <w:r>
        <w:rPr>
          <w:rFonts w:eastAsia="DengXian"/>
          <w:kern w:val="2"/>
        </w:rPr>
        <w:t xml:space="preserve"> 1998 Agreements,</w:t>
      </w:r>
    </w:p>
    <w:p w:rsidR="004E160F" w:rsidRDefault="00F76A9E">
      <w:pPr>
        <w:widowControl w:val="0"/>
        <w:spacing w:beforeLines="50" w:before="120" w:afterLines="50" w:after="120"/>
        <w:ind w:left="720" w:hanging="720"/>
        <w:jc w:val="both"/>
        <w:rPr>
          <w:rFonts w:eastAsia="DengXian"/>
          <w:kern w:val="2"/>
        </w:rPr>
      </w:pPr>
      <w:r>
        <w:rPr>
          <w:rFonts w:eastAsia="DengXian"/>
          <w:kern w:val="2"/>
        </w:rPr>
        <w:t>b</w:t>
      </w:r>
      <w:r w:rsidR="00312062">
        <w:rPr>
          <w:rFonts w:eastAsia="DengXian"/>
          <w:kern w:val="2"/>
        </w:rPr>
        <w:t>)</w:t>
      </w:r>
      <w:r w:rsidR="00312062">
        <w:rPr>
          <w:rFonts w:eastAsia="DengXian"/>
          <w:kern w:val="2"/>
        </w:rPr>
        <w:tab/>
        <w:t>provide the list of priority topics, the deliverables that are expected and the timeline f</w:t>
      </w:r>
      <w:r w:rsidR="00312062">
        <w:rPr>
          <w:rFonts w:eastAsia="DengXian"/>
          <w:kern w:val="2"/>
        </w:rPr>
        <w:t xml:space="preserve">or their delivery, and </w:t>
      </w:r>
    </w:p>
    <w:p w:rsidR="004E160F" w:rsidRDefault="00F76A9E">
      <w:pPr>
        <w:widowControl w:val="0"/>
        <w:spacing w:beforeLines="50" w:before="120" w:afterLines="50" w:after="120"/>
        <w:ind w:left="720" w:hanging="720"/>
        <w:jc w:val="both"/>
      </w:pPr>
      <w:r>
        <w:rPr>
          <w:rFonts w:eastAsia="DengXian"/>
          <w:kern w:val="2"/>
        </w:rPr>
        <w:t>c</w:t>
      </w:r>
      <w:r w:rsidR="00312062">
        <w:rPr>
          <w:rFonts w:eastAsia="DengXian"/>
          <w:kern w:val="2"/>
        </w:rPr>
        <w:t>)</w:t>
      </w:r>
      <w:r w:rsidR="00312062">
        <w:rPr>
          <w:rFonts w:eastAsia="DengXian"/>
          <w:kern w:val="2"/>
        </w:rPr>
        <w:tab/>
        <w:t>identify how the work is organised among the subsidiary Working Parties of WP.29 to deliver these priorities.</w:t>
      </w:r>
    </w:p>
    <w:p w:rsidR="00F76A9E" w:rsidRDefault="00F76A9E">
      <w:pPr>
        <w:spacing w:after="160" w:line="259" w:lineRule="auto"/>
        <w:rPr>
          <w:rFonts w:eastAsia="DengXian"/>
          <w:b/>
          <w:kern w:val="2"/>
        </w:rPr>
      </w:pPr>
      <w:r>
        <w:rPr>
          <w:rFonts w:eastAsia="DengXian"/>
          <w:b/>
          <w:kern w:val="2"/>
        </w:rPr>
        <w:br w:type="page"/>
      </w:r>
      <w:bookmarkStart w:id="0" w:name="_GoBack"/>
      <w:bookmarkEnd w:id="0"/>
    </w:p>
    <w:p w:rsidR="004E160F" w:rsidRDefault="00312062">
      <w:pPr>
        <w:widowControl w:val="0"/>
        <w:spacing w:beforeLines="50" w:before="120" w:afterLines="50" w:after="120"/>
        <w:ind w:left="720" w:hanging="720"/>
        <w:jc w:val="both"/>
        <w:rPr>
          <w:rFonts w:eastAsia="DengXian"/>
          <w:b/>
          <w:kern w:val="2"/>
        </w:rPr>
      </w:pPr>
      <w:r>
        <w:rPr>
          <w:rFonts w:eastAsia="DengXian"/>
          <w:b/>
          <w:kern w:val="2"/>
        </w:rPr>
        <w:lastRenderedPageBreak/>
        <w:t>Structure</w:t>
      </w:r>
      <w:r>
        <w:rPr>
          <w:rFonts w:eastAsia="DengXian"/>
          <w:b/>
          <w:kern w:val="2"/>
        </w:rPr>
        <w:t xml:space="preserve"> (Subject to change </w:t>
      </w:r>
      <w:r>
        <w:rPr>
          <w:rFonts w:eastAsia="DengXian"/>
          <w:b/>
          <w:kern w:val="2"/>
        </w:rPr>
        <w:t>in response to the consideration of the “Purpose”)</w:t>
      </w:r>
    </w:p>
    <w:p w:rsidR="004E160F" w:rsidRDefault="00312062">
      <w:pPr>
        <w:widowControl w:val="0"/>
        <w:spacing w:beforeLines="50" w:before="120" w:afterLines="50" w:after="120"/>
        <w:rPr>
          <w:rFonts w:eastAsia="DengXian"/>
          <w:bCs/>
          <w:kern w:val="2"/>
        </w:rPr>
      </w:pPr>
      <w:r>
        <w:rPr>
          <w:rFonts w:eastAsia="DengXian"/>
          <w:bCs/>
          <w:kern w:val="2"/>
        </w:rPr>
        <w:t xml:space="preserve">It is proposed that the structure of </w:t>
      </w:r>
      <w:r>
        <w:rPr>
          <w:rFonts w:eastAsia="DengXian"/>
          <w:bCs/>
          <w:kern w:val="2"/>
        </w:rPr>
        <w:t>the Framework Document should be as follows:</w:t>
      </w:r>
    </w:p>
    <w:p w:rsidR="004E160F" w:rsidRDefault="00312062">
      <w:pPr>
        <w:widowControl w:val="0"/>
        <w:numPr>
          <w:ilvl w:val="0"/>
          <w:numId w:val="2"/>
        </w:numPr>
        <w:spacing w:beforeLines="50" w:before="120" w:afterLines="50" w:after="120"/>
        <w:rPr>
          <w:rFonts w:eastAsia="DengXian"/>
          <w:bCs/>
          <w:kern w:val="2"/>
        </w:rPr>
      </w:pPr>
      <w:r>
        <w:rPr>
          <w:rFonts w:eastAsia="DengXian"/>
          <w:bCs/>
          <w:kern w:val="2"/>
        </w:rPr>
        <w:t>Purpose</w:t>
      </w:r>
    </w:p>
    <w:p w:rsidR="004E160F" w:rsidRDefault="00312062">
      <w:pPr>
        <w:widowControl w:val="0"/>
        <w:numPr>
          <w:ilvl w:val="0"/>
          <w:numId w:val="2"/>
        </w:numPr>
        <w:spacing w:beforeLines="50" w:before="120" w:afterLines="50" w:after="120"/>
        <w:rPr>
          <w:rFonts w:eastAsia="DengXian"/>
          <w:bCs/>
          <w:kern w:val="2"/>
        </w:rPr>
      </w:pPr>
      <w:r>
        <w:rPr>
          <w:rFonts w:eastAsia="DengXian"/>
          <w:bCs/>
          <w:kern w:val="2"/>
        </w:rPr>
        <w:t>Collation and consolidation of e</w:t>
      </w:r>
      <w:r>
        <w:rPr>
          <w:rFonts w:eastAsia="DengXian"/>
          <w:bCs/>
          <w:kern w:val="2"/>
        </w:rPr>
        <w:t xml:space="preserve">xisting </w:t>
      </w:r>
      <w:r>
        <w:rPr>
          <w:rFonts w:eastAsia="DengXian"/>
          <w:bCs/>
          <w:kern w:val="2"/>
        </w:rPr>
        <w:t xml:space="preserve">national and regional </w:t>
      </w:r>
      <w:r>
        <w:rPr>
          <w:rFonts w:eastAsia="DengXian"/>
          <w:bCs/>
          <w:kern w:val="2"/>
        </w:rPr>
        <w:t>guidelines</w:t>
      </w:r>
      <w:r>
        <w:rPr>
          <w:rFonts w:eastAsia="DengXian"/>
          <w:bCs/>
          <w:kern w:val="2"/>
        </w:rPr>
        <w:t xml:space="preserve"> </w:t>
      </w:r>
    </w:p>
    <w:p w:rsidR="004E160F" w:rsidRDefault="00312062">
      <w:pPr>
        <w:widowControl w:val="0"/>
        <w:numPr>
          <w:ilvl w:val="0"/>
          <w:numId w:val="2"/>
        </w:numPr>
        <w:spacing w:beforeLines="50" w:before="120" w:afterLines="50" w:after="120"/>
        <w:rPr>
          <w:rFonts w:eastAsia="DengXian"/>
          <w:bCs/>
          <w:kern w:val="2"/>
        </w:rPr>
      </w:pPr>
      <w:r>
        <w:rPr>
          <w:rFonts w:eastAsia="MS Mincho"/>
          <w:bCs/>
          <w:kern w:val="2"/>
          <w:lang w:eastAsia="ja-JP"/>
        </w:rPr>
        <w:t>Principles</w:t>
      </w:r>
    </w:p>
    <w:p w:rsidR="004E160F" w:rsidRDefault="00312062">
      <w:pPr>
        <w:widowControl w:val="0"/>
        <w:numPr>
          <w:ilvl w:val="0"/>
          <w:numId w:val="2"/>
        </w:numPr>
        <w:spacing w:beforeLines="50" w:before="120" w:afterLines="50" w:after="120"/>
        <w:rPr>
          <w:rFonts w:eastAsia="DengXian"/>
          <w:bCs/>
          <w:kern w:val="2"/>
        </w:rPr>
      </w:pPr>
      <w:r>
        <w:rPr>
          <w:rFonts w:eastAsia="DengXian"/>
          <w:bCs/>
          <w:kern w:val="2"/>
        </w:rPr>
        <w:t xml:space="preserve">Priority </w:t>
      </w:r>
      <w:r>
        <w:rPr>
          <w:rFonts w:eastAsia="DengXian"/>
          <w:bCs/>
          <w:kern w:val="2"/>
        </w:rPr>
        <w:t>work items</w:t>
      </w:r>
    </w:p>
    <w:p w:rsidR="004E160F" w:rsidRDefault="00312062">
      <w:pPr>
        <w:widowControl w:val="0"/>
        <w:numPr>
          <w:ilvl w:val="0"/>
          <w:numId w:val="2"/>
        </w:numPr>
        <w:spacing w:beforeLines="50" w:before="120" w:afterLines="50" w:after="120"/>
        <w:rPr>
          <w:rFonts w:eastAsia="DengXian"/>
          <w:bCs/>
          <w:kern w:val="2"/>
        </w:rPr>
      </w:pPr>
      <w:r>
        <w:rPr>
          <w:rFonts w:eastAsia="DengXian"/>
          <w:bCs/>
          <w:kern w:val="2"/>
        </w:rPr>
        <w:t>Expected deliverables and timeline</w:t>
      </w:r>
    </w:p>
    <w:p w:rsidR="004E160F" w:rsidRDefault="00312062">
      <w:pPr>
        <w:widowControl w:val="0"/>
        <w:numPr>
          <w:ilvl w:val="0"/>
          <w:numId w:val="2"/>
        </w:numPr>
        <w:spacing w:beforeLines="50" w:before="120" w:afterLines="50" w:after="120"/>
        <w:rPr>
          <w:rFonts w:eastAsia="DengXian"/>
          <w:bCs/>
          <w:kern w:val="2"/>
        </w:rPr>
      </w:pPr>
      <w:r>
        <w:rPr>
          <w:rFonts w:eastAsia="DengXian"/>
          <w:bCs/>
          <w:kern w:val="2"/>
        </w:rPr>
        <w:t xml:space="preserve">Distribution of </w:t>
      </w:r>
      <w:r>
        <w:rPr>
          <w:rFonts w:eastAsia="DengXian"/>
          <w:bCs/>
          <w:kern w:val="2"/>
        </w:rPr>
        <w:t xml:space="preserve">priority </w:t>
      </w:r>
      <w:r>
        <w:rPr>
          <w:rFonts w:eastAsia="DengXian"/>
          <w:bCs/>
          <w:kern w:val="2"/>
        </w:rPr>
        <w:t>work</w:t>
      </w:r>
      <w:r>
        <w:rPr>
          <w:rFonts w:eastAsia="DengXian"/>
          <w:bCs/>
          <w:kern w:val="2"/>
        </w:rPr>
        <w:t xml:space="preserve"> items to individual  subsidiary Working Parties by WP.29</w:t>
      </w:r>
    </w:p>
    <w:p w:rsidR="004E160F" w:rsidRDefault="00312062">
      <w:pPr>
        <w:widowControl w:val="0"/>
        <w:numPr>
          <w:ilvl w:val="0"/>
          <w:numId w:val="2"/>
        </w:numPr>
        <w:spacing w:beforeLines="50" w:before="120" w:afterLines="50" w:after="120"/>
        <w:rPr>
          <w:rFonts w:eastAsia="DengXian"/>
          <w:bCs/>
          <w:kern w:val="2"/>
        </w:rPr>
      </w:pPr>
      <w:r>
        <w:rPr>
          <w:rFonts w:eastAsia="DengXian" w:hint="eastAsia"/>
          <w:bCs/>
          <w:kern w:val="2"/>
        </w:rPr>
        <w:t xml:space="preserve">Task allocation of work items </w:t>
      </w:r>
      <w:r>
        <w:rPr>
          <w:rFonts w:eastAsia="DengXian" w:hint="eastAsia"/>
          <w:bCs/>
          <w:kern w:val="2"/>
        </w:rPr>
        <w:t xml:space="preserve">to IWGs </w:t>
      </w:r>
    </w:p>
    <w:p w:rsidR="004E160F" w:rsidRDefault="00312062">
      <w:pPr>
        <w:widowControl w:val="0"/>
        <w:numPr>
          <w:ilvl w:val="0"/>
          <w:numId w:val="2"/>
        </w:numPr>
        <w:spacing w:beforeLines="50" w:before="120" w:afterLines="50" w:after="120"/>
        <w:rPr>
          <w:rFonts w:eastAsia="DengXian"/>
          <w:bCs/>
          <w:kern w:val="2"/>
        </w:rPr>
      </w:pPr>
      <w:r>
        <w:rPr>
          <w:rFonts w:eastAsia="DengXian"/>
          <w:bCs/>
          <w:kern w:val="2"/>
        </w:rPr>
        <w:t>Progress review points by WP.29</w:t>
      </w:r>
    </w:p>
    <w:p w:rsidR="004E160F" w:rsidRDefault="004E160F">
      <w:pPr>
        <w:widowControl w:val="0"/>
        <w:spacing w:beforeLines="50" w:before="120" w:afterLines="50" w:after="120"/>
        <w:ind w:left="720" w:hanging="720"/>
        <w:jc w:val="both"/>
      </w:pPr>
    </w:p>
    <w:sectPr w:rsidR="004E160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062" w:rsidRDefault="00312062">
      <w:r>
        <w:separator/>
      </w:r>
    </w:p>
  </w:endnote>
  <w:endnote w:type="continuationSeparator" w:id="0">
    <w:p w:rsidR="00312062" w:rsidRDefault="0031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062" w:rsidRDefault="00312062">
      <w:r>
        <w:separator/>
      </w:r>
    </w:p>
  </w:footnote>
  <w:footnote w:type="continuationSeparator" w:id="0">
    <w:p w:rsidR="00312062" w:rsidRDefault="00312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0F" w:rsidRDefault="00312062">
    <w:pPr>
      <w:pStyle w:val="Header"/>
      <w:rPr>
        <w:b/>
      </w:rPr>
    </w:pPr>
    <w:r>
      <w:rPr>
        <w:b/>
      </w:rPr>
      <w:t xml:space="preserve">Discussion paper: </w:t>
    </w:r>
    <w:r>
      <w:rPr>
        <w:b/>
      </w:rPr>
      <w:t xml:space="preserve">Provided by the Chair and co-Chairs of GRVA. </w:t>
    </w:r>
  </w:p>
  <w:p w:rsidR="004E160F" w:rsidRDefault="004E1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1508A"/>
    <w:multiLevelType w:val="multilevel"/>
    <w:tmpl w:val="59E1508A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A9032F6"/>
    <w:multiLevelType w:val="multilevel"/>
    <w:tmpl w:val="7A9032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74"/>
    <w:rsid w:val="000965FF"/>
    <w:rsid w:val="00181E10"/>
    <w:rsid w:val="00267D4A"/>
    <w:rsid w:val="00312062"/>
    <w:rsid w:val="004A119F"/>
    <w:rsid w:val="004E160F"/>
    <w:rsid w:val="00545C57"/>
    <w:rsid w:val="006127D3"/>
    <w:rsid w:val="006E10DA"/>
    <w:rsid w:val="007616FA"/>
    <w:rsid w:val="00A62D97"/>
    <w:rsid w:val="00A6701D"/>
    <w:rsid w:val="00B070CE"/>
    <w:rsid w:val="00B355F1"/>
    <w:rsid w:val="00B51D53"/>
    <w:rsid w:val="00C61C42"/>
    <w:rsid w:val="00CB4CC1"/>
    <w:rsid w:val="00CF1101"/>
    <w:rsid w:val="00D05848"/>
    <w:rsid w:val="00DA4266"/>
    <w:rsid w:val="00DA521A"/>
    <w:rsid w:val="00E012D2"/>
    <w:rsid w:val="00E15AAB"/>
    <w:rsid w:val="00E76367"/>
    <w:rsid w:val="00F11674"/>
    <w:rsid w:val="00F7524D"/>
    <w:rsid w:val="00F76A9E"/>
    <w:rsid w:val="0D583AF2"/>
    <w:rsid w:val="2CCE420F"/>
    <w:rsid w:val="375A2765"/>
    <w:rsid w:val="4E6E0739"/>
    <w:rsid w:val="57E2212C"/>
    <w:rsid w:val="68685BD7"/>
    <w:rsid w:val="742C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70AB6265-91D7-4CE2-A61A-019D3050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pPr>
      <w:widowControl/>
      <w:jc w:val="left"/>
    </w:pPr>
    <w:rPr>
      <w:rFonts w:ascii="Times New Roman" w:eastAsia="Calibri" w:hAnsi="Times New Roman"/>
      <w:b/>
      <w:bCs/>
      <w:kern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pPr>
      <w:widowControl w:val="0"/>
      <w:jc w:val="both"/>
    </w:pPr>
    <w:rPr>
      <w:rFonts w:ascii="Calibri" w:eastAsia="MS Mincho" w:hAnsi="Calibri"/>
      <w:kern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MS Mincho"/>
      <w:kern w:val="2"/>
      <w:sz w:val="20"/>
      <w:szCs w:val="20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Times New Roman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Calibri" w:hAnsi="Times New Roman" w:cs="Times New Roman"/>
      <w:b/>
      <w:bCs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Framework document on automated/autonomous driving technology</vt:lpstr>
    </vt:vector>
  </TitlesOfParts>
  <Company>DfT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document on automated/autonomous driving technology</dc:title>
  <dc:creator>Bernie Frost</dc:creator>
  <cp:lastModifiedBy>Bernie Frost</cp:lastModifiedBy>
  <cp:revision>2</cp:revision>
  <dcterms:created xsi:type="dcterms:W3CDTF">2019-02-20T15:27:00Z</dcterms:created>
  <dcterms:modified xsi:type="dcterms:W3CDTF">2019-02-20T15:27:00Z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