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AD8F0" w14:textId="77777777" w:rsidR="0089552F" w:rsidRDefault="0089552F" w:rsidP="0089552F">
      <w:pPr>
        <w:ind w:left="284" w:right="827"/>
        <w:rPr>
          <w:rFonts w:ascii="Arial" w:hAnsi="Arial" w:cs="Arial"/>
          <w:sz w:val="20"/>
          <w:szCs w:val="20"/>
          <w:lang w:val="en-US"/>
        </w:rPr>
      </w:pPr>
      <w:r w:rsidRPr="0025102B">
        <w:rPr>
          <w:rFonts w:ascii="Arial" w:eastAsiaTheme="minorEastAsia" w:hAnsi="Arial" w:cs="Arial"/>
          <w:b/>
          <w:bCs/>
          <w:noProof/>
          <w:color w:val="000000" w:themeColor="text1"/>
          <w:kern w:val="24"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163BC9" wp14:editId="289C330C">
                <wp:simplePos x="0" y="0"/>
                <wp:positionH relativeFrom="column">
                  <wp:posOffset>4835525</wp:posOffset>
                </wp:positionH>
                <wp:positionV relativeFrom="paragraph">
                  <wp:posOffset>0</wp:posOffset>
                </wp:positionV>
                <wp:extent cx="1187450" cy="409575"/>
                <wp:effectExtent l="0" t="0" r="0" b="952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ECA71" w14:textId="59761BD1" w:rsidR="0089552F" w:rsidRPr="0025102B" w:rsidRDefault="0089552F" w:rsidP="0089552F">
                            <w:pPr>
                              <w:jc w:val="righ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5102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SLR-31-0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63BC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80.75pt;margin-top:0;width:93.5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" stroked="f">
                <v:textbox>
                  <w:txbxContent>
                    <w:p w14:paraId="4A5ECA71" w14:textId="59761BD1" w:rsidR="0089552F" w:rsidRPr="0025102B" w:rsidRDefault="0089552F" w:rsidP="0089552F">
                      <w:pPr>
                        <w:jc w:val="right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5102B">
                        <w:rPr>
                          <w:b/>
                          <w:bCs/>
                          <w:sz w:val="36"/>
                          <w:szCs w:val="36"/>
                        </w:rPr>
                        <w:t>SLR-31-0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Black" w:eastAsia="Times New Roman" w:hAnsi="Arial Black" w:cs="Times New Roman"/>
          <w:i/>
          <w:iCs/>
          <w:noProof/>
          <w:color w:val="333399"/>
          <w:sz w:val="52"/>
          <w:szCs w:val="24"/>
          <w:lang w:val="en-GB" w:eastAsia="it-IT"/>
        </w:rPr>
        <w:drawing>
          <wp:inline distT="0" distB="0" distL="0" distR="0" wp14:anchorId="0848290C" wp14:editId="535B6A01">
            <wp:extent cx="2321690" cy="923925"/>
            <wp:effectExtent l="0" t="0" r="254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22" cy="940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1AAAC7" w14:textId="77777777" w:rsidR="0089552F" w:rsidRPr="006B0639" w:rsidRDefault="0089552F" w:rsidP="0089552F">
      <w:pPr>
        <w:ind w:left="993" w:right="827"/>
        <w:rPr>
          <w:rFonts w:ascii="Arial" w:hAnsi="Arial" w:cs="Arial"/>
          <w:sz w:val="20"/>
          <w:szCs w:val="20"/>
          <w:lang w:val="en-US"/>
        </w:rPr>
      </w:pPr>
    </w:p>
    <w:p w14:paraId="3802B07C" w14:textId="2315FCA4" w:rsidR="005F4123" w:rsidRDefault="00987892" w:rsidP="002C1A07">
      <w:pPr>
        <w:ind w:right="-1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A5481">
        <w:rPr>
          <w:rFonts w:ascii="Arial" w:hAnsi="Arial" w:cs="Arial"/>
          <w:b/>
          <w:sz w:val="24"/>
          <w:szCs w:val="24"/>
          <w:lang w:val="en-US"/>
        </w:rPr>
        <w:t>GTB input to SLR</w:t>
      </w:r>
    </w:p>
    <w:p w14:paraId="2EED5813" w14:textId="6C495879" w:rsidR="00F14927" w:rsidRDefault="00987892" w:rsidP="002C1A07">
      <w:pPr>
        <w:ind w:right="-1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A5481">
        <w:rPr>
          <w:rFonts w:ascii="Arial" w:hAnsi="Arial" w:cs="Arial"/>
          <w:b/>
          <w:sz w:val="24"/>
          <w:szCs w:val="24"/>
          <w:lang w:val="en-US"/>
        </w:rPr>
        <w:t xml:space="preserve">for </w:t>
      </w:r>
      <w:r w:rsidR="005F4123">
        <w:rPr>
          <w:rFonts w:ascii="Arial" w:hAnsi="Arial" w:cs="Arial"/>
          <w:b/>
          <w:sz w:val="24"/>
          <w:szCs w:val="24"/>
          <w:lang w:val="en-US"/>
        </w:rPr>
        <w:t xml:space="preserve">UN Regulation No. </w:t>
      </w:r>
      <w:r w:rsidRPr="000A5481">
        <w:rPr>
          <w:rFonts w:ascii="Arial" w:hAnsi="Arial" w:cs="Arial"/>
          <w:b/>
          <w:sz w:val="24"/>
          <w:szCs w:val="24"/>
          <w:lang w:val="en-US"/>
        </w:rPr>
        <w:t>48 – Headlamp levelling</w:t>
      </w:r>
    </w:p>
    <w:p w14:paraId="5B3F3D80" w14:textId="77777777" w:rsidR="002C1A07" w:rsidRPr="000A5481" w:rsidRDefault="002C1A07" w:rsidP="002C1A07">
      <w:pPr>
        <w:ind w:right="-1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48FE1F1C" w14:textId="1BB5E7BC" w:rsidR="00942117" w:rsidRPr="000A5481" w:rsidRDefault="000A5481" w:rsidP="002C1A07">
      <w:pPr>
        <w:pStyle w:val="NormaleWeb"/>
        <w:spacing w:before="0" w:beforeAutospacing="0" w:after="120" w:afterAutospacing="0"/>
        <w:ind w:right="-1"/>
        <w:jc w:val="both"/>
        <w:rPr>
          <w:rFonts w:ascii="Arial" w:hAnsi="Arial" w:cs="Arial"/>
          <w:sz w:val="20"/>
          <w:szCs w:val="20"/>
          <w:lang w:val="en-US"/>
        </w:rPr>
      </w:pPr>
      <w:r w:rsidRPr="000A5481">
        <w:rPr>
          <w:rFonts w:ascii="Arial" w:hAnsi="Arial" w:cs="Arial"/>
          <w:sz w:val="20"/>
          <w:szCs w:val="20"/>
          <w:lang w:val="en-US"/>
        </w:rPr>
        <w:t>During the 81</w:t>
      </w:r>
      <w:r w:rsidRPr="000A5481">
        <w:rPr>
          <w:rFonts w:ascii="Arial" w:hAnsi="Arial" w:cs="Arial"/>
          <w:sz w:val="20"/>
          <w:szCs w:val="20"/>
          <w:vertAlign w:val="superscript"/>
          <w:lang w:val="en-US"/>
        </w:rPr>
        <w:t>st</w:t>
      </w:r>
      <w:r w:rsidRPr="000A5481">
        <w:rPr>
          <w:rFonts w:ascii="Arial" w:hAnsi="Arial" w:cs="Arial"/>
          <w:sz w:val="20"/>
          <w:szCs w:val="20"/>
          <w:lang w:val="en-US"/>
        </w:rPr>
        <w:t xml:space="preserve"> GRE session a proposal relating to headlamp</w:t>
      </w:r>
      <w:r w:rsidR="001937B1">
        <w:rPr>
          <w:rFonts w:ascii="Arial" w:hAnsi="Arial" w:cs="Arial"/>
          <w:sz w:val="20"/>
          <w:szCs w:val="20"/>
          <w:lang w:val="en-US"/>
        </w:rPr>
        <w:t xml:space="preserve"> levelling </w:t>
      </w:r>
      <w:r w:rsidRPr="000A5481">
        <w:rPr>
          <w:rFonts w:ascii="Arial" w:hAnsi="Arial" w:cs="Arial"/>
          <w:sz w:val="20"/>
          <w:szCs w:val="20"/>
          <w:lang w:val="en-US"/>
        </w:rPr>
        <w:t>was discussed</w:t>
      </w:r>
      <w:r w:rsidR="005B2844">
        <w:rPr>
          <w:rFonts w:ascii="Arial" w:hAnsi="Arial" w:cs="Arial"/>
          <w:sz w:val="20"/>
          <w:szCs w:val="20"/>
          <w:lang w:val="en-US"/>
        </w:rPr>
        <w:t xml:space="preserve"> (document GRE/2019/3</w:t>
      </w:r>
      <w:r w:rsidR="005B2844" w:rsidRPr="000A5481">
        <w:rPr>
          <w:rFonts w:ascii="Arial" w:hAnsi="Arial" w:cs="Arial"/>
          <w:sz w:val="20"/>
          <w:szCs w:val="20"/>
          <w:lang w:val="en-US"/>
        </w:rPr>
        <w:t>)</w:t>
      </w:r>
      <w:r w:rsidRPr="000A5481">
        <w:rPr>
          <w:rFonts w:ascii="Arial" w:hAnsi="Arial" w:cs="Arial"/>
          <w:sz w:val="20"/>
          <w:szCs w:val="20"/>
          <w:lang w:val="en-US"/>
        </w:rPr>
        <w:t>. It was mainly based on the results of the GRE IWG VGL.</w:t>
      </w:r>
    </w:p>
    <w:p w14:paraId="049F721B" w14:textId="7549283F" w:rsidR="000A5481" w:rsidRDefault="000A5481" w:rsidP="002C1A07">
      <w:pPr>
        <w:pStyle w:val="NormaleWeb"/>
        <w:spacing w:before="0" w:beforeAutospacing="0" w:after="120" w:afterAutospacing="0"/>
        <w:ind w:right="-1"/>
        <w:jc w:val="both"/>
        <w:rPr>
          <w:rFonts w:ascii="Arial" w:hAnsi="Arial" w:cs="Arial"/>
          <w:sz w:val="20"/>
          <w:szCs w:val="20"/>
          <w:lang w:val="en-US"/>
        </w:rPr>
      </w:pPr>
      <w:r w:rsidRPr="000A5481">
        <w:rPr>
          <w:rFonts w:ascii="Arial" w:hAnsi="Arial" w:cs="Arial"/>
          <w:sz w:val="20"/>
          <w:szCs w:val="20"/>
          <w:lang w:val="en-US"/>
        </w:rPr>
        <w:t>GRE discussed and agree</w:t>
      </w:r>
      <w:r w:rsidR="008E372A">
        <w:rPr>
          <w:rFonts w:ascii="Arial" w:hAnsi="Arial" w:cs="Arial"/>
          <w:sz w:val="20"/>
          <w:szCs w:val="20"/>
          <w:lang w:val="en-US"/>
        </w:rPr>
        <w:t>d</w:t>
      </w:r>
      <w:r w:rsidRPr="000A5481">
        <w:rPr>
          <w:rFonts w:ascii="Arial" w:hAnsi="Arial" w:cs="Arial"/>
          <w:sz w:val="20"/>
          <w:szCs w:val="20"/>
          <w:lang w:val="en-US"/>
        </w:rPr>
        <w:t xml:space="preserve">, in principle, on a modification of the dipped beam </w:t>
      </w:r>
      <w:r w:rsidR="001937B1">
        <w:rPr>
          <w:rFonts w:ascii="Arial" w:hAnsi="Arial" w:cs="Arial"/>
          <w:sz w:val="20"/>
          <w:szCs w:val="20"/>
          <w:lang w:val="en-US"/>
        </w:rPr>
        <w:t>levell</w:t>
      </w:r>
      <w:r w:rsidRPr="000A5481">
        <w:rPr>
          <w:rFonts w:ascii="Arial" w:hAnsi="Arial" w:cs="Arial"/>
          <w:sz w:val="20"/>
          <w:szCs w:val="20"/>
          <w:lang w:val="en-US"/>
        </w:rPr>
        <w:t>ing limits (the so</w:t>
      </w:r>
      <w:r w:rsidR="008E372A">
        <w:rPr>
          <w:rFonts w:ascii="Arial" w:hAnsi="Arial" w:cs="Arial"/>
          <w:sz w:val="20"/>
          <w:szCs w:val="20"/>
          <w:lang w:val="en-US"/>
        </w:rPr>
        <w:t>-</w:t>
      </w:r>
      <w:r w:rsidRPr="000A5481">
        <w:rPr>
          <w:rFonts w:ascii="Arial" w:hAnsi="Arial" w:cs="Arial"/>
          <w:sz w:val="20"/>
          <w:szCs w:val="20"/>
          <w:lang w:val="en-US"/>
        </w:rPr>
        <w:t>called “red box”</w:t>
      </w:r>
      <w:r w:rsidR="003C43B1">
        <w:rPr>
          <w:rFonts w:ascii="Arial" w:hAnsi="Arial" w:cs="Arial"/>
          <w:sz w:val="20"/>
          <w:szCs w:val="20"/>
          <w:lang w:val="en-US"/>
        </w:rPr>
        <w:t xml:space="preserve"> proposed in document GRE-81-21</w:t>
      </w:r>
      <w:r>
        <w:rPr>
          <w:rFonts w:ascii="Arial" w:hAnsi="Arial" w:cs="Arial"/>
          <w:sz w:val="20"/>
          <w:szCs w:val="20"/>
          <w:lang w:val="en-US"/>
        </w:rPr>
        <w:t xml:space="preserve">). </w:t>
      </w:r>
      <w:r w:rsidR="00854715">
        <w:rPr>
          <w:rFonts w:ascii="Arial" w:hAnsi="Arial" w:cs="Arial"/>
          <w:sz w:val="20"/>
          <w:szCs w:val="20"/>
          <w:lang w:val="en-US"/>
        </w:rPr>
        <w:t>However,</w:t>
      </w:r>
      <w:r>
        <w:rPr>
          <w:rFonts w:ascii="Arial" w:hAnsi="Arial" w:cs="Arial"/>
          <w:sz w:val="20"/>
          <w:szCs w:val="20"/>
          <w:lang w:val="en-US"/>
        </w:rPr>
        <w:t xml:space="preserve"> some aspects were not discussed in deep and the examination of this proposal will continue in the frame of GRE IWG SLR.</w:t>
      </w:r>
    </w:p>
    <w:p w14:paraId="2CB5C1C0" w14:textId="3806F854" w:rsidR="00B96BE4" w:rsidRDefault="00B96BE4" w:rsidP="002C1A07">
      <w:pPr>
        <w:pStyle w:val="NormaleWeb"/>
        <w:spacing w:before="0" w:beforeAutospacing="0" w:after="120" w:afterAutospacing="0"/>
        <w:ind w:right="-1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For </w:t>
      </w:r>
      <w:r w:rsidR="00854715">
        <w:rPr>
          <w:rFonts w:ascii="Arial" w:hAnsi="Arial" w:cs="Arial"/>
          <w:sz w:val="20"/>
          <w:szCs w:val="20"/>
          <w:lang w:val="en-US"/>
        </w:rPr>
        <w:t>Illustration:</w:t>
      </w:r>
    </w:p>
    <w:p w14:paraId="0095429C" w14:textId="14D9EC01" w:rsidR="00B96BE4" w:rsidRDefault="00B96BE4" w:rsidP="002C1A07">
      <w:pPr>
        <w:pStyle w:val="NormaleWeb"/>
        <w:spacing w:before="0" w:beforeAutospacing="0" w:after="120" w:afterAutospacing="0"/>
        <w:ind w:right="-1"/>
        <w:jc w:val="both"/>
        <w:rPr>
          <w:rFonts w:ascii="Arial" w:hAnsi="Arial" w:cs="Arial"/>
          <w:sz w:val="20"/>
          <w:szCs w:val="20"/>
          <w:lang w:val="en-US"/>
        </w:rPr>
      </w:pPr>
      <w:r w:rsidRPr="00087AC9">
        <w:rPr>
          <w:noProof/>
        </w:rPr>
        <w:drawing>
          <wp:inline distT="0" distB="0" distL="0" distR="0" wp14:anchorId="79291317" wp14:editId="03AF1A47">
            <wp:extent cx="2880000" cy="2128173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2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en-US"/>
        </w:rPr>
        <w:tab/>
      </w:r>
      <w:r w:rsidRPr="00CE74F2">
        <w:rPr>
          <w:noProof/>
        </w:rPr>
        <w:drawing>
          <wp:inline distT="0" distB="0" distL="0" distR="0" wp14:anchorId="5BE22C1E" wp14:editId="3A6D7979">
            <wp:extent cx="2880000" cy="2411796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41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F9C10" w14:textId="0A42C9F4" w:rsidR="00B96BE4" w:rsidRDefault="00B96BE4" w:rsidP="002C1A07">
      <w:pPr>
        <w:pStyle w:val="NormaleWeb"/>
        <w:spacing w:before="0" w:beforeAutospacing="0" w:after="120" w:afterAutospacing="0"/>
        <w:ind w:right="-1"/>
        <w:jc w:val="both"/>
        <w:rPr>
          <w:rFonts w:ascii="Arial" w:hAnsi="Arial" w:cs="Arial"/>
          <w:color w:val="000000"/>
          <w:sz w:val="22"/>
          <w:lang w:val="fr-FR"/>
        </w:rPr>
      </w:pPr>
      <w:r w:rsidRPr="00F321DF">
        <w:rPr>
          <w:rFonts w:ascii="Arial" w:hAnsi="Arial" w:cs="Arial"/>
          <w:color w:val="000000"/>
          <w:sz w:val="22"/>
          <w:lang w:val="fr-FR"/>
        </w:rPr>
        <w:t>GRE/2019/3</w:t>
      </w:r>
      <w:r w:rsidRPr="00F321DF">
        <w:rPr>
          <w:rFonts w:ascii="Arial" w:hAnsi="Arial" w:cs="Arial"/>
          <w:color w:val="000000"/>
          <w:sz w:val="22"/>
          <w:lang w:val="fr-FR"/>
        </w:rPr>
        <w:tab/>
      </w:r>
      <w:r>
        <w:rPr>
          <w:rFonts w:ascii="Arial" w:hAnsi="Arial" w:cs="Arial"/>
          <w:color w:val="000000"/>
          <w:sz w:val="22"/>
          <w:lang w:val="fr-FR"/>
        </w:rPr>
        <w:tab/>
      </w:r>
      <w:r>
        <w:rPr>
          <w:rFonts w:ascii="Arial" w:hAnsi="Arial" w:cs="Arial"/>
          <w:color w:val="000000"/>
          <w:sz w:val="22"/>
          <w:lang w:val="fr-FR"/>
        </w:rPr>
        <w:tab/>
      </w:r>
      <w:r>
        <w:rPr>
          <w:rFonts w:ascii="Arial" w:hAnsi="Arial" w:cs="Arial"/>
          <w:color w:val="000000"/>
          <w:sz w:val="22"/>
          <w:lang w:val="fr-FR"/>
        </w:rPr>
        <w:tab/>
      </w:r>
      <w:r>
        <w:rPr>
          <w:rFonts w:ascii="Arial" w:hAnsi="Arial" w:cs="Arial"/>
          <w:color w:val="000000"/>
          <w:sz w:val="22"/>
          <w:lang w:val="fr-FR"/>
        </w:rPr>
        <w:tab/>
      </w:r>
      <w:r>
        <w:rPr>
          <w:rFonts w:ascii="Arial" w:hAnsi="Arial" w:cs="Arial"/>
          <w:color w:val="000000"/>
          <w:sz w:val="22"/>
          <w:lang w:val="fr-FR"/>
        </w:rPr>
        <w:tab/>
      </w:r>
      <w:r>
        <w:rPr>
          <w:rFonts w:ascii="Arial" w:hAnsi="Arial" w:cs="Arial"/>
          <w:color w:val="000000"/>
          <w:sz w:val="22"/>
          <w:lang w:val="fr-FR"/>
        </w:rPr>
        <w:tab/>
      </w:r>
      <w:r w:rsidRPr="00F321DF">
        <w:rPr>
          <w:rFonts w:ascii="Arial" w:hAnsi="Arial" w:cs="Arial"/>
          <w:color w:val="000000"/>
          <w:sz w:val="22"/>
          <w:lang w:val="fr-FR"/>
        </w:rPr>
        <w:t>GR</w:t>
      </w:r>
      <w:bookmarkStart w:id="0" w:name="_GoBack"/>
      <w:bookmarkEnd w:id="0"/>
      <w:r w:rsidRPr="00F321DF">
        <w:rPr>
          <w:rFonts w:ascii="Arial" w:hAnsi="Arial" w:cs="Arial"/>
          <w:color w:val="000000"/>
          <w:sz w:val="22"/>
          <w:lang w:val="fr-FR"/>
        </w:rPr>
        <w:t>E-81-21</w:t>
      </w:r>
    </w:p>
    <w:p w14:paraId="3F4A3AA8" w14:textId="77777777" w:rsidR="008E11BF" w:rsidRDefault="008E11BF" w:rsidP="002C1A07">
      <w:pPr>
        <w:pStyle w:val="NormaleWeb"/>
        <w:spacing w:before="0" w:beforeAutospacing="0" w:after="120" w:afterAutospacing="0"/>
        <w:ind w:right="-1"/>
        <w:jc w:val="both"/>
        <w:rPr>
          <w:rFonts w:ascii="Arial" w:hAnsi="Arial" w:cs="Arial"/>
          <w:sz w:val="20"/>
          <w:szCs w:val="20"/>
          <w:lang w:val="en-US"/>
        </w:rPr>
      </w:pPr>
    </w:p>
    <w:p w14:paraId="59A40DA0" w14:textId="44054129" w:rsidR="000A5481" w:rsidRDefault="0089552F" w:rsidP="002C1A07">
      <w:pPr>
        <w:pStyle w:val="NormaleWeb"/>
        <w:spacing w:before="0" w:beforeAutospacing="0" w:after="120" w:afterAutospacing="0"/>
        <w:ind w:right="-1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GTB</w:t>
      </w:r>
      <w:r w:rsidR="001937B1">
        <w:rPr>
          <w:rFonts w:ascii="Arial" w:hAnsi="Arial" w:cs="Arial"/>
          <w:sz w:val="20"/>
          <w:szCs w:val="20"/>
          <w:lang w:val="en-US"/>
        </w:rPr>
        <w:t xml:space="preserve"> </w:t>
      </w:r>
      <w:r w:rsidR="000A5481">
        <w:rPr>
          <w:rFonts w:ascii="Arial" w:hAnsi="Arial" w:cs="Arial"/>
          <w:sz w:val="20"/>
          <w:szCs w:val="20"/>
          <w:lang w:val="en-US"/>
        </w:rPr>
        <w:t>wish</w:t>
      </w:r>
      <w:r>
        <w:rPr>
          <w:rFonts w:ascii="Arial" w:hAnsi="Arial" w:cs="Arial"/>
          <w:sz w:val="20"/>
          <w:szCs w:val="20"/>
          <w:lang w:val="en-US"/>
        </w:rPr>
        <w:t>es</w:t>
      </w:r>
      <w:r w:rsidR="000A5481">
        <w:rPr>
          <w:rFonts w:ascii="Arial" w:hAnsi="Arial" w:cs="Arial"/>
          <w:sz w:val="20"/>
          <w:szCs w:val="20"/>
          <w:lang w:val="en-US"/>
        </w:rPr>
        <w:t xml:space="preserve"> to request clarification</w:t>
      </w:r>
      <w:r>
        <w:rPr>
          <w:rFonts w:ascii="Arial" w:hAnsi="Arial" w:cs="Arial"/>
          <w:sz w:val="20"/>
          <w:szCs w:val="20"/>
          <w:lang w:val="en-US"/>
        </w:rPr>
        <w:t>s</w:t>
      </w:r>
      <w:r w:rsidR="000A5481">
        <w:rPr>
          <w:rFonts w:ascii="Arial" w:hAnsi="Arial" w:cs="Arial"/>
          <w:sz w:val="20"/>
          <w:szCs w:val="20"/>
          <w:lang w:val="en-US"/>
        </w:rPr>
        <w:t xml:space="preserve"> about th</w:t>
      </w:r>
      <w:r>
        <w:rPr>
          <w:rFonts w:ascii="Arial" w:hAnsi="Arial" w:cs="Arial"/>
          <w:sz w:val="20"/>
          <w:szCs w:val="20"/>
          <w:lang w:val="en-US"/>
        </w:rPr>
        <w:t>e following</w:t>
      </w:r>
      <w:r w:rsidR="000A5481">
        <w:rPr>
          <w:rFonts w:ascii="Arial" w:hAnsi="Arial" w:cs="Arial"/>
          <w:sz w:val="20"/>
          <w:szCs w:val="20"/>
          <w:lang w:val="en-US"/>
        </w:rPr>
        <w:t xml:space="preserve"> points:</w:t>
      </w:r>
    </w:p>
    <w:p w14:paraId="73F712EF" w14:textId="0580D99D" w:rsidR="000A5481" w:rsidRPr="000A5481" w:rsidRDefault="001937B1" w:rsidP="00854715">
      <w:pPr>
        <w:pStyle w:val="NormaleWeb"/>
        <w:numPr>
          <w:ilvl w:val="0"/>
          <w:numId w:val="2"/>
        </w:numPr>
        <w:spacing w:before="0" w:beforeAutospacing="0" w:after="120" w:afterAutospacing="0"/>
        <w:ind w:left="284" w:right="-1" w:hanging="28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are the present minimum and maximum levelling limits </w:t>
      </w:r>
      <w:r w:rsidR="000A5481">
        <w:rPr>
          <w:rFonts w:ascii="Arial" w:hAnsi="Arial" w:cs="Arial"/>
          <w:sz w:val="20"/>
          <w:szCs w:val="20"/>
          <w:lang w:val="en-US"/>
        </w:rPr>
        <w:t>of the “red box” intended to i</w:t>
      </w:r>
      <w:r>
        <w:rPr>
          <w:rFonts w:ascii="Arial" w:hAnsi="Arial" w:cs="Arial"/>
          <w:sz w:val="20"/>
          <w:szCs w:val="20"/>
          <w:lang w:val="en-US"/>
        </w:rPr>
        <w:t>nclude the CoP tolerance</w:t>
      </w:r>
      <w:r w:rsidR="00A476CC"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or the CoP</w:t>
      </w:r>
      <w:r w:rsidR="000A5481">
        <w:rPr>
          <w:rFonts w:ascii="Arial" w:hAnsi="Arial" w:cs="Arial"/>
          <w:sz w:val="20"/>
          <w:szCs w:val="20"/>
          <w:lang w:val="en-US"/>
        </w:rPr>
        <w:t xml:space="preserve"> tolerance will be added to these limits</w:t>
      </w:r>
      <w:r w:rsidR="00BB2078">
        <w:rPr>
          <w:rFonts w:ascii="Arial" w:hAnsi="Arial" w:cs="Arial"/>
          <w:sz w:val="20"/>
          <w:szCs w:val="20"/>
          <w:lang w:val="en-US"/>
        </w:rPr>
        <w:t xml:space="preserve">? </w:t>
      </w:r>
      <w:r w:rsidR="00E83C18">
        <w:rPr>
          <w:rFonts w:ascii="Arial" w:hAnsi="Arial" w:cs="Arial"/>
          <w:sz w:val="20"/>
          <w:szCs w:val="20"/>
          <w:lang w:val="en-US"/>
        </w:rPr>
        <w:t xml:space="preserve">It must be noted that the restriction of the levelling range, from the “blue box” to the “red </w:t>
      </w:r>
      <w:r w:rsidR="00854715">
        <w:rPr>
          <w:rFonts w:ascii="Arial" w:hAnsi="Arial" w:cs="Arial"/>
          <w:sz w:val="20"/>
          <w:szCs w:val="20"/>
          <w:lang w:val="en-US"/>
        </w:rPr>
        <w:t>box”</w:t>
      </w:r>
      <w:r w:rsidR="00955DC7">
        <w:rPr>
          <w:rFonts w:ascii="Arial" w:hAnsi="Arial" w:cs="Arial"/>
          <w:sz w:val="20"/>
          <w:szCs w:val="20"/>
          <w:lang w:val="en-US"/>
        </w:rPr>
        <w:t>,</w:t>
      </w:r>
      <w:r w:rsidR="00E83C18">
        <w:rPr>
          <w:rFonts w:ascii="Arial" w:hAnsi="Arial" w:cs="Arial"/>
          <w:sz w:val="20"/>
          <w:szCs w:val="20"/>
          <w:lang w:val="en-US"/>
        </w:rPr>
        <w:t xml:space="preserve"> do</w:t>
      </w:r>
      <w:r w:rsidR="00A476CC">
        <w:rPr>
          <w:rFonts w:ascii="Arial" w:hAnsi="Arial" w:cs="Arial"/>
          <w:sz w:val="20"/>
          <w:szCs w:val="20"/>
          <w:lang w:val="en-US"/>
        </w:rPr>
        <w:t>es</w:t>
      </w:r>
      <w:r w:rsidR="00E83C18">
        <w:rPr>
          <w:rFonts w:ascii="Arial" w:hAnsi="Arial" w:cs="Arial"/>
          <w:sz w:val="20"/>
          <w:szCs w:val="20"/>
          <w:lang w:val="en-US"/>
        </w:rPr>
        <w:t xml:space="preserve"> not allow for inclusion of the CoP tolerances</w:t>
      </w:r>
      <w:r w:rsidR="00012178">
        <w:rPr>
          <w:rFonts w:ascii="Arial" w:hAnsi="Arial" w:cs="Arial"/>
          <w:sz w:val="20"/>
          <w:szCs w:val="20"/>
          <w:lang w:val="en-US"/>
        </w:rPr>
        <w:t xml:space="preserve"> </w:t>
      </w:r>
      <w:r w:rsidR="00273B13">
        <w:rPr>
          <w:rFonts w:ascii="Arial" w:hAnsi="Arial" w:cs="Arial"/>
          <w:sz w:val="20"/>
          <w:szCs w:val="20"/>
          <w:lang w:val="en-US"/>
        </w:rPr>
        <w:t>(due to technical limitations)</w:t>
      </w:r>
      <w:r w:rsidR="009E7798">
        <w:rPr>
          <w:rFonts w:ascii="Arial" w:hAnsi="Arial" w:cs="Arial"/>
          <w:sz w:val="20"/>
          <w:szCs w:val="20"/>
          <w:lang w:val="en-US"/>
        </w:rPr>
        <w:t>. It could be possible</w:t>
      </w:r>
      <w:r w:rsidR="00E83C18">
        <w:rPr>
          <w:rFonts w:ascii="Arial" w:hAnsi="Arial" w:cs="Arial"/>
          <w:sz w:val="20"/>
          <w:szCs w:val="20"/>
          <w:lang w:val="en-US"/>
        </w:rPr>
        <w:t xml:space="preserve"> </w:t>
      </w:r>
      <w:r w:rsidR="00B96BE4">
        <w:rPr>
          <w:rFonts w:ascii="Arial" w:hAnsi="Arial" w:cs="Arial"/>
          <w:sz w:val="20"/>
          <w:szCs w:val="20"/>
          <w:lang w:val="en-US"/>
        </w:rPr>
        <w:t xml:space="preserve">only if </w:t>
      </w:r>
      <w:r w:rsidR="00E83C18">
        <w:rPr>
          <w:rFonts w:ascii="Arial" w:hAnsi="Arial" w:cs="Arial"/>
          <w:sz w:val="20"/>
          <w:szCs w:val="20"/>
          <w:lang w:val="en-US"/>
        </w:rPr>
        <w:t xml:space="preserve">the limits </w:t>
      </w:r>
      <w:r w:rsidR="009E7798">
        <w:rPr>
          <w:rFonts w:ascii="Arial" w:hAnsi="Arial" w:cs="Arial"/>
          <w:sz w:val="20"/>
          <w:szCs w:val="20"/>
          <w:lang w:val="en-US"/>
        </w:rPr>
        <w:t>are</w:t>
      </w:r>
      <w:r w:rsidR="00955DC7">
        <w:rPr>
          <w:rFonts w:ascii="Arial" w:hAnsi="Arial" w:cs="Arial"/>
          <w:sz w:val="20"/>
          <w:szCs w:val="20"/>
          <w:lang w:val="en-US"/>
        </w:rPr>
        <w:t xml:space="preserve"> enlarged again by</w:t>
      </w:r>
      <w:r w:rsidR="00E83C18">
        <w:rPr>
          <w:rFonts w:ascii="Arial" w:hAnsi="Arial" w:cs="Arial"/>
          <w:sz w:val="20"/>
          <w:szCs w:val="20"/>
          <w:lang w:val="en-US"/>
        </w:rPr>
        <w:t xml:space="preserve"> a </w:t>
      </w:r>
      <w:r w:rsidR="00955DC7">
        <w:rPr>
          <w:rFonts w:ascii="Arial" w:hAnsi="Arial" w:cs="Arial"/>
          <w:sz w:val="20"/>
          <w:szCs w:val="20"/>
          <w:lang w:val="en-US"/>
        </w:rPr>
        <w:t>0.3 % for</w:t>
      </w:r>
      <w:r w:rsidR="00E83C18">
        <w:rPr>
          <w:rFonts w:ascii="Arial" w:hAnsi="Arial" w:cs="Arial"/>
          <w:sz w:val="20"/>
          <w:szCs w:val="20"/>
          <w:lang w:val="en-US"/>
        </w:rPr>
        <w:t xml:space="preserve"> the m</w:t>
      </w:r>
      <w:r w:rsidR="00955DC7">
        <w:rPr>
          <w:rFonts w:ascii="Arial" w:hAnsi="Arial" w:cs="Arial"/>
          <w:sz w:val="20"/>
          <w:szCs w:val="20"/>
          <w:lang w:val="en-US"/>
        </w:rPr>
        <w:t>aximum allowed inclination</w:t>
      </w:r>
      <w:r w:rsidR="00E83C18">
        <w:rPr>
          <w:rFonts w:ascii="Arial" w:hAnsi="Arial" w:cs="Arial"/>
          <w:sz w:val="20"/>
          <w:szCs w:val="20"/>
          <w:lang w:val="en-US"/>
        </w:rPr>
        <w:t>. Please note that the inclusion of the CoP limits will maintain</w:t>
      </w:r>
      <w:r w:rsidR="00BB2078">
        <w:rPr>
          <w:rFonts w:ascii="Arial" w:hAnsi="Arial" w:cs="Arial"/>
          <w:sz w:val="20"/>
          <w:szCs w:val="20"/>
          <w:lang w:val="en-US"/>
        </w:rPr>
        <w:t xml:space="preserve"> the improvement pro</w:t>
      </w:r>
      <w:r w:rsidR="00DF55DF">
        <w:rPr>
          <w:rFonts w:ascii="Arial" w:hAnsi="Arial" w:cs="Arial"/>
          <w:sz w:val="20"/>
          <w:szCs w:val="20"/>
          <w:lang w:val="en-US"/>
        </w:rPr>
        <w:t xml:space="preserve">duced by the VGL proposal, </w:t>
      </w:r>
      <w:r w:rsidR="00BB2078">
        <w:rPr>
          <w:rFonts w:ascii="Arial" w:hAnsi="Arial" w:cs="Arial"/>
          <w:sz w:val="20"/>
          <w:szCs w:val="20"/>
          <w:lang w:val="en-US"/>
        </w:rPr>
        <w:t>ensur</w:t>
      </w:r>
      <w:r w:rsidR="00DF55DF">
        <w:rPr>
          <w:rFonts w:ascii="Arial" w:hAnsi="Arial" w:cs="Arial"/>
          <w:sz w:val="20"/>
          <w:szCs w:val="20"/>
          <w:lang w:val="en-US"/>
        </w:rPr>
        <w:t>ing</w:t>
      </w:r>
      <w:r w:rsidR="00BB2078">
        <w:rPr>
          <w:rFonts w:ascii="Arial" w:hAnsi="Arial" w:cs="Arial"/>
          <w:sz w:val="20"/>
          <w:szCs w:val="20"/>
          <w:lang w:val="en-US"/>
        </w:rPr>
        <w:t xml:space="preserve"> for the whole vehicles</w:t>
      </w:r>
      <w:r w:rsidR="00A476CC">
        <w:rPr>
          <w:rFonts w:ascii="Arial" w:hAnsi="Arial" w:cs="Arial"/>
          <w:sz w:val="20"/>
          <w:szCs w:val="20"/>
          <w:lang w:val="en-US"/>
        </w:rPr>
        <w:t>’</w:t>
      </w:r>
      <w:r w:rsidR="00BB2078">
        <w:rPr>
          <w:rFonts w:ascii="Arial" w:hAnsi="Arial" w:cs="Arial"/>
          <w:sz w:val="20"/>
          <w:szCs w:val="20"/>
          <w:lang w:val="en-US"/>
        </w:rPr>
        <w:t xml:space="preserve"> production (so in the real life) the respect of the levelling limits.</w:t>
      </w:r>
      <w:r w:rsidR="00E83C18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A500A76" w14:textId="10149827" w:rsidR="006B0639" w:rsidRPr="000A5481" w:rsidRDefault="00854715" w:rsidP="00854715">
      <w:pPr>
        <w:pStyle w:val="NormaleWeb"/>
        <w:numPr>
          <w:ilvl w:val="0"/>
          <w:numId w:val="2"/>
        </w:numPr>
        <w:spacing w:before="0" w:beforeAutospacing="0" w:after="120" w:afterAutospacing="0"/>
        <w:ind w:left="284" w:right="-1" w:hanging="28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is</w:t>
      </w:r>
      <w:r w:rsidR="00955DC7">
        <w:rPr>
          <w:rFonts w:ascii="Arial" w:hAnsi="Arial" w:cs="Arial"/>
          <w:sz w:val="20"/>
          <w:szCs w:val="20"/>
          <w:lang w:val="en-US"/>
        </w:rPr>
        <w:t xml:space="preserve"> </w:t>
      </w:r>
      <w:r w:rsidR="00BB2078">
        <w:rPr>
          <w:rFonts w:ascii="Arial" w:hAnsi="Arial" w:cs="Arial"/>
          <w:sz w:val="20"/>
          <w:szCs w:val="20"/>
          <w:lang w:val="en-US"/>
        </w:rPr>
        <w:t xml:space="preserve">the initial aiming value </w:t>
      </w:r>
      <w:r w:rsidR="001937B1">
        <w:rPr>
          <w:rFonts w:ascii="Arial" w:hAnsi="Arial" w:cs="Arial"/>
          <w:sz w:val="20"/>
          <w:szCs w:val="20"/>
          <w:lang w:val="en-US"/>
        </w:rPr>
        <w:t>still</w:t>
      </w:r>
      <w:r w:rsidR="00BB2078">
        <w:rPr>
          <w:rFonts w:ascii="Arial" w:hAnsi="Arial" w:cs="Arial"/>
          <w:sz w:val="20"/>
          <w:szCs w:val="20"/>
          <w:lang w:val="en-US"/>
        </w:rPr>
        <w:t xml:space="preserve"> to be chosen in the full levelling range (in relation to the headlamp height of installation)</w:t>
      </w:r>
      <w:r w:rsidR="00A476CC">
        <w:rPr>
          <w:rFonts w:ascii="Arial" w:hAnsi="Arial" w:cs="Arial"/>
          <w:sz w:val="20"/>
          <w:szCs w:val="20"/>
          <w:lang w:val="en-US"/>
        </w:rPr>
        <w:t>,</w:t>
      </w:r>
      <w:r w:rsidR="00BB2078">
        <w:rPr>
          <w:rFonts w:ascii="Arial" w:hAnsi="Arial" w:cs="Arial"/>
          <w:sz w:val="20"/>
          <w:szCs w:val="20"/>
          <w:lang w:val="en-US"/>
        </w:rPr>
        <w:t xml:space="preserve"> or the intention exist</w:t>
      </w:r>
      <w:r w:rsidR="00A476CC">
        <w:rPr>
          <w:rFonts w:ascii="Arial" w:hAnsi="Arial" w:cs="Arial"/>
          <w:sz w:val="20"/>
          <w:szCs w:val="20"/>
          <w:lang w:val="en-US"/>
        </w:rPr>
        <w:t>s</w:t>
      </w:r>
      <w:r w:rsidR="00BB2078">
        <w:rPr>
          <w:rFonts w:ascii="Arial" w:hAnsi="Arial" w:cs="Arial"/>
          <w:sz w:val="20"/>
          <w:szCs w:val="20"/>
          <w:lang w:val="en-US"/>
        </w:rPr>
        <w:t xml:space="preserve"> to limit the choice of the initial aiming value in a restricte</w:t>
      </w:r>
      <w:r w:rsidR="00765290">
        <w:rPr>
          <w:rFonts w:ascii="Arial" w:hAnsi="Arial" w:cs="Arial"/>
          <w:sz w:val="20"/>
          <w:szCs w:val="20"/>
          <w:lang w:val="en-US"/>
        </w:rPr>
        <w:t>d range or above a certain levelling limit</w:t>
      </w:r>
      <w:r w:rsidR="00BB2078">
        <w:rPr>
          <w:rFonts w:ascii="Arial" w:hAnsi="Arial" w:cs="Arial"/>
          <w:sz w:val="20"/>
          <w:szCs w:val="20"/>
          <w:lang w:val="en-US"/>
        </w:rPr>
        <w:t xml:space="preserve">? Please note that the very narrow levelling range of the “red </w:t>
      </w:r>
      <w:r>
        <w:rPr>
          <w:rFonts w:ascii="Arial" w:hAnsi="Arial" w:cs="Arial"/>
          <w:sz w:val="20"/>
          <w:szCs w:val="20"/>
          <w:lang w:val="en-US"/>
        </w:rPr>
        <w:t>box” (</w:t>
      </w:r>
      <w:r w:rsidR="00955DC7">
        <w:rPr>
          <w:rFonts w:ascii="Arial" w:hAnsi="Arial" w:cs="Arial"/>
          <w:sz w:val="20"/>
          <w:szCs w:val="20"/>
          <w:lang w:val="en-US"/>
        </w:rPr>
        <w:t>as it was for the “blue box”)</w:t>
      </w:r>
      <w:r w:rsidR="00BB2078">
        <w:rPr>
          <w:rFonts w:ascii="Arial" w:hAnsi="Arial" w:cs="Arial"/>
          <w:sz w:val="20"/>
          <w:szCs w:val="20"/>
          <w:lang w:val="en-US"/>
        </w:rPr>
        <w:t xml:space="preserve"> ensure</w:t>
      </w:r>
      <w:r w:rsidR="00A476CC">
        <w:rPr>
          <w:rFonts w:ascii="Arial" w:hAnsi="Arial" w:cs="Arial"/>
          <w:sz w:val="20"/>
          <w:szCs w:val="20"/>
          <w:lang w:val="en-US"/>
        </w:rPr>
        <w:t>s</w:t>
      </w:r>
      <w:r w:rsidR="00BB2078">
        <w:rPr>
          <w:rFonts w:ascii="Arial" w:hAnsi="Arial" w:cs="Arial"/>
          <w:sz w:val="20"/>
          <w:szCs w:val="20"/>
          <w:lang w:val="en-US"/>
        </w:rPr>
        <w:t xml:space="preserve"> adequate headlamp performances for both illumination distance and disturbance </w:t>
      </w:r>
      <w:r w:rsidR="00765290">
        <w:rPr>
          <w:rFonts w:ascii="Arial" w:hAnsi="Arial" w:cs="Arial"/>
          <w:sz w:val="20"/>
          <w:szCs w:val="20"/>
          <w:lang w:val="en-US"/>
        </w:rPr>
        <w:t>reduction in all the allowed levell</w:t>
      </w:r>
      <w:r w:rsidR="00BB2078">
        <w:rPr>
          <w:rFonts w:ascii="Arial" w:hAnsi="Arial" w:cs="Arial"/>
          <w:sz w:val="20"/>
          <w:szCs w:val="20"/>
          <w:lang w:val="en-US"/>
        </w:rPr>
        <w:t>ing conditions</w:t>
      </w:r>
      <w:r w:rsidR="00DF55DF">
        <w:rPr>
          <w:rFonts w:ascii="Arial" w:hAnsi="Arial" w:cs="Arial"/>
          <w:sz w:val="20"/>
          <w:szCs w:val="20"/>
          <w:lang w:val="en-US"/>
        </w:rPr>
        <w:t>, so any restriction for the initial aiming is not necessary</w:t>
      </w:r>
      <w:r w:rsidR="00BB2078">
        <w:rPr>
          <w:rFonts w:ascii="Arial" w:hAnsi="Arial" w:cs="Arial"/>
          <w:sz w:val="20"/>
          <w:szCs w:val="20"/>
          <w:lang w:val="en-US"/>
        </w:rPr>
        <w:t>.</w:t>
      </w:r>
    </w:p>
    <w:p w14:paraId="34FAFF58" w14:textId="25543B12" w:rsidR="003879C9" w:rsidRPr="000A5481" w:rsidRDefault="00D943AC" w:rsidP="002C1A07">
      <w:pPr>
        <w:ind w:right="-1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</w:t>
      </w:r>
      <w:r w:rsidR="00DF55DF">
        <w:rPr>
          <w:rFonts w:ascii="Arial" w:hAnsi="Arial" w:cs="Arial"/>
          <w:sz w:val="20"/>
          <w:szCs w:val="20"/>
          <w:lang w:val="en-US"/>
        </w:rPr>
        <w:t xml:space="preserve">ased on the above specific issues, the general input could </w:t>
      </w:r>
      <w:r>
        <w:rPr>
          <w:rFonts w:ascii="Arial" w:hAnsi="Arial" w:cs="Arial"/>
          <w:sz w:val="20"/>
          <w:szCs w:val="20"/>
          <w:lang w:val="en-US"/>
        </w:rPr>
        <w:t>then consider the</w:t>
      </w:r>
      <w:r w:rsidR="00DF55DF">
        <w:rPr>
          <w:rFonts w:ascii="Arial" w:hAnsi="Arial" w:cs="Arial"/>
          <w:sz w:val="20"/>
          <w:szCs w:val="20"/>
          <w:lang w:val="en-US"/>
        </w:rPr>
        <w:t xml:space="preserve"> headlamp levelling problem with a wider attitude, taking into account all its aspects and not only the mere levelling limits. Good references are the </w:t>
      </w:r>
      <w:r w:rsidR="00DF55DF" w:rsidRPr="00955DC7">
        <w:rPr>
          <w:rFonts w:ascii="Arial" w:hAnsi="Arial" w:cs="Arial"/>
          <w:sz w:val="20"/>
          <w:szCs w:val="20"/>
          <w:u w:val="single"/>
          <w:lang w:val="en-US"/>
        </w:rPr>
        <w:t>whole</w:t>
      </w:r>
      <w:r w:rsidR="00DF55DF">
        <w:rPr>
          <w:rFonts w:ascii="Arial" w:hAnsi="Arial" w:cs="Arial"/>
          <w:sz w:val="20"/>
          <w:szCs w:val="20"/>
          <w:lang w:val="en-US"/>
        </w:rPr>
        <w:t xml:space="preserve"> results of the VGL works and the GTB/OICA study and proposal</w:t>
      </w:r>
      <w:r w:rsidR="00184296">
        <w:rPr>
          <w:rFonts w:ascii="Arial" w:hAnsi="Arial" w:cs="Arial"/>
          <w:sz w:val="20"/>
          <w:szCs w:val="20"/>
          <w:lang w:val="en-US"/>
        </w:rPr>
        <w:t xml:space="preserve">, </w:t>
      </w:r>
      <w:r w:rsidR="00DF55DF">
        <w:rPr>
          <w:rFonts w:ascii="Arial" w:hAnsi="Arial" w:cs="Arial"/>
          <w:sz w:val="20"/>
          <w:szCs w:val="20"/>
          <w:lang w:val="en-US"/>
        </w:rPr>
        <w:t>presented some time ago in GRE and still not correctly considered by the Experts of GR</w:t>
      </w:r>
      <w:r w:rsidR="00A476CC">
        <w:rPr>
          <w:rFonts w:ascii="Arial" w:hAnsi="Arial" w:cs="Arial"/>
          <w:sz w:val="20"/>
          <w:szCs w:val="20"/>
          <w:lang w:val="en-US"/>
        </w:rPr>
        <w:t>E</w:t>
      </w:r>
      <w:r w:rsidR="00DF55DF">
        <w:rPr>
          <w:rFonts w:ascii="Arial" w:hAnsi="Arial" w:cs="Arial"/>
          <w:sz w:val="20"/>
          <w:szCs w:val="20"/>
          <w:lang w:val="en-US"/>
        </w:rPr>
        <w:t>.</w:t>
      </w:r>
    </w:p>
    <w:p w14:paraId="47CB6B7A" w14:textId="61E70E32" w:rsidR="00955DC7" w:rsidRPr="000A5481" w:rsidRDefault="00955DC7" w:rsidP="002C1A07">
      <w:pPr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+++++++++++++++</w:t>
      </w:r>
    </w:p>
    <w:sectPr w:rsidR="00955DC7" w:rsidRPr="000A5481" w:rsidSect="0089552F">
      <w:pgSz w:w="11906" w:h="16838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D1E0A" w14:textId="77777777" w:rsidR="00F76E45" w:rsidRDefault="00F76E45" w:rsidP="00044CA8">
      <w:pPr>
        <w:spacing w:after="0" w:line="240" w:lineRule="auto"/>
      </w:pPr>
      <w:r>
        <w:separator/>
      </w:r>
    </w:p>
  </w:endnote>
  <w:endnote w:type="continuationSeparator" w:id="0">
    <w:p w14:paraId="11508F52" w14:textId="77777777" w:rsidR="00F76E45" w:rsidRDefault="00F76E45" w:rsidP="00044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47D06" w14:textId="77777777" w:rsidR="00F76E45" w:rsidRDefault="00F76E45" w:rsidP="00044CA8">
      <w:pPr>
        <w:spacing w:after="0" w:line="240" w:lineRule="auto"/>
      </w:pPr>
      <w:r>
        <w:separator/>
      </w:r>
    </w:p>
  </w:footnote>
  <w:footnote w:type="continuationSeparator" w:id="0">
    <w:p w14:paraId="2EE30263" w14:textId="77777777" w:rsidR="00F76E45" w:rsidRDefault="00F76E45" w:rsidP="00044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104E"/>
    <w:multiLevelType w:val="hybridMultilevel"/>
    <w:tmpl w:val="CA827126"/>
    <w:lvl w:ilvl="0" w:tplc="77B02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12A98"/>
    <w:multiLevelType w:val="hybridMultilevel"/>
    <w:tmpl w:val="849617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37150"/>
    <w:multiLevelType w:val="hybridMultilevel"/>
    <w:tmpl w:val="183ABF3A"/>
    <w:lvl w:ilvl="0" w:tplc="0410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8C38DEB0">
      <w:numFmt w:val="bullet"/>
      <w:lvlText w:val="-"/>
      <w:lvlJc w:val="left"/>
      <w:pPr>
        <w:ind w:left="1728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65A835CA"/>
    <w:multiLevelType w:val="hybridMultilevel"/>
    <w:tmpl w:val="899827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8C38DEB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DFF"/>
    <w:rsid w:val="00012178"/>
    <w:rsid w:val="000251C0"/>
    <w:rsid w:val="00044CA8"/>
    <w:rsid w:val="000A5481"/>
    <w:rsid w:val="00101E45"/>
    <w:rsid w:val="00145BF0"/>
    <w:rsid w:val="00184296"/>
    <w:rsid w:val="00185365"/>
    <w:rsid w:val="001937B1"/>
    <w:rsid w:val="001E263F"/>
    <w:rsid w:val="001E648B"/>
    <w:rsid w:val="0027046F"/>
    <w:rsid w:val="00273B13"/>
    <w:rsid w:val="002C1A07"/>
    <w:rsid w:val="00381389"/>
    <w:rsid w:val="003879C9"/>
    <w:rsid w:val="003C43B1"/>
    <w:rsid w:val="004021EA"/>
    <w:rsid w:val="0055327E"/>
    <w:rsid w:val="005B2844"/>
    <w:rsid w:val="005F4123"/>
    <w:rsid w:val="00636A52"/>
    <w:rsid w:val="00681468"/>
    <w:rsid w:val="006B0639"/>
    <w:rsid w:val="006F7BF8"/>
    <w:rsid w:val="00765290"/>
    <w:rsid w:val="00791A1B"/>
    <w:rsid w:val="007C267E"/>
    <w:rsid w:val="007F5BB3"/>
    <w:rsid w:val="00854715"/>
    <w:rsid w:val="008821E8"/>
    <w:rsid w:val="0089552F"/>
    <w:rsid w:val="008D2220"/>
    <w:rsid w:val="008E11BF"/>
    <w:rsid w:val="008E372A"/>
    <w:rsid w:val="008F1374"/>
    <w:rsid w:val="00942117"/>
    <w:rsid w:val="00955DC7"/>
    <w:rsid w:val="009646DF"/>
    <w:rsid w:val="00987892"/>
    <w:rsid w:val="009B5DFF"/>
    <w:rsid w:val="009E7798"/>
    <w:rsid w:val="00A476CC"/>
    <w:rsid w:val="00B513FA"/>
    <w:rsid w:val="00B96BE4"/>
    <w:rsid w:val="00BB2078"/>
    <w:rsid w:val="00BF6679"/>
    <w:rsid w:val="00C326C9"/>
    <w:rsid w:val="00C608B4"/>
    <w:rsid w:val="00C93E27"/>
    <w:rsid w:val="00C97907"/>
    <w:rsid w:val="00D03D68"/>
    <w:rsid w:val="00D943AC"/>
    <w:rsid w:val="00DA5B36"/>
    <w:rsid w:val="00DA773A"/>
    <w:rsid w:val="00DF55DF"/>
    <w:rsid w:val="00E24636"/>
    <w:rsid w:val="00E83C18"/>
    <w:rsid w:val="00F14927"/>
    <w:rsid w:val="00F16465"/>
    <w:rsid w:val="00F7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9E6E1"/>
  <w15:chartTrackingRefBased/>
  <w15:docId w15:val="{BC80FE5F-49D8-4DC7-BF86-E7AC9547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5B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B5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6B0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44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4CA8"/>
  </w:style>
  <w:style w:type="paragraph" w:styleId="Pidipagina">
    <w:name w:val="footer"/>
    <w:basedOn w:val="Normale"/>
    <w:link w:val="PidipaginaCarattere"/>
    <w:uiPriority w:val="99"/>
    <w:unhideWhenUsed/>
    <w:rsid w:val="00044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4CA8"/>
  </w:style>
  <w:style w:type="character" w:styleId="Rimandocommento">
    <w:name w:val="annotation reference"/>
    <w:basedOn w:val="Carpredefinitoparagrafo"/>
    <w:uiPriority w:val="99"/>
    <w:semiHidden/>
    <w:unhideWhenUsed/>
    <w:rsid w:val="00C608B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608B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608B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608B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608B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0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08B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60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FIAT Group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Genone Valter (FCA)</dc:creator>
  <cp:keywords/>
  <dc:description/>
  <cp:lastModifiedBy>Davide Puglisi</cp:lastModifiedBy>
  <cp:revision>11</cp:revision>
  <dcterms:created xsi:type="dcterms:W3CDTF">2019-06-06T12:00:00Z</dcterms:created>
  <dcterms:modified xsi:type="dcterms:W3CDTF">2019-06-24T12:24:00Z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eeb3e6-85f8-4106-953e-4f1eacb9bdc3_Enabled">
    <vt:lpwstr>True</vt:lpwstr>
  </property>
  <property fmtid="{D5CDD505-2E9C-101B-9397-08002B2CF9AE}" pid="3" name="MSIP_Label_a5eeb3e6-85f8-4106-953e-4f1eacb9bdc3_SiteId">
    <vt:lpwstr>d6b0bbee-7cd9-4d60-bce6-4a67b543e2ae</vt:lpwstr>
  </property>
  <property fmtid="{D5CDD505-2E9C-101B-9397-08002B2CF9AE}" pid="4" name="MSIP_Label_a5eeb3e6-85f8-4106-953e-4f1eacb9bdc3_Owner">
    <vt:lpwstr>aurelie.a.berthel@renault.com</vt:lpwstr>
  </property>
  <property fmtid="{D5CDD505-2E9C-101B-9397-08002B2CF9AE}" pid="5" name="MSIP_Label_a5eeb3e6-85f8-4106-953e-4f1eacb9bdc3_SetDate">
    <vt:lpwstr>2019-06-06T12:00:35.0708083Z</vt:lpwstr>
  </property>
  <property fmtid="{D5CDD505-2E9C-101B-9397-08002B2CF9AE}" pid="6" name="MSIP_Label_a5eeb3e6-85f8-4106-953e-4f1eacb9bdc3_Name">
    <vt:lpwstr>Confidential C</vt:lpwstr>
  </property>
  <property fmtid="{D5CDD505-2E9C-101B-9397-08002B2CF9AE}" pid="7" name="MSIP_Label_a5eeb3e6-85f8-4106-953e-4f1eacb9bdc3_Application">
    <vt:lpwstr>Microsoft Azure Information Protection</vt:lpwstr>
  </property>
  <property fmtid="{D5CDD505-2E9C-101B-9397-08002B2CF9AE}" pid="8" name="MSIP_Label_a5eeb3e6-85f8-4106-953e-4f1eacb9bdc3_Extended_MSFT_Method">
    <vt:lpwstr>Automatic</vt:lpwstr>
  </property>
  <property fmtid="{D5CDD505-2E9C-101B-9397-08002B2CF9AE}" pid="9" name="MSIP_Label_fd1c0902-ed92-4fed-896d-2e7725de02d4_Enabled">
    <vt:lpwstr>True</vt:lpwstr>
  </property>
  <property fmtid="{D5CDD505-2E9C-101B-9397-08002B2CF9AE}" pid="10" name="MSIP_Label_fd1c0902-ed92-4fed-896d-2e7725de02d4_SiteId">
    <vt:lpwstr>d6b0bbee-7cd9-4d60-bce6-4a67b543e2ae</vt:lpwstr>
  </property>
  <property fmtid="{D5CDD505-2E9C-101B-9397-08002B2CF9AE}" pid="11" name="MSIP_Label_fd1c0902-ed92-4fed-896d-2e7725de02d4_Owner">
    <vt:lpwstr>aurelie.a.berthel@renault.com</vt:lpwstr>
  </property>
  <property fmtid="{D5CDD505-2E9C-101B-9397-08002B2CF9AE}" pid="12" name="MSIP_Label_fd1c0902-ed92-4fed-896d-2e7725de02d4_SetDate">
    <vt:lpwstr>2019-06-06T12:00:35.0708083Z</vt:lpwstr>
  </property>
  <property fmtid="{D5CDD505-2E9C-101B-9397-08002B2CF9AE}" pid="13" name="MSIP_Label_fd1c0902-ed92-4fed-896d-2e7725de02d4_Name">
    <vt:lpwstr>Accessible to everybody</vt:lpwstr>
  </property>
  <property fmtid="{D5CDD505-2E9C-101B-9397-08002B2CF9AE}" pid="14" name="MSIP_Label_fd1c0902-ed92-4fed-896d-2e7725de02d4_Application">
    <vt:lpwstr>Microsoft Azure Information Protection</vt:lpwstr>
  </property>
  <property fmtid="{D5CDD505-2E9C-101B-9397-08002B2CF9AE}" pid="15" name="MSIP_Label_fd1c0902-ed92-4fed-896d-2e7725de02d4_Parent">
    <vt:lpwstr>a5eeb3e6-85f8-4106-953e-4f1eacb9bdc3</vt:lpwstr>
  </property>
  <property fmtid="{D5CDD505-2E9C-101B-9397-08002B2CF9AE}" pid="16" name="MSIP_Label_fd1c0902-ed92-4fed-896d-2e7725de02d4_Extended_MSFT_Method">
    <vt:lpwstr>Automatic</vt:lpwstr>
  </property>
  <property fmtid="{D5CDD505-2E9C-101B-9397-08002B2CF9AE}" pid="17" name="Sensitivity">
    <vt:lpwstr>Confidential C Accessible to everybody</vt:lpwstr>
  </property>
</Properties>
</file>