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75A4" w:rsidRPr="00D04DEB" w:rsidRDefault="00441596">
      <w:pPr>
        <w:rPr>
          <w:b/>
          <w:sz w:val="24"/>
          <w:szCs w:val="24"/>
          <w:lang w:val="en-US"/>
        </w:rPr>
      </w:pPr>
      <w:r w:rsidRPr="00D04DE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-29845</wp:posOffset>
                </wp:positionH>
                <wp:positionV relativeFrom="paragraph">
                  <wp:posOffset>941705</wp:posOffset>
                </wp:positionV>
                <wp:extent cx="5899150" cy="4127500"/>
                <wp:effectExtent l="0" t="0" r="25400" b="2540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9150" cy="41275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667A47" id="Rectangle 7" o:spid="_x0000_s1026" style="position:absolute;margin-left:-2.35pt;margin-top:74.15pt;width:464.5pt;height:325pt;z-index:251657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" filled="f" strokecolor="#243f60 [1604]" strokeweight="2pt"/>
            </w:pict>
          </mc:Fallback>
        </mc:AlternateContent>
      </w:r>
      <w:r w:rsidRPr="00D04DEB">
        <w:rPr>
          <w:noProof/>
          <w:lang w:eastAsia="en-GB"/>
        </w:rPr>
        <w:drawing>
          <wp:inline distT="0" distB="0" distL="0" distR="0" wp14:anchorId="535C8877" wp14:editId="1AA6540B">
            <wp:extent cx="5760720" cy="5235575"/>
            <wp:effectExtent l="0" t="0" r="0" b="317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23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175A4" w:rsidRPr="00D04DEB" w:rsidRDefault="00F175A4">
      <w:pPr>
        <w:rPr>
          <w:b/>
          <w:sz w:val="24"/>
          <w:szCs w:val="24"/>
          <w:lang w:val="en-US"/>
        </w:rPr>
      </w:pPr>
      <w:r w:rsidRPr="00D04DEB">
        <w:rPr>
          <w:b/>
          <w:sz w:val="24"/>
          <w:szCs w:val="24"/>
          <w:lang w:val="en-US"/>
        </w:rPr>
        <w:br w:type="page"/>
      </w:r>
    </w:p>
    <w:p w:rsidR="00F175A4" w:rsidRPr="00D04DEB" w:rsidRDefault="00404F65" w:rsidP="00F175A4">
      <w:pPr>
        <w:pStyle w:val="CM1"/>
        <w:spacing w:before="200" w:after="200"/>
        <w:jc w:val="center"/>
        <w:rPr>
          <w:color w:val="000000"/>
          <w:lang w:val="en-US"/>
        </w:rPr>
      </w:pPr>
      <w:r>
        <w:rPr>
          <w:color w:val="000000"/>
          <w:lang w:val="en-US"/>
        </w:rPr>
        <w:lastRenderedPageBreak/>
        <w:t>12/7/2019 Draft proposal for a revised EVAP COP procedure</w:t>
      </w:r>
    </w:p>
    <w:p w:rsidR="00F175A4" w:rsidRPr="00D04DEB" w:rsidRDefault="00F175A4" w:rsidP="00F175A4">
      <w:pPr>
        <w:pStyle w:val="CM3"/>
        <w:spacing w:before="60" w:after="60"/>
        <w:rPr>
          <w:color w:val="000000"/>
          <w:lang w:val="en-US"/>
        </w:rPr>
      </w:pPr>
    </w:p>
    <w:p w:rsidR="00F175A4" w:rsidRPr="00D04DEB" w:rsidRDefault="00F175A4" w:rsidP="00F175A4">
      <w:pPr>
        <w:pStyle w:val="CM4"/>
        <w:spacing w:before="60" w:after="60"/>
        <w:rPr>
          <w:b/>
          <w:bCs/>
          <w:color w:val="000000"/>
          <w:sz w:val="28"/>
          <w:szCs w:val="28"/>
          <w:lang w:val="en-US"/>
        </w:rPr>
      </w:pPr>
      <w:r w:rsidRPr="00D04DEB">
        <w:rPr>
          <w:color w:val="000000"/>
          <w:sz w:val="28"/>
          <w:szCs w:val="28"/>
          <w:lang w:val="en-US"/>
        </w:rPr>
        <w:t xml:space="preserve">4.6. </w:t>
      </w:r>
      <w:r w:rsidRPr="00D04DEB">
        <w:rPr>
          <w:b/>
          <w:bCs/>
          <w:color w:val="000000"/>
          <w:sz w:val="28"/>
          <w:szCs w:val="28"/>
          <w:lang w:val="en-US"/>
        </w:rPr>
        <w:t xml:space="preserve">Checking the conformity of the vehicle for a Type 4 test </w:t>
      </w:r>
    </w:p>
    <w:p w:rsidR="00F175A4" w:rsidRPr="00D04DEB" w:rsidRDefault="00F175A4" w:rsidP="00F175A4">
      <w:pPr>
        <w:rPr>
          <w:lang w:val="en-US"/>
        </w:rPr>
      </w:pPr>
    </w:p>
    <w:p w:rsidR="00F175A4" w:rsidRPr="00D04DEB" w:rsidRDefault="00F175A4" w:rsidP="00F175A4">
      <w:pPr>
        <w:pStyle w:val="CM4"/>
        <w:spacing w:before="60" w:after="60"/>
        <w:rPr>
          <w:color w:val="000000"/>
          <w:sz w:val="28"/>
          <w:szCs w:val="28"/>
          <w:lang w:val="en-US"/>
        </w:rPr>
      </w:pPr>
      <w:r w:rsidRPr="00D04DEB">
        <w:rPr>
          <w:color w:val="000000"/>
          <w:sz w:val="28"/>
          <w:szCs w:val="28"/>
          <w:lang w:val="en-US"/>
        </w:rPr>
        <w:t xml:space="preserve">4.6.1. </w:t>
      </w:r>
      <w:r w:rsidR="00E30066">
        <w:rPr>
          <w:color w:val="000000"/>
          <w:sz w:val="28"/>
          <w:szCs w:val="28"/>
          <w:lang w:val="en-US"/>
        </w:rPr>
        <w:t>Once per year a</w:t>
      </w:r>
      <w:r w:rsidRPr="00D04DEB">
        <w:rPr>
          <w:color w:val="000000"/>
          <w:sz w:val="28"/>
          <w:szCs w:val="28"/>
          <w:lang w:val="en-US"/>
        </w:rPr>
        <w:t xml:space="preserve"> vehicle </w:t>
      </w:r>
      <w:proofErr w:type="gramStart"/>
      <w:r w:rsidRPr="00D04DEB">
        <w:rPr>
          <w:color w:val="000000"/>
          <w:sz w:val="28"/>
          <w:szCs w:val="28"/>
          <w:lang w:val="en-US"/>
        </w:rPr>
        <w:t>shall be randomly taken from the family</w:t>
      </w:r>
      <w:r w:rsidR="00404F65">
        <w:rPr>
          <w:rStyle w:val="FootnoteReference"/>
          <w:color w:val="000000"/>
          <w:sz w:val="28"/>
          <w:szCs w:val="28"/>
          <w:lang w:val="en-US"/>
        </w:rPr>
        <w:footnoteReference w:id="1"/>
      </w:r>
      <w:r w:rsidRPr="00D04DEB">
        <w:rPr>
          <w:color w:val="000000"/>
          <w:sz w:val="28"/>
          <w:szCs w:val="28"/>
          <w:lang w:val="en-US"/>
        </w:rPr>
        <w:t xml:space="preserve"> and subjected to the </w:t>
      </w:r>
      <w:r w:rsidR="009742C6">
        <w:rPr>
          <w:color w:val="000000"/>
          <w:sz w:val="28"/>
          <w:szCs w:val="28"/>
          <w:lang w:val="en-US"/>
        </w:rPr>
        <w:t xml:space="preserve">three </w:t>
      </w:r>
      <w:r w:rsidRPr="00D04DEB">
        <w:rPr>
          <w:color w:val="000000"/>
          <w:sz w:val="28"/>
          <w:szCs w:val="28"/>
          <w:lang w:val="en-US"/>
        </w:rPr>
        <w:t>tests described in paragraph 7 of Annex 7 of UN Regulation 83</w:t>
      </w:r>
      <w:r w:rsidR="00E30066">
        <w:rPr>
          <w:color w:val="000000"/>
          <w:sz w:val="28"/>
          <w:szCs w:val="28"/>
          <w:lang w:val="en-US"/>
        </w:rPr>
        <w:t xml:space="preserve"> </w:t>
      </w:r>
      <w:r w:rsidR="00E30066" w:rsidRPr="00D04DEB">
        <w:rPr>
          <w:color w:val="000000"/>
          <w:sz w:val="28"/>
          <w:szCs w:val="28"/>
          <w:lang w:val="en-US"/>
        </w:rPr>
        <w:t>(</w:t>
      </w:r>
      <w:r w:rsidR="00E30066" w:rsidRPr="00E501DE">
        <w:rPr>
          <w:color w:val="000000"/>
          <w:sz w:val="28"/>
          <w:szCs w:val="28"/>
          <w:lang w:val="en-US"/>
        </w:rPr>
        <w:t>i.e. the test for leakage, the test for venting and the purge test</w:t>
      </w:r>
      <w:r w:rsidR="00E30066" w:rsidRPr="00D04DEB">
        <w:rPr>
          <w:color w:val="000000"/>
          <w:sz w:val="28"/>
          <w:szCs w:val="28"/>
          <w:lang w:val="en-US"/>
        </w:rPr>
        <w:t>)</w:t>
      </w:r>
      <w:proofErr w:type="gramEnd"/>
      <w:r w:rsidRPr="00D04DEB">
        <w:rPr>
          <w:color w:val="000000"/>
          <w:sz w:val="28"/>
          <w:szCs w:val="28"/>
          <w:lang w:val="en-US"/>
        </w:rPr>
        <w:t xml:space="preserve">. </w:t>
      </w:r>
    </w:p>
    <w:p w:rsidR="00F175A4" w:rsidRPr="00D04DEB" w:rsidRDefault="00F175A4" w:rsidP="00F175A4">
      <w:pPr>
        <w:rPr>
          <w:lang w:val="en-US"/>
        </w:rPr>
      </w:pPr>
    </w:p>
    <w:p w:rsidR="00F175A4" w:rsidRPr="00D04DEB" w:rsidRDefault="00F175A4" w:rsidP="00F175A4">
      <w:pPr>
        <w:pStyle w:val="CM4"/>
        <w:spacing w:before="60" w:after="60"/>
        <w:rPr>
          <w:color w:val="000000"/>
          <w:sz w:val="28"/>
          <w:szCs w:val="28"/>
          <w:lang w:val="en-US"/>
        </w:rPr>
      </w:pPr>
      <w:r w:rsidRPr="00D04DEB">
        <w:rPr>
          <w:color w:val="000000"/>
          <w:sz w:val="28"/>
          <w:szCs w:val="28"/>
          <w:lang w:val="en-US"/>
        </w:rPr>
        <w:t>4.6.1.1. The production shall be deemed to conform if this vehicle meets the requirements of the tests described in paragraph 7 of Annex 7 of UN Regulation 83</w:t>
      </w:r>
      <w:r w:rsidR="00B22096" w:rsidRPr="00D04DEB">
        <w:rPr>
          <w:color w:val="000000"/>
          <w:sz w:val="28"/>
          <w:szCs w:val="28"/>
          <w:lang w:val="en-US"/>
        </w:rPr>
        <w:t>.</w:t>
      </w:r>
      <w:r w:rsidRPr="00D04DEB">
        <w:rPr>
          <w:color w:val="000000"/>
          <w:sz w:val="28"/>
          <w:szCs w:val="28"/>
          <w:lang w:val="en-US"/>
        </w:rPr>
        <w:t xml:space="preserve"> </w:t>
      </w:r>
    </w:p>
    <w:p w:rsidR="00F175A4" w:rsidRPr="00D04DEB" w:rsidRDefault="00F175A4" w:rsidP="00F175A4">
      <w:pPr>
        <w:rPr>
          <w:lang w:val="en-US"/>
        </w:rPr>
      </w:pPr>
    </w:p>
    <w:p w:rsidR="00F175A4" w:rsidRPr="00D04DEB" w:rsidRDefault="00F175A4" w:rsidP="00F175A4">
      <w:pPr>
        <w:pStyle w:val="CM4"/>
        <w:spacing w:before="60" w:after="60"/>
        <w:rPr>
          <w:color w:val="000000"/>
          <w:sz w:val="28"/>
          <w:szCs w:val="28"/>
          <w:lang w:val="en-US"/>
        </w:rPr>
      </w:pPr>
      <w:r w:rsidRPr="00D04DEB">
        <w:rPr>
          <w:color w:val="000000"/>
          <w:sz w:val="28"/>
          <w:szCs w:val="28"/>
          <w:lang w:val="en-US"/>
        </w:rPr>
        <w:t xml:space="preserve">4.6.1.2. If the vehicle tested does not satisfy the requirements of section 4.6.1.1, a further random sample </w:t>
      </w:r>
      <w:proofErr w:type="gramStart"/>
      <w:r w:rsidRPr="00D04DEB">
        <w:rPr>
          <w:color w:val="000000"/>
          <w:sz w:val="28"/>
          <w:szCs w:val="28"/>
          <w:lang w:val="en-US"/>
        </w:rPr>
        <w:t>shall be taken from the same family and subjected to the tests described in Annex VI</w:t>
      </w:r>
      <w:proofErr w:type="gramEnd"/>
      <w:r w:rsidRPr="00D04DEB">
        <w:rPr>
          <w:color w:val="000000"/>
          <w:sz w:val="28"/>
          <w:szCs w:val="28"/>
          <w:lang w:val="en-US"/>
        </w:rPr>
        <w:t xml:space="preserve">. The tests may be carried out on vehicles which have completed a maximum of 15 000 km with no modifications. </w:t>
      </w:r>
    </w:p>
    <w:p w:rsidR="00F175A4" w:rsidRPr="00D04DEB" w:rsidRDefault="00F175A4" w:rsidP="00F175A4">
      <w:pPr>
        <w:rPr>
          <w:lang w:val="en-US"/>
        </w:rPr>
      </w:pPr>
    </w:p>
    <w:p w:rsidR="00F175A4" w:rsidRPr="00D04DEB" w:rsidRDefault="00F175A4" w:rsidP="00B22096">
      <w:pPr>
        <w:spacing w:after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D04DEB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4.6.1.3. If the vehicle tested does not satisfy the requirements of </w:t>
      </w:r>
      <w:r w:rsidR="00B22096" w:rsidRPr="00D04DEB">
        <w:rPr>
          <w:rFonts w:ascii="Times New Roman" w:hAnsi="Times New Roman" w:cs="Times New Roman"/>
          <w:color w:val="000000"/>
          <w:sz w:val="28"/>
          <w:szCs w:val="28"/>
          <w:lang w:val="en-US"/>
        </w:rPr>
        <w:t>Annex VI</w:t>
      </w:r>
      <w:r w:rsidRPr="00D04DEB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a further random sample </w:t>
      </w:r>
      <w:r w:rsidR="00B22096" w:rsidRPr="00D04DEB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of four vehicles </w:t>
      </w:r>
      <w:proofErr w:type="gramStart"/>
      <w:r w:rsidRPr="00D04DEB">
        <w:rPr>
          <w:rFonts w:ascii="Times New Roman" w:hAnsi="Times New Roman" w:cs="Times New Roman"/>
          <w:color w:val="000000"/>
          <w:sz w:val="28"/>
          <w:szCs w:val="28"/>
          <w:lang w:val="en-US"/>
        </w:rPr>
        <w:t>shall be taken from the same family and subjected to the tests described in Annex VI</w:t>
      </w:r>
      <w:proofErr w:type="gramEnd"/>
      <w:r w:rsidRPr="00D04DEB">
        <w:rPr>
          <w:rFonts w:ascii="Times New Roman" w:hAnsi="Times New Roman" w:cs="Times New Roman"/>
          <w:color w:val="000000"/>
          <w:sz w:val="28"/>
          <w:szCs w:val="28"/>
          <w:lang w:val="en-US"/>
        </w:rPr>
        <w:t>. The tests may be carried out on vehicles which have completed a maximum of 15 000 km with no modifications.</w:t>
      </w:r>
    </w:p>
    <w:p w:rsidR="00F175A4" w:rsidRPr="00D04DEB" w:rsidRDefault="00F175A4" w:rsidP="00F175A4">
      <w:pPr>
        <w:rPr>
          <w:lang w:val="en-US"/>
        </w:rPr>
      </w:pPr>
    </w:p>
    <w:p w:rsidR="00F175A4" w:rsidRDefault="00F175A4" w:rsidP="00F175A4">
      <w:pPr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D04DEB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4.6.1.4. The production </w:t>
      </w:r>
      <w:proofErr w:type="gramStart"/>
      <w:r w:rsidRPr="00D04DEB">
        <w:rPr>
          <w:rFonts w:ascii="Times New Roman" w:hAnsi="Times New Roman" w:cs="Times New Roman"/>
          <w:color w:val="000000"/>
          <w:sz w:val="28"/>
          <w:szCs w:val="28"/>
          <w:lang w:val="en-US"/>
        </w:rPr>
        <w:t>shall be deemed</w:t>
      </w:r>
      <w:proofErr w:type="gramEnd"/>
      <w:r w:rsidRPr="00D04DEB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to conform if at least three vehicles meet the requirements of </w:t>
      </w:r>
      <w:r w:rsidR="00D04DEB">
        <w:rPr>
          <w:rFonts w:ascii="Times New Roman" w:hAnsi="Times New Roman" w:cs="Times New Roman"/>
          <w:color w:val="000000"/>
          <w:sz w:val="28"/>
          <w:szCs w:val="28"/>
          <w:lang w:val="en-US"/>
        </w:rPr>
        <w:t>the tests described in Annex VI</w:t>
      </w:r>
      <w:r w:rsidRPr="00D04DEB">
        <w:rPr>
          <w:rFonts w:ascii="Times New Roman" w:hAnsi="Times New Roman" w:cs="Times New Roman"/>
          <w:color w:val="000000"/>
          <w:sz w:val="28"/>
          <w:szCs w:val="28"/>
          <w:lang w:val="en-US"/>
        </w:rPr>
        <w:t>.</w:t>
      </w:r>
    </w:p>
    <w:p w:rsidR="00404F65" w:rsidRDefault="00404F65" w:rsidP="00F175A4">
      <w:pPr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404F65" w:rsidRPr="00D04DEB" w:rsidRDefault="00404F65" w:rsidP="00F175A4">
      <w:pPr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441596" w:rsidRPr="00D04DEB" w:rsidRDefault="00441596">
      <w:pPr>
        <w:rPr>
          <w:b/>
          <w:sz w:val="24"/>
          <w:szCs w:val="24"/>
          <w:lang w:val="en-US"/>
        </w:rPr>
      </w:pPr>
      <w:r w:rsidRPr="00D04DEB">
        <w:rPr>
          <w:b/>
          <w:sz w:val="24"/>
          <w:szCs w:val="24"/>
          <w:lang w:val="en-US"/>
        </w:rPr>
        <w:br w:type="page"/>
      </w:r>
    </w:p>
    <w:p w:rsidR="00441596" w:rsidRPr="00D04DEB" w:rsidRDefault="00441596">
      <w:pPr>
        <w:rPr>
          <w:b/>
          <w:sz w:val="24"/>
          <w:szCs w:val="24"/>
          <w:lang w:val="en-US"/>
        </w:rPr>
      </w:pPr>
      <w:r w:rsidRPr="00D04DEB">
        <w:rPr>
          <w:b/>
          <w:sz w:val="24"/>
          <w:szCs w:val="24"/>
          <w:lang w:val="en-US"/>
        </w:rPr>
        <w:lastRenderedPageBreak/>
        <w:t>Regulation No 83 Supplement 7 to the 07 series of amendments</w:t>
      </w:r>
    </w:p>
    <w:p w:rsidR="00413A3E" w:rsidRPr="00D04DEB" w:rsidRDefault="00441596">
      <w:pPr>
        <w:rPr>
          <w:b/>
          <w:sz w:val="24"/>
          <w:szCs w:val="24"/>
          <w:lang w:val="en-US"/>
        </w:rPr>
      </w:pPr>
      <w:r w:rsidRPr="00D04DEB">
        <w:rPr>
          <w:b/>
          <w:sz w:val="24"/>
          <w:szCs w:val="24"/>
          <w:lang w:val="en-US"/>
        </w:rPr>
        <w:t>Date of entry into force: 29 December 2018</w:t>
      </w:r>
    </w:p>
    <w:p w:rsidR="00441596" w:rsidRPr="00D04DEB" w:rsidRDefault="00441596">
      <w:pPr>
        <w:rPr>
          <w:b/>
          <w:sz w:val="24"/>
          <w:szCs w:val="24"/>
          <w:lang w:val="en-US"/>
        </w:rPr>
      </w:pPr>
    </w:p>
    <w:p w:rsidR="00441596" w:rsidRPr="00D04DEB" w:rsidRDefault="003C63D4">
      <w:pPr>
        <w:rPr>
          <w:sz w:val="16"/>
          <w:szCs w:val="16"/>
          <w:lang w:val="en-US"/>
        </w:rPr>
      </w:pPr>
      <w:r w:rsidRPr="00D04DE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-575945</wp:posOffset>
                </wp:positionH>
                <wp:positionV relativeFrom="paragraph">
                  <wp:posOffset>775970</wp:posOffset>
                </wp:positionV>
                <wp:extent cx="590550" cy="222250"/>
                <wp:effectExtent l="0" t="19050" r="38100" b="44450"/>
                <wp:wrapNone/>
                <wp:docPr id="8" name="Right Arrow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2222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210DE46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8" o:spid="_x0000_s1026" type="#_x0000_t13" style="position:absolute;margin-left:-45.35pt;margin-top:61.1pt;width:46.5pt;height:17.5pt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" adj="17535" fillcolor="#4f81bd [3204]" strokecolor="#243f60 [1604]" strokeweight="2pt"/>
            </w:pict>
          </mc:Fallback>
        </mc:AlternateContent>
      </w:r>
      <w:r w:rsidRPr="00D04DEB">
        <w:rPr>
          <w:noProof/>
          <w:lang w:eastAsia="en-GB"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-594995</wp:posOffset>
            </wp:positionH>
            <wp:positionV relativeFrom="paragraph">
              <wp:posOffset>4545330</wp:posOffset>
            </wp:positionV>
            <wp:extent cx="621665" cy="280670"/>
            <wp:effectExtent l="0" t="0" r="6985" b="508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280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04DEB">
        <w:rPr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-715645</wp:posOffset>
                </wp:positionH>
                <wp:positionV relativeFrom="paragraph">
                  <wp:posOffset>687070</wp:posOffset>
                </wp:positionV>
                <wp:extent cx="6394450" cy="6781800"/>
                <wp:effectExtent l="0" t="0" r="25400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94450" cy="67818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6F2EC40" id="Rectangle 12" o:spid="_x0000_s1026" style="position:absolute;margin-left:-56.35pt;margin-top:54.1pt;width:503.5pt;height:534pt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" filled="f" strokecolor="#243f60 [1604]" strokeweight="2pt"/>
            </w:pict>
          </mc:Fallback>
        </mc:AlternateContent>
      </w:r>
      <w:r w:rsidR="00B22096" w:rsidRPr="00D04DEB">
        <w:rPr>
          <w:noProof/>
          <w:sz w:val="16"/>
          <w:szCs w:val="16"/>
          <w:lang w:eastAsia="en-GB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-556895</wp:posOffset>
            </wp:positionH>
            <wp:positionV relativeFrom="paragraph">
              <wp:posOffset>2204720</wp:posOffset>
            </wp:positionV>
            <wp:extent cx="621665" cy="280670"/>
            <wp:effectExtent l="0" t="0" r="6985" b="508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280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1596" w:rsidRPr="00D04DEB">
        <w:rPr>
          <w:noProof/>
          <w:lang w:eastAsia="en-GB"/>
        </w:rPr>
        <w:drawing>
          <wp:inline distT="0" distB="0" distL="0" distR="0" wp14:anchorId="32179193" wp14:editId="4D3871D8">
            <wp:extent cx="5760720" cy="16192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41596" w:rsidRPr="00D04DEB">
        <w:rPr>
          <w:noProof/>
          <w:lang w:eastAsia="en-GB"/>
        </w:rPr>
        <w:drawing>
          <wp:inline distT="0" distB="0" distL="0" distR="0" wp14:anchorId="1B622E8D" wp14:editId="20A0A5D3">
            <wp:extent cx="5760720" cy="280416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804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63D4" w:rsidRPr="00D04DEB" w:rsidRDefault="003C63D4">
      <w:pPr>
        <w:rPr>
          <w:lang w:val="en-US"/>
        </w:rPr>
      </w:pPr>
      <w:r w:rsidRPr="00D04DEB">
        <w:rPr>
          <w:noProof/>
          <w:lang w:eastAsia="en-GB"/>
        </w:rPr>
        <w:drawing>
          <wp:inline distT="0" distB="0" distL="0" distR="0" wp14:anchorId="18B0EC3C" wp14:editId="56636C99">
            <wp:extent cx="5760720" cy="279019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790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63D4" w:rsidRPr="00D04DEB" w:rsidRDefault="003C63D4">
      <w:pPr>
        <w:rPr>
          <w:lang w:val="en-US"/>
        </w:rPr>
      </w:pPr>
    </w:p>
    <w:p w:rsidR="00441596" w:rsidRPr="00D04DEB" w:rsidRDefault="00441596">
      <w:pPr>
        <w:rPr>
          <w:lang w:val="en-US"/>
        </w:rPr>
      </w:pPr>
      <w:r w:rsidRPr="00D04DEB">
        <w:rPr>
          <w:noProof/>
          <w:lang w:eastAsia="en-GB"/>
        </w:rPr>
        <w:lastRenderedPageBreak/>
        <w:drawing>
          <wp:inline distT="0" distB="0" distL="0" distR="0" wp14:anchorId="17A320FD" wp14:editId="475834D7">
            <wp:extent cx="5570220" cy="1164761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581125" cy="11670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1596" w:rsidRPr="00D04DEB" w:rsidRDefault="00441596">
      <w:pPr>
        <w:rPr>
          <w:lang w:val="en-US"/>
        </w:rPr>
      </w:pPr>
    </w:p>
    <w:sectPr w:rsidR="00441596" w:rsidRPr="00D04DEB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4F65" w:rsidRDefault="00404F65" w:rsidP="00404F65">
      <w:pPr>
        <w:spacing w:after="0" w:line="240" w:lineRule="auto"/>
      </w:pPr>
      <w:r>
        <w:separator/>
      </w:r>
    </w:p>
  </w:endnote>
  <w:endnote w:type="continuationSeparator" w:id="0">
    <w:p w:rsidR="00404F65" w:rsidRDefault="00404F65" w:rsidP="00404F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4F65" w:rsidRDefault="00404F6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4F65" w:rsidRDefault="00404F6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4F65" w:rsidRDefault="00404F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4F65" w:rsidRDefault="00404F65" w:rsidP="00404F65">
      <w:pPr>
        <w:spacing w:after="0" w:line="240" w:lineRule="auto"/>
      </w:pPr>
      <w:r>
        <w:separator/>
      </w:r>
    </w:p>
  </w:footnote>
  <w:footnote w:type="continuationSeparator" w:id="0">
    <w:p w:rsidR="00404F65" w:rsidRDefault="00404F65" w:rsidP="00404F65">
      <w:pPr>
        <w:spacing w:after="0" w:line="240" w:lineRule="auto"/>
      </w:pPr>
      <w:r>
        <w:continuationSeparator/>
      </w:r>
    </w:p>
  </w:footnote>
  <w:footnote w:id="1">
    <w:p w:rsidR="00404F65" w:rsidRDefault="00404F6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466A7C">
        <w:t>i.e.</w:t>
      </w:r>
      <w:r>
        <w:t xml:space="preserve"> the EVAP family</w:t>
      </w:r>
      <w:r w:rsidR="00466A7C">
        <w:t xml:space="preserve"> &lt;TBD&gt;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4F65" w:rsidRDefault="00404F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4F65" w:rsidRPr="008F0CDA" w:rsidRDefault="00404F65" w:rsidP="008F0CD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4F65" w:rsidRDefault="00404F6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386378"/>
    <w:rsid w:val="00386378"/>
    <w:rsid w:val="003C63D4"/>
    <w:rsid w:val="00404F65"/>
    <w:rsid w:val="00413A3E"/>
    <w:rsid w:val="00441596"/>
    <w:rsid w:val="00466A7C"/>
    <w:rsid w:val="006F2033"/>
    <w:rsid w:val="00746895"/>
    <w:rsid w:val="008F0CDA"/>
    <w:rsid w:val="009742C6"/>
    <w:rsid w:val="00B22096"/>
    <w:rsid w:val="00B86BAF"/>
    <w:rsid w:val="00D04DEB"/>
    <w:rsid w:val="00E30066"/>
    <w:rsid w:val="00E501DE"/>
    <w:rsid w:val="00F17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420CF66"/>
  <w15:chartTrackingRefBased/>
  <w15:docId w15:val="{8ED40DB8-055D-481F-A83C-5B5E400D4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M1">
    <w:name w:val="CM1"/>
    <w:basedOn w:val="Normal"/>
    <w:next w:val="Normal"/>
    <w:uiPriority w:val="99"/>
    <w:rsid w:val="00F175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M3">
    <w:name w:val="CM3"/>
    <w:basedOn w:val="Normal"/>
    <w:next w:val="Normal"/>
    <w:uiPriority w:val="99"/>
    <w:rsid w:val="00F175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M4">
    <w:name w:val="CM4"/>
    <w:basedOn w:val="Normal"/>
    <w:next w:val="Normal"/>
    <w:uiPriority w:val="99"/>
    <w:rsid w:val="00F175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04F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F65"/>
  </w:style>
  <w:style w:type="paragraph" w:styleId="Footer">
    <w:name w:val="footer"/>
    <w:basedOn w:val="Normal"/>
    <w:link w:val="FooterChar"/>
    <w:uiPriority w:val="99"/>
    <w:unhideWhenUsed/>
    <w:rsid w:val="00404F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F65"/>
  </w:style>
  <w:style w:type="paragraph" w:styleId="FootnoteText">
    <w:name w:val="footnote text"/>
    <w:basedOn w:val="Normal"/>
    <w:link w:val="FootnoteTextChar"/>
    <w:uiPriority w:val="99"/>
    <w:semiHidden/>
    <w:unhideWhenUsed/>
    <w:rsid w:val="00404F6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04F6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04F6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image" Target="media/image4.png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FE45B05E-EF09-413D-BAB9-78A596F65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4</Pages>
  <Words>249</Words>
  <Characters>1151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THEDINGA Bart (GROW)</dc:creator>
  <cp:keywords/>
  <dc:description/>
  <cp:lastModifiedBy>THEDINGA Bart (GROW)</cp:lastModifiedBy>
  <cp:revision>11</cp:revision>
  <dcterms:created xsi:type="dcterms:W3CDTF">2019-07-11T14:49:00Z</dcterms:created>
  <dcterms:modified xsi:type="dcterms:W3CDTF">2019-07-12T16:21:00Z</dcterms:modified>
</cp:coreProperties>
</file>