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Look w:val="04A0" w:firstRow="1" w:lastRow="0" w:firstColumn="1" w:lastColumn="0" w:noHBand="0" w:noVBand="1"/>
      </w:tblPr>
      <w:tblGrid>
        <w:gridCol w:w="5495"/>
        <w:gridCol w:w="4786"/>
      </w:tblGrid>
      <w:tr w:rsidR="00C132DF" w:rsidRPr="00C132DF" w:rsidTr="00C132DF">
        <w:tc>
          <w:tcPr>
            <w:tcW w:w="5495" w:type="dxa"/>
            <w:hideMark/>
          </w:tcPr>
          <w:p w:rsidR="00C132DF" w:rsidRDefault="00C132DF" w:rsidP="00C132DF">
            <w:pPr>
              <w:autoSpaceDE w:val="0"/>
              <w:autoSpaceDN w:val="0"/>
              <w:adjustRightInd w:val="0"/>
              <w:rPr>
                <w:rFonts w:ascii="Times New Roman" w:hAnsi="Times New Roman"/>
                <w:bCs/>
                <w:sz w:val="24"/>
                <w:szCs w:val="24"/>
                <w:lang w:val="en-US"/>
              </w:rPr>
            </w:pPr>
            <w:bookmarkStart w:id="0" w:name="_GoBack"/>
            <w:bookmarkEnd w:id="0"/>
            <w:r w:rsidRPr="00C132DF">
              <w:rPr>
                <w:rFonts w:ascii="Times New Roman" w:hAnsi="Times New Roman"/>
                <w:bCs/>
                <w:sz w:val="24"/>
                <w:szCs w:val="24"/>
                <w:lang w:val="en-US"/>
              </w:rPr>
              <w:t xml:space="preserve">Transmitted by the </w:t>
            </w:r>
            <w:r>
              <w:rPr>
                <w:rFonts w:ascii="Times New Roman" w:hAnsi="Times New Roman"/>
                <w:bCs/>
                <w:sz w:val="24"/>
                <w:szCs w:val="24"/>
                <w:lang w:val="en-US"/>
              </w:rPr>
              <w:t>representative of the Russian Federation</w:t>
            </w:r>
            <w:r w:rsidRPr="00C132DF">
              <w:rPr>
                <w:rFonts w:ascii="Times New Roman" w:hAnsi="Times New Roman"/>
                <w:bCs/>
                <w:sz w:val="24"/>
                <w:szCs w:val="24"/>
                <w:lang w:val="en-US"/>
              </w:rPr>
              <w:t xml:space="preserve"> </w:t>
            </w:r>
          </w:p>
        </w:tc>
        <w:tc>
          <w:tcPr>
            <w:tcW w:w="4786" w:type="dxa"/>
            <w:hideMark/>
          </w:tcPr>
          <w:p w:rsidR="00C132DF" w:rsidRPr="00677359" w:rsidRDefault="00C132DF" w:rsidP="00C132DF">
            <w:pPr>
              <w:autoSpaceDE w:val="0"/>
              <w:autoSpaceDN w:val="0"/>
              <w:adjustRightInd w:val="0"/>
              <w:rPr>
                <w:rFonts w:ascii="Times New Roman" w:hAnsi="Times New Roman"/>
                <w:bCs/>
                <w:sz w:val="24"/>
                <w:szCs w:val="24"/>
              </w:rPr>
            </w:pPr>
            <w:r w:rsidRPr="00C132DF">
              <w:rPr>
                <w:rFonts w:ascii="Times New Roman" w:hAnsi="Times New Roman"/>
                <w:sz w:val="24"/>
                <w:szCs w:val="24"/>
                <w:lang w:val="en-US"/>
              </w:rPr>
              <w:t>PTI</w:t>
            </w:r>
            <w:r w:rsidRPr="00C132DF">
              <w:rPr>
                <w:rFonts w:ascii="Times New Roman" w:hAnsi="Times New Roman"/>
                <w:bCs/>
                <w:sz w:val="24"/>
                <w:szCs w:val="24"/>
                <w:lang w:val="en-US"/>
              </w:rPr>
              <w:t>-15</w:t>
            </w:r>
            <w:r>
              <w:rPr>
                <w:rFonts w:ascii="Times New Roman" w:hAnsi="Times New Roman"/>
                <w:b/>
                <w:bCs/>
                <w:sz w:val="24"/>
                <w:szCs w:val="24"/>
                <w:lang w:val="en-US"/>
              </w:rPr>
              <w:t>-</w:t>
            </w:r>
            <w:r w:rsidR="005C04E5">
              <w:rPr>
                <w:rFonts w:ascii="Times New Roman" w:hAnsi="Times New Roman"/>
                <w:bCs/>
                <w:sz w:val="24"/>
                <w:szCs w:val="24"/>
                <w:lang w:val="en-US"/>
              </w:rPr>
              <w:t>04</w:t>
            </w:r>
            <w:r w:rsidRPr="005C04E5">
              <w:rPr>
                <w:rFonts w:ascii="Times New Roman" w:hAnsi="Times New Roman"/>
                <w:bCs/>
                <w:sz w:val="24"/>
                <w:szCs w:val="24"/>
                <w:lang w:val="en-US"/>
              </w:rPr>
              <w:br/>
            </w:r>
            <w:r w:rsidRPr="00C132DF">
              <w:rPr>
                <w:rFonts w:ascii="Times New Roman" w:hAnsi="Times New Roman"/>
                <w:bCs/>
                <w:sz w:val="24"/>
                <w:szCs w:val="24"/>
                <w:lang w:val="en-US"/>
              </w:rPr>
              <w:t>1</w:t>
            </w:r>
            <w:r>
              <w:rPr>
                <w:rFonts w:ascii="Times New Roman" w:hAnsi="Times New Roman"/>
                <w:bCs/>
                <w:sz w:val="24"/>
                <w:szCs w:val="24"/>
                <w:lang w:val="en-US"/>
              </w:rPr>
              <w:t>0</w:t>
            </w:r>
            <w:r w:rsidRPr="00C132DF">
              <w:rPr>
                <w:rFonts w:ascii="Times New Roman" w:hAnsi="Times New Roman"/>
                <w:bCs/>
                <w:sz w:val="24"/>
                <w:szCs w:val="24"/>
                <w:lang w:val="en-US"/>
              </w:rPr>
              <w:t xml:space="preserve"> </w:t>
            </w:r>
            <w:r>
              <w:rPr>
                <w:rFonts w:ascii="Times New Roman" w:hAnsi="Times New Roman"/>
                <w:bCs/>
                <w:sz w:val="24"/>
                <w:szCs w:val="24"/>
                <w:lang w:val="en-US"/>
              </w:rPr>
              <w:t>September</w:t>
            </w:r>
            <w:r w:rsidRPr="00C132DF">
              <w:rPr>
                <w:rFonts w:ascii="Times New Roman" w:hAnsi="Times New Roman"/>
                <w:bCs/>
                <w:sz w:val="24"/>
                <w:szCs w:val="24"/>
                <w:lang w:val="en-US"/>
              </w:rPr>
              <w:t xml:space="preserve"> 2019</w:t>
            </w:r>
            <w:r w:rsidRPr="00C132DF">
              <w:rPr>
                <w:rFonts w:ascii="Times New Roman" w:hAnsi="Times New Roman"/>
                <w:bCs/>
                <w:sz w:val="24"/>
                <w:szCs w:val="24"/>
                <w:lang w:val="en-US"/>
              </w:rPr>
              <w:br/>
              <w:t xml:space="preserve">Agenda item </w:t>
            </w:r>
            <w:r w:rsidR="00677359">
              <w:rPr>
                <w:rFonts w:ascii="Times New Roman" w:hAnsi="Times New Roman"/>
                <w:bCs/>
                <w:sz w:val="24"/>
                <w:szCs w:val="24"/>
              </w:rPr>
              <w:t>6</w:t>
            </w:r>
          </w:p>
        </w:tc>
      </w:tr>
    </w:tbl>
    <w:p w:rsidR="00677359" w:rsidRPr="003327C2" w:rsidRDefault="00677359" w:rsidP="00677359">
      <w:pPr>
        <w:pStyle w:val="Default"/>
        <w:rPr>
          <w:lang w:val="en-US"/>
        </w:rPr>
      </w:pPr>
    </w:p>
    <w:p w:rsidR="00696A9C" w:rsidRPr="00696A9C" w:rsidRDefault="00EA1547" w:rsidP="00696A9C">
      <w:pPr>
        <w:pStyle w:val="Default"/>
        <w:jc w:val="center"/>
        <w:rPr>
          <w:b/>
          <w:sz w:val="28"/>
          <w:szCs w:val="28"/>
          <w:lang w:val="en-US"/>
        </w:rPr>
      </w:pPr>
      <w:r>
        <w:rPr>
          <w:b/>
          <w:sz w:val="28"/>
          <w:szCs w:val="28"/>
          <w:lang w:val="en-US"/>
        </w:rPr>
        <w:t>Proposals for the draft</w:t>
      </w:r>
      <w:r w:rsidR="00C77726" w:rsidRPr="00C77726">
        <w:rPr>
          <w:b/>
          <w:sz w:val="28"/>
          <w:szCs w:val="28"/>
          <w:lang w:val="en-US"/>
        </w:rPr>
        <w:t xml:space="preserve"> of </w:t>
      </w:r>
      <w:r w:rsidR="00677359" w:rsidRPr="00C77726">
        <w:rPr>
          <w:b/>
          <w:sz w:val="28"/>
          <w:szCs w:val="28"/>
          <w:lang w:val="en-US"/>
        </w:rPr>
        <w:t>general framework of in-service compliance assessment the vehicles and their components</w:t>
      </w:r>
    </w:p>
    <w:p w:rsidR="00262BD8" w:rsidRDefault="00262BD8" w:rsidP="00677359">
      <w:pPr>
        <w:pStyle w:val="Default"/>
        <w:jc w:val="both"/>
        <w:rPr>
          <w:sz w:val="28"/>
          <w:szCs w:val="28"/>
          <w:lang w:val="en-US"/>
        </w:rPr>
      </w:pPr>
    </w:p>
    <w:p w:rsidR="00262BD8" w:rsidRPr="00A418FD" w:rsidRDefault="00696A9C" w:rsidP="00A418FD">
      <w:pPr>
        <w:rPr>
          <w:rFonts w:ascii="Times New Roman" w:hAnsi="Times New Roman" w:cs="Times New Roman"/>
          <w:b/>
          <w:sz w:val="28"/>
          <w:szCs w:val="28"/>
          <w:lang w:val="en-US"/>
        </w:rPr>
      </w:pPr>
      <w:r>
        <w:rPr>
          <w:rFonts w:ascii="Times New Roman" w:hAnsi="Times New Roman" w:cs="Times New Roman"/>
          <w:b/>
          <w:sz w:val="28"/>
          <w:szCs w:val="28"/>
          <w:lang w:val="en-US"/>
        </w:rPr>
        <w:t>1</w:t>
      </w:r>
      <w:r w:rsidR="00A418FD">
        <w:rPr>
          <w:rFonts w:ascii="Times New Roman" w:hAnsi="Times New Roman" w:cs="Times New Roman"/>
          <w:b/>
          <w:sz w:val="28"/>
          <w:szCs w:val="28"/>
          <w:lang w:val="en-US"/>
        </w:rPr>
        <w:t xml:space="preserve">. </w:t>
      </w:r>
      <w:r w:rsidR="00262BD8" w:rsidRPr="00A418FD">
        <w:rPr>
          <w:rFonts w:ascii="Times New Roman" w:hAnsi="Times New Roman" w:cs="Times New Roman"/>
          <w:b/>
          <w:sz w:val="28"/>
          <w:szCs w:val="28"/>
          <w:lang w:val="en-US"/>
        </w:rPr>
        <w:t>Four Pillars of the Compliance</w:t>
      </w:r>
    </w:p>
    <w:p w:rsidR="00262BD8" w:rsidRPr="00262BD8" w:rsidRDefault="00262BD8" w:rsidP="00262BD8">
      <w:pPr>
        <w:pStyle w:val="Pargrafdellista"/>
        <w:jc w:val="center"/>
        <w:rPr>
          <w:rFonts w:ascii="Times New Roman" w:hAnsi="Times New Roman" w:cs="Times New Roman"/>
          <w:b/>
          <w:sz w:val="28"/>
          <w:szCs w:val="28"/>
          <w:lang w:val="en-US"/>
        </w:rPr>
      </w:pPr>
    </w:p>
    <w:tbl>
      <w:tblPr>
        <w:tblStyle w:val="Taulaambquadrcula"/>
        <w:tblW w:w="0" w:type="auto"/>
        <w:tblInd w:w="720" w:type="dxa"/>
        <w:tblLayout w:type="fixed"/>
        <w:tblLook w:val="04A0" w:firstRow="1" w:lastRow="0" w:firstColumn="1" w:lastColumn="0" w:noHBand="0" w:noVBand="1"/>
      </w:tblPr>
      <w:tblGrid>
        <w:gridCol w:w="1656"/>
        <w:gridCol w:w="1985"/>
        <w:gridCol w:w="1984"/>
        <w:gridCol w:w="1701"/>
        <w:gridCol w:w="1525"/>
      </w:tblGrid>
      <w:tr w:rsidR="00A418FD" w:rsidTr="00486208">
        <w:tc>
          <w:tcPr>
            <w:tcW w:w="8851" w:type="dxa"/>
            <w:gridSpan w:val="5"/>
          </w:tcPr>
          <w:p w:rsidR="00A418FD" w:rsidRPr="00A418FD" w:rsidRDefault="00733C56" w:rsidP="00262BD8">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Transport </w:t>
            </w:r>
            <w:r w:rsidR="00A418FD" w:rsidRPr="00A418FD">
              <w:rPr>
                <w:rFonts w:ascii="Times New Roman" w:hAnsi="Times New Roman" w:cs="Times New Roman"/>
                <w:b/>
                <w:sz w:val="28"/>
                <w:szCs w:val="28"/>
                <w:lang w:val="en-US"/>
              </w:rPr>
              <w:t>Sustainability</w:t>
            </w:r>
          </w:p>
        </w:tc>
      </w:tr>
      <w:tr w:rsidR="00A418FD" w:rsidTr="00A256B1">
        <w:tc>
          <w:tcPr>
            <w:tcW w:w="7326" w:type="dxa"/>
            <w:gridSpan w:val="4"/>
          </w:tcPr>
          <w:p w:rsidR="00A418FD" w:rsidRPr="00262BD8" w:rsidRDefault="00A418FD" w:rsidP="00262BD8">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Safety</w:t>
            </w:r>
          </w:p>
        </w:tc>
        <w:tc>
          <w:tcPr>
            <w:tcW w:w="1525" w:type="dxa"/>
            <w:vMerge w:val="restart"/>
          </w:tcPr>
          <w:p w:rsidR="00A418FD" w:rsidRDefault="00A418FD" w:rsidP="00262BD8">
            <w:pPr>
              <w:pStyle w:val="Pargrafdellista"/>
              <w:ind w:left="0"/>
              <w:jc w:val="center"/>
              <w:rPr>
                <w:rFonts w:ascii="Times New Roman" w:hAnsi="Times New Roman" w:cs="Times New Roman"/>
                <w:b/>
                <w:sz w:val="28"/>
                <w:szCs w:val="28"/>
                <w:lang w:val="en-US"/>
              </w:rPr>
            </w:pPr>
          </w:p>
          <w:p w:rsidR="00A418FD" w:rsidRDefault="00A418FD" w:rsidP="00262BD8">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Security</w:t>
            </w:r>
          </w:p>
        </w:tc>
      </w:tr>
      <w:tr w:rsidR="00A418FD" w:rsidTr="00A418FD">
        <w:tc>
          <w:tcPr>
            <w:tcW w:w="1656" w:type="dxa"/>
          </w:tcPr>
          <w:p w:rsidR="00A418FD" w:rsidRPr="00A418FD" w:rsidRDefault="00A418FD" w:rsidP="00A418FD">
            <w:pPr>
              <w:jc w:val="center"/>
              <w:rPr>
                <w:rFonts w:ascii="Times New Roman" w:hAnsi="Times New Roman" w:cs="Times New Roman"/>
                <w:b/>
                <w:sz w:val="28"/>
                <w:szCs w:val="28"/>
                <w:lang w:val="en-US"/>
              </w:rPr>
            </w:pPr>
            <w:r w:rsidRPr="00A418FD">
              <w:rPr>
                <w:rFonts w:ascii="Times New Roman" w:hAnsi="Times New Roman" w:cs="Times New Roman"/>
                <w:b/>
                <w:sz w:val="28"/>
                <w:szCs w:val="28"/>
                <w:lang w:val="en-US"/>
              </w:rPr>
              <w:t>CoP</w:t>
            </w:r>
          </w:p>
          <w:p w:rsidR="00A418FD" w:rsidRPr="00262BD8" w:rsidRDefault="00A418FD" w:rsidP="00262BD8">
            <w:pPr>
              <w:pStyle w:val="Pargrafdellista"/>
              <w:ind w:left="0"/>
              <w:jc w:val="center"/>
              <w:rPr>
                <w:rFonts w:ascii="Times New Roman" w:hAnsi="Times New Roman" w:cs="Times New Roman"/>
                <w:b/>
                <w:sz w:val="28"/>
                <w:szCs w:val="28"/>
                <w:lang w:val="en-US"/>
              </w:rPr>
            </w:pPr>
          </w:p>
        </w:tc>
        <w:tc>
          <w:tcPr>
            <w:tcW w:w="1985" w:type="dxa"/>
          </w:tcPr>
          <w:p w:rsidR="00A418FD" w:rsidRPr="00262BD8" w:rsidRDefault="00A418FD" w:rsidP="00262BD8">
            <w:pPr>
              <w:pStyle w:val="Pargrafdellista"/>
              <w:ind w:left="0"/>
              <w:jc w:val="center"/>
              <w:rPr>
                <w:rFonts w:ascii="Times New Roman" w:hAnsi="Times New Roman" w:cs="Times New Roman"/>
                <w:b/>
                <w:sz w:val="28"/>
                <w:szCs w:val="28"/>
                <w:lang w:val="en-US"/>
              </w:rPr>
            </w:pPr>
            <w:r w:rsidRPr="00262BD8">
              <w:rPr>
                <w:rFonts w:ascii="Times New Roman" w:hAnsi="Times New Roman" w:cs="Times New Roman"/>
                <w:b/>
                <w:sz w:val="28"/>
                <w:szCs w:val="28"/>
                <w:lang w:val="en-US"/>
              </w:rPr>
              <w:t>In-Service Conformity</w:t>
            </w:r>
          </w:p>
        </w:tc>
        <w:tc>
          <w:tcPr>
            <w:tcW w:w="1984" w:type="dxa"/>
          </w:tcPr>
          <w:p w:rsidR="00A418FD" w:rsidRPr="00262BD8" w:rsidRDefault="00A418FD" w:rsidP="00262BD8">
            <w:pPr>
              <w:pStyle w:val="Pargrafdellista"/>
              <w:ind w:left="0"/>
              <w:jc w:val="center"/>
              <w:rPr>
                <w:rFonts w:ascii="Times New Roman" w:hAnsi="Times New Roman" w:cs="Times New Roman"/>
                <w:b/>
                <w:sz w:val="28"/>
                <w:szCs w:val="28"/>
                <w:lang w:val="en-US"/>
              </w:rPr>
            </w:pPr>
            <w:r w:rsidRPr="00262BD8">
              <w:rPr>
                <w:rFonts w:ascii="Times New Roman" w:hAnsi="Times New Roman" w:cs="Times New Roman"/>
                <w:b/>
                <w:sz w:val="28"/>
                <w:szCs w:val="28"/>
                <w:lang w:val="en-US"/>
              </w:rPr>
              <w:t>Market Surveillance</w:t>
            </w:r>
          </w:p>
        </w:tc>
        <w:tc>
          <w:tcPr>
            <w:tcW w:w="1701" w:type="dxa"/>
          </w:tcPr>
          <w:p w:rsidR="00A418FD" w:rsidRPr="00262BD8" w:rsidRDefault="00A418FD" w:rsidP="00262BD8">
            <w:pPr>
              <w:pStyle w:val="Pargrafdellista"/>
              <w:ind w:left="0"/>
              <w:jc w:val="center"/>
              <w:rPr>
                <w:rFonts w:ascii="Times New Roman" w:hAnsi="Times New Roman" w:cs="Times New Roman"/>
                <w:b/>
                <w:sz w:val="28"/>
                <w:szCs w:val="28"/>
                <w:lang w:val="en-US"/>
              </w:rPr>
            </w:pPr>
            <w:r w:rsidRPr="00262BD8">
              <w:rPr>
                <w:rFonts w:ascii="Times New Roman" w:hAnsi="Times New Roman" w:cs="Times New Roman"/>
                <w:b/>
                <w:sz w:val="28"/>
                <w:szCs w:val="28"/>
                <w:lang w:val="en-US"/>
              </w:rPr>
              <w:t>PTI</w:t>
            </w:r>
            <w:r w:rsidR="000B5317">
              <w:rPr>
                <w:rFonts w:ascii="Times New Roman" w:hAnsi="Times New Roman" w:cs="Times New Roman"/>
                <w:b/>
                <w:sz w:val="28"/>
                <w:szCs w:val="28"/>
                <w:lang w:val="en-US"/>
              </w:rPr>
              <w:t>/Roadside Inspection</w:t>
            </w:r>
          </w:p>
        </w:tc>
        <w:tc>
          <w:tcPr>
            <w:tcW w:w="1525" w:type="dxa"/>
            <w:vMerge/>
          </w:tcPr>
          <w:p w:rsidR="00A418FD" w:rsidRPr="00262BD8" w:rsidRDefault="00A418FD" w:rsidP="00262BD8">
            <w:pPr>
              <w:pStyle w:val="Pargrafdellista"/>
              <w:ind w:left="0"/>
              <w:jc w:val="center"/>
              <w:rPr>
                <w:rFonts w:ascii="Times New Roman" w:hAnsi="Times New Roman" w:cs="Times New Roman"/>
                <w:b/>
                <w:sz w:val="28"/>
                <w:szCs w:val="28"/>
                <w:lang w:val="en-US"/>
              </w:rPr>
            </w:pPr>
          </w:p>
        </w:tc>
      </w:tr>
      <w:tr w:rsidR="00696A9C" w:rsidTr="005B3E3D">
        <w:tc>
          <w:tcPr>
            <w:tcW w:w="8851" w:type="dxa"/>
            <w:gridSpan w:val="5"/>
          </w:tcPr>
          <w:p w:rsidR="00696A9C" w:rsidRPr="00262BD8" w:rsidRDefault="00696A9C" w:rsidP="00262BD8">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Legislation</w:t>
            </w:r>
          </w:p>
        </w:tc>
      </w:tr>
      <w:tr w:rsidR="00696A9C" w:rsidTr="00F1247E">
        <w:tc>
          <w:tcPr>
            <w:tcW w:w="3641" w:type="dxa"/>
            <w:gridSpan w:val="2"/>
          </w:tcPr>
          <w:p w:rsidR="00696A9C" w:rsidRPr="00262BD8" w:rsidRDefault="00696A9C" w:rsidP="00262BD8">
            <w:pPr>
              <w:pStyle w:val="Pargrafdellista"/>
              <w:ind w:left="0"/>
              <w:jc w:val="center"/>
              <w:rPr>
                <w:rFonts w:ascii="Times New Roman" w:hAnsi="Times New Roman" w:cs="Times New Roman"/>
                <w:b/>
                <w:sz w:val="28"/>
                <w:szCs w:val="28"/>
                <w:lang w:val="en-US"/>
              </w:rPr>
            </w:pPr>
            <w:r w:rsidRPr="00696A9C">
              <w:rPr>
                <w:rFonts w:ascii="Times New Roman" w:hAnsi="Times New Roman" w:cs="Times New Roman"/>
                <w:sz w:val="28"/>
                <w:szCs w:val="28"/>
                <w:lang w:val="en-US"/>
              </w:rPr>
              <w:t>The 1958 Agreement</w:t>
            </w:r>
          </w:p>
        </w:tc>
        <w:tc>
          <w:tcPr>
            <w:tcW w:w="1984" w:type="dxa"/>
          </w:tcPr>
          <w:p w:rsidR="00696A9C" w:rsidRPr="00696A9C" w:rsidRDefault="00696A9C" w:rsidP="00262BD8">
            <w:pPr>
              <w:pStyle w:val="Pargrafdellista"/>
              <w:ind w:left="0"/>
              <w:jc w:val="center"/>
              <w:rPr>
                <w:rFonts w:ascii="Times New Roman" w:hAnsi="Times New Roman" w:cs="Times New Roman"/>
                <w:sz w:val="28"/>
                <w:szCs w:val="28"/>
                <w:lang w:val="en-US"/>
              </w:rPr>
            </w:pPr>
            <w:r w:rsidRPr="00696A9C">
              <w:rPr>
                <w:rFonts w:ascii="Times New Roman" w:hAnsi="Times New Roman" w:cs="Times New Roman"/>
                <w:sz w:val="28"/>
                <w:szCs w:val="28"/>
                <w:lang w:val="en-US"/>
              </w:rPr>
              <w:t>National Legislation</w:t>
            </w:r>
          </w:p>
        </w:tc>
        <w:tc>
          <w:tcPr>
            <w:tcW w:w="1701" w:type="dxa"/>
          </w:tcPr>
          <w:p w:rsidR="00696A9C" w:rsidRPr="00262BD8" w:rsidRDefault="00696A9C" w:rsidP="00696A9C">
            <w:pPr>
              <w:pStyle w:val="Pargrafdellista"/>
              <w:ind w:left="0"/>
              <w:jc w:val="center"/>
              <w:rPr>
                <w:rFonts w:ascii="Times New Roman" w:hAnsi="Times New Roman" w:cs="Times New Roman"/>
                <w:b/>
                <w:sz w:val="28"/>
                <w:szCs w:val="28"/>
                <w:lang w:val="en-US"/>
              </w:rPr>
            </w:pPr>
            <w:r w:rsidRPr="00696A9C">
              <w:rPr>
                <w:rFonts w:ascii="Times New Roman" w:hAnsi="Times New Roman" w:cs="Times New Roman"/>
                <w:sz w:val="28"/>
                <w:szCs w:val="28"/>
                <w:lang w:val="en-US"/>
              </w:rPr>
              <w:t>The 19</w:t>
            </w:r>
            <w:r>
              <w:rPr>
                <w:rFonts w:ascii="Times New Roman" w:hAnsi="Times New Roman" w:cs="Times New Roman"/>
                <w:sz w:val="28"/>
                <w:szCs w:val="28"/>
                <w:lang w:val="en-US"/>
              </w:rPr>
              <w:t>97</w:t>
            </w:r>
            <w:r w:rsidRPr="00696A9C">
              <w:rPr>
                <w:rFonts w:ascii="Times New Roman" w:hAnsi="Times New Roman" w:cs="Times New Roman"/>
                <w:sz w:val="28"/>
                <w:szCs w:val="28"/>
                <w:lang w:val="en-US"/>
              </w:rPr>
              <w:t xml:space="preserve"> Agreement</w:t>
            </w:r>
          </w:p>
        </w:tc>
        <w:tc>
          <w:tcPr>
            <w:tcW w:w="1525" w:type="dxa"/>
          </w:tcPr>
          <w:p w:rsidR="00696A9C" w:rsidRPr="00262BD8" w:rsidRDefault="00696A9C" w:rsidP="00262BD8">
            <w:pPr>
              <w:pStyle w:val="Pargrafdellista"/>
              <w:ind w:left="0"/>
              <w:jc w:val="center"/>
              <w:rPr>
                <w:rFonts w:ascii="Times New Roman" w:hAnsi="Times New Roman" w:cs="Times New Roman"/>
                <w:b/>
                <w:sz w:val="28"/>
                <w:szCs w:val="28"/>
                <w:lang w:val="en-US"/>
              </w:rPr>
            </w:pPr>
          </w:p>
        </w:tc>
      </w:tr>
      <w:tr w:rsidR="00733C56" w:rsidRPr="000B5317" w:rsidTr="001E5973">
        <w:tc>
          <w:tcPr>
            <w:tcW w:w="8851" w:type="dxa"/>
            <w:gridSpan w:val="5"/>
          </w:tcPr>
          <w:p w:rsidR="00733C56" w:rsidRPr="00262BD8" w:rsidRDefault="00733C56" w:rsidP="00262BD8">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The legal acts shall be interconnected</w:t>
            </w:r>
          </w:p>
        </w:tc>
      </w:tr>
      <w:tr w:rsidR="00A418FD" w:rsidTr="00290479">
        <w:tc>
          <w:tcPr>
            <w:tcW w:w="8851" w:type="dxa"/>
            <w:gridSpan w:val="5"/>
          </w:tcPr>
          <w:p w:rsidR="00A418FD" w:rsidRPr="00A418FD" w:rsidRDefault="00696A9C" w:rsidP="00A418FD">
            <w:pPr>
              <w:pStyle w:val="Pargrafdellista"/>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Supervision</w:t>
            </w:r>
          </w:p>
        </w:tc>
      </w:tr>
      <w:tr w:rsidR="00A418FD" w:rsidTr="00A418FD">
        <w:tc>
          <w:tcPr>
            <w:tcW w:w="1656" w:type="dxa"/>
          </w:tcPr>
          <w:p w:rsidR="00A418FD" w:rsidRDefault="00A418FD"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Manufacturer</w:t>
            </w:r>
          </w:p>
        </w:tc>
        <w:tc>
          <w:tcPr>
            <w:tcW w:w="1985" w:type="dxa"/>
          </w:tcPr>
          <w:p w:rsidR="00A418FD" w:rsidRDefault="00A418FD"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Manufacturer/Type Approval Authority</w:t>
            </w:r>
          </w:p>
        </w:tc>
        <w:tc>
          <w:tcPr>
            <w:tcW w:w="1984" w:type="dxa"/>
          </w:tcPr>
          <w:p w:rsidR="00A418FD" w:rsidRDefault="00A418FD"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Contracting Parties</w:t>
            </w:r>
          </w:p>
        </w:tc>
        <w:tc>
          <w:tcPr>
            <w:tcW w:w="1701" w:type="dxa"/>
          </w:tcPr>
          <w:p w:rsidR="00A418FD" w:rsidRDefault="00A418FD"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Contracting Parties</w:t>
            </w:r>
          </w:p>
        </w:tc>
        <w:tc>
          <w:tcPr>
            <w:tcW w:w="1525" w:type="dxa"/>
          </w:tcPr>
          <w:p w:rsidR="00A418FD" w:rsidRDefault="00A418FD"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Manufacturer/Type Approval Authority</w:t>
            </w:r>
          </w:p>
        </w:tc>
      </w:tr>
      <w:tr w:rsidR="000B5317" w:rsidTr="004C183E">
        <w:tc>
          <w:tcPr>
            <w:tcW w:w="1656" w:type="dxa"/>
          </w:tcPr>
          <w:p w:rsidR="000B5317" w:rsidRDefault="00923A08" w:rsidP="00331DC7">
            <w:pPr>
              <w:pStyle w:val="Pargrafdellista"/>
              <w:ind w:left="0"/>
              <w:jc w:val="both"/>
              <w:rPr>
                <w:rFonts w:ascii="Times New Roman" w:hAnsi="Times New Roman" w:cs="Times New Roman"/>
                <w:sz w:val="28"/>
                <w:szCs w:val="28"/>
                <w:lang w:val="en-US"/>
              </w:rPr>
            </w:pPr>
            <w:r>
              <w:rPr>
                <w:rFonts w:ascii="Times New Roman" w:hAnsi="Times New Roman" w:cs="Times New Roman"/>
                <w:sz w:val="28"/>
                <w:szCs w:val="28"/>
                <w:lang w:val="en-US"/>
              </w:rPr>
              <w:t>The Manufacturer’s Facilities</w:t>
            </w:r>
          </w:p>
        </w:tc>
        <w:tc>
          <w:tcPr>
            <w:tcW w:w="7195" w:type="dxa"/>
            <w:gridSpan w:val="4"/>
          </w:tcPr>
          <w:p w:rsidR="000B5317" w:rsidRPr="00923A08" w:rsidRDefault="000B5317" w:rsidP="000B5317">
            <w:pPr>
              <w:pStyle w:val="Pargrafdellista"/>
              <w:ind w:left="0"/>
              <w:jc w:val="center"/>
              <w:rPr>
                <w:rFonts w:ascii="Times New Roman" w:hAnsi="Times New Roman" w:cs="Times New Roman"/>
                <w:sz w:val="28"/>
                <w:szCs w:val="28"/>
                <w:lang w:val="en-US"/>
              </w:rPr>
            </w:pPr>
            <w:r w:rsidRPr="00923A08">
              <w:rPr>
                <w:rFonts w:ascii="Times New Roman" w:hAnsi="Times New Roman" w:cs="Times New Roman"/>
                <w:sz w:val="28"/>
                <w:szCs w:val="28"/>
                <w:lang w:val="en-US"/>
              </w:rPr>
              <w:t>Automatic remote permanent monitoring</w:t>
            </w:r>
          </w:p>
        </w:tc>
      </w:tr>
      <w:tr w:rsidR="00A418FD" w:rsidTr="00973EFB">
        <w:tc>
          <w:tcPr>
            <w:tcW w:w="8851" w:type="dxa"/>
            <w:gridSpan w:val="5"/>
          </w:tcPr>
          <w:p w:rsidR="00A418FD" w:rsidRPr="00A418FD" w:rsidRDefault="00A418FD" w:rsidP="00A418FD">
            <w:pPr>
              <w:pStyle w:val="Pargrafdellista"/>
              <w:ind w:left="0"/>
              <w:jc w:val="center"/>
              <w:rPr>
                <w:rFonts w:ascii="Times New Roman" w:hAnsi="Times New Roman" w:cs="Times New Roman"/>
                <w:b/>
                <w:sz w:val="28"/>
                <w:szCs w:val="28"/>
                <w:lang w:val="en-US"/>
              </w:rPr>
            </w:pPr>
            <w:r w:rsidRPr="00A418FD">
              <w:rPr>
                <w:rFonts w:ascii="Times New Roman" w:hAnsi="Times New Roman" w:cs="Times New Roman"/>
                <w:b/>
                <w:sz w:val="28"/>
                <w:szCs w:val="28"/>
                <w:lang w:val="en-US"/>
              </w:rPr>
              <w:t>Continuous Compli</w:t>
            </w:r>
            <w:r>
              <w:rPr>
                <w:rFonts w:ascii="Times New Roman" w:hAnsi="Times New Roman" w:cs="Times New Roman"/>
                <w:b/>
                <w:sz w:val="28"/>
                <w:szCs w:val="28"/>
                <w:lang w:val="en-US"/>
              </w:rPr>
              <w:t>a</w:t>
            </w:r>
            <w:r w:rsidRPr="00A418FD">
              <w:rPr>
                <w:rFonts w:ascii="Times New Roman" w:hAnsi="Times New Roman" w:cs="Times New Roman"/>
                <w:b/>
                <w:sz w:val="28"/>
                <w:szCs w:val="28"/>
                <w:lang w:val="en-US"/>
              </w:rPr>
              <w:t>nce</w:t>
            </w:r>
          </w:p>
        </w:tc>
      </w:tr>
    </w:tbl>
    <w:p w:rsidR="00262BD8" w:rsidRPr="00C77726" w:rsidRDefault="00262BD8" w:rsidP="00677359">
      <w:pPr>
        <w:pStyle w:val="Default"/>
        <w:jc w:val="both"/>
        <w:rPr>
          <w:sz w:val="28"/>
          <w:szCs w:val="28"/>
          <w:lang w:val="en-US"/>
        </w:rPr>
      </w:pPr>
    </w:p>
    <w:p w:rsidR="00677359" w:rsidRPr="00677359" w:rsidRDefault="00677359" w:rsidP="00677359">
      <w:pPr>
        <w:pStyle w:val="Default"/>
        <w:rPr>
          <w:sz w:val="23"/>
          <w:szCs w:val="23"/>
          <w:lang w:val="en-US"/>
        </w:rPr>
      </w:pPr>
    </w:p>
    <w:p w:rsidR="00696A9C" w:rsidRPr="00C77726" w:rsidRDefault="00696A9C" w:rsidP="00696A9C">
      <w:pPr>
        <w:jc w:val="both"/>
        <w:rPr>
          <w:rFonts w:ascii="Times New Roman" w:hAnsi="Times New Roman" w:cs="Times New Roman"/>
          <w:b/>
          <w:sz w:val="28"/>
          <w:szCs w:val="28"/>
          <w:lang w:val="en-US"/>
        </w:rPr>
      </w:pPr>
      <w:r w:rsidRPr="00696A9C">
        <w:rPr>
          <w:rFonts w:ascii="Times New Roman" w:hAnsi="Times New Roman" w:cs="Times New Roman"/>
          <w:b/>
          <w:sz w:val="28"/>
          <w:szCs w:val="28"/>
          <w:lang w:val="en-US"/>
        </w:rPr>
        <w:t>2</w:t>
      </w:r>
      <w:r w:rsidRPr="00C77726">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Principles for in Service Compliance E</w:t>
      </w:r>
      <w:r w:rsidRPr="00C77726">
        <w:rPr>
          <w:rFonts w:ascii="Times New Roman" w:hAnsi="Times New Roman" w:cs="Times New Roman"/>
          <w:b/>
          <w:sz w:val="28"/>
          <w:szCs w:val="28"/>
          <w:lang w:val="en-US"/>
        </w:rPr>
        <w:t xml:space="preserve">nforcement </w:t>
      </w:r>
    </w:p>
    <w:p w:rsidR="00696A9C" w:rsidRDefault="00696A9C" w:rsidP="00696A9C">
      <w:pPr>
        <w:pStyle w:val="Default"/>
        <w:jc w:val="both"/>
        <w:rPr>
          <w:sz w:val="28"/>
          <w:szCs w:val="28"/>
          <w:lang w:val="en-US"/>
        </w:rPr>
      </w:pPr>
      <w:r w:rsidRPr="00677359">
        <w:rPr>
          <w:sz w:val="28"/>
          <w:szCs w:val="28"/>
          <w:lang w:val="en-US"/>
        </w:rPr>
        <w:t xml:space="preserve">- a shift towards sustainability of transport systems, where all aspects of vehicle use need to be considered, including safety, the environment, mobility, efficiency, productivity and personal security; </w:t>
      </w:r>
    </w:p>
    <w:p w:rsidR="00696A9C"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Pr>
          <w:sz w:val="28"/>
          <w:szCs w:val="28"/>
          <w:lang w:val="en-US"/>
        </w:rPr>
        <w:t xml:space="preserve"> </w:t>
      </w:r>
      <w:r w:rsidR="00696A9C" w:rsidRPr="00677359">
        <w:rPr>
          <w:sz w:val="28"/>
          <w:szCs w:val="28"/>
          <w:lang w:val="en-US"/>
        </w:rPr>
        <w:t>UN Regulations consider the c</w:t>
      </w:r>
      <w:r w:rsidR="00696A9C">
        <w:rPr>
          <w:sz w:val="28"/>
          <w:szCs w:val="28"/>
          <w:lang w:val="en-US"/>
        </w:rPr>
        <w:t>oncept of continuous compliance;</w:t>
      </w:r>
    </w:p>
    <w:p w:rsidR="00696A9C"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Pr>
          <w:sz w:val="28"/>
          <w:szCs w:val="28"/>
          <w:lang w:val="en-US"/>
        </w:rPr>
        <w:t xml:space="preserve"> </w:t>
      </w:r>
      <w:r w:rsidR="00696A9C" w:rsidRPr="00677359">
        <w:rPr>
          <w:sz w:val="28"/>
          <w:szCs w:val="28"/>
          <w:lang w:val="en-US"/>
        </w:rPr>
        <w:t xml:space="preserve">the </w:t>
      </w:r>
      <w:proofErr w:type="gramStart"/>
      <w:r w:rsidR="00696A9C" w:rsidRPr="00677359">
        <w:rPr>
          <w:sz w:val="28"/>
          <w:szCs w:val="28"/>
          <w:lang w:val="en-US"/>
        </w:rPr>
        <w:t>third party</w:t>
      </w:r>
      <w:proofErr w:type="gramEnd"/>
      <w:r w:rsidR="00696A9C" w:rsidRPr="00677359">
        <w:rPr>
          <w:sz w:val="28"/>
          <w:szCs w:val="28"/>
          <w:lang w:val="en-US"/>
        </w:rPr>
        <w:t xml:space="preserve"> assessment and inspection</w:t>
      </w:r>
      <w:r w:rsidR="00696A9C">
        <w:rPr>
          <w:sz w:val="28"/>
          <w:szCs w:val="28"/>
          <w:lang w:val="en-US"/>
        </w:rPr>
        <w:t>;</w:t>
      </w:r>
    </w:p>
    <w:p w:rsidR="00696A9C"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 xml:space="preserve">• </w:t>
      </w:r>
      <w:r w:rsidR="00696A9C" w:rsidRPr="00696A9C">
        <w:rPr>
          <w:sz w:val="28"/>
          <w:szCs w:val="28"/>
          <w:lang w:val="en-US"/>
        </w:rPr>
        <w:t>risk-analysis approach</w:t>
      </w:r>
    </w:p>
    <w:p w:rsidR="00696A9C" w:rsidRPr="00677359"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the increased complexity of vehicles and the need for them to be properly maintained throughout their life; </w:t>
      </w:r>
    </w:p>
    <w:p w:rsidR="00696A9C" w:rsidRPr="00677359"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the opportunities afforded by advanced on-board and off-board measurement systems to reduce the cost of compliance; </w:t>
      </w:r>
    </w:p>
    <w:p w:rsidR="00696A9C" w:rsidRPr="00677359"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vehicle design and validation methods should demonstrate compliance a vehicle would be expected to perform during a normal operation; </w:t>
      </w:r>
    </w:p>
    <w:p w:rsidR="00696A9C"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Pr>
          <w:sz w:val="28"/>
          <w:szCs w:val="28"/>
          <w:lang w:val="en-US"/>
        </w:rPr>
        <w:t xml:space="preserve"> </w:t>
      </w:r>
      <w:r w:rsidR="00696A9C" w:rsidRPr="00677359">
        <w:rPr>
          <w:sz w:val="28"/>
          <w:szCs w:val="28"/>
          <w:lang w:val="en-US"/>
        </w:rPr>
        <w:t>vehicle self-diagnosis might play a role in continuous compliance, provide</w:t>
      </w:r>
      <w:r w:rsidR="00696A9C">
        <w:rPr>
          <w:sz w:val="28"/>
          <w:szCs w:val="28"/>
          <w:lang w:val="en-US"/>
        </w:rPr>
        <w:t>d it is trustable and impartial;</w:t>
      </w:r>
    </w:p>
    <w:p w:rsidR="00696A9C" w:rsidRPr="00677359"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access, under well-defined and agreed pre-conditions, to the technical specifications of each individual vehicle and the data needed for objective verification of the functionality of the safety and environment related systems, whether or not the safety and environment-related systems are functioning;</w:t>
      </w:r>
    </w:p>
    <w:p w:rsidR="00696A9C" w:rsidRPr="00677359" w:rsidRDefault="00696A9C" w:rsidP="00696A9C">
      <w:pPr>
        <w:pStyle w:val="Default"/>
        <w:jc w:val="both"/>
        <w:rPr>
          <w:sz w:val="28"/>
          <w:szCs w:val="28"/>
          <w:lang w:val="en-US"/>
        </w:rPr>
      </w:pPr>
      <w:r w:rsidRPr="00677359">
        <w:rPr>
          <w:sz w:val="28"/>
          <w:szCs w:val="28"/>
          <w:lang w:val="en-US"/>
        </w:rPr>
        <w:t xml:space="preserve"> </w:t>
      </w: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development of </w:t>
      </w:r>
      <w:proofErr w:type="gramStart"/>
      <w:r w:rsidR="00696A9C" w:rsidRPr="00677359">
        <w:rPr>
          <w:sz w:val="28"/>
          <w:szCs w:val="28"/>
          <w:lang w:val="en-US"/>
        </w:rPr>
        <w:t>in service</w:t>
      </w:r>
      <w:proofErr w:type="gramEnd"/>
      <w:r w:rsidR="00696A9C" w:rsidRPr="00677359">
        <w:rPr>
          <w:sz w:val="28"/>
          <w:szCs w:val="28"/>
          <w:lang w:val="en-US"/>
        </w:rPr>
        <w:t xml:space="preserve"> compliance vehicle assessment methods for periodical technical inspection and where appropriate, road side inspection; </w:t>
      </w:r>
    </w:p>
    <w:p w:rsidR="00696A9C" w:rsidRPr="00677359" w:rsidRDefault="00696A9C" w:rsidP="00696A9C">
      <w:pPr>
        <w:pStyle w:val="Default"/>
        <w:jc w:val="both"/>
        <w:rPr>
          <w:sz w:val="28"/>
          <w:szCs w:val="28"/>
          <w:lang w:val="en-US"/>
        </w:rPr>
      </w:pPr>
    </w:p>
    <w:p w:rsidR="00696A9C" w:rsidRDefault="003327C2" w:rsidP="00696A9C">
      <w:pPr>
        <w:pStyle w:val="Default"/>
        <w:jc w:val="both"/>
        <w:rPr>
          <w:sz w:val="28"/>
          <w:szCs w:val="28"/>
          <w:lang w:val="en-US"/>
        </w:rPr>
      </w:pPr>
      <w:r>
        <w:rPr>
          <w:sz w:val="28"/>
          <w:szCs w:val="28"/>
          <w:lang w:val="en-US"/>
        </w:rPr>
        <w:t>•</w:t>
      </w:r>
      <w:r w:rsidR="00696A9C" w:rsidRPr="00677359">
        <w:rPr>
          <w:sz w:val="28"/>
          <w:szCs w:val="28"/>
          <w:lang w:val="en-US"/>
        </w:rPr>
        <w:t xml:space="preserve"> role of roadworthiness inspections, including PTI, is to verify in-service vehicle compliance. </w:t>
      </w:r>
    </w:p>
    <w:p w:rsidR="00696A9C" w:rsidRPr="003327C2" w:rsidRDefault="003327C2" w:rsidP="00696A9C">
      <w:pPr>
        <w:pStyle w:val="Default"/>
        <w:jc w:val="both"/>
        <w:rPr>
          <w:b/>
          <w:sz w:val="28"/>
          <w:szCs w:val="28"/>
          <w:lang w:val="en-US"/>
        </w:rPr>
      </w:pPr>
      <w:r>
        <w:rPr>
          <w:b/>
          <w:sz w:val="28"/>
          <w:szCs w:val="28"/>
          <w:lang w:val="en-US"/>
        </w:rPr>
        <w:t>Remark</w:t>
      </w:r>
    </w:p>
    <w:p w:rsidR="00696A9C" w:rsidRPr="00C77726" w:rsidRDefault="003327C2" w:rsidP="00696A9C">
      <w:pPr>
        <w:pStyle w:val="Default"/>
        <w:jc w:val="both"/>
        <w:rPr>
          <w:sz w:val="28"/>
          <w:szCs w:val="28"/>
          <w:lang w:val="en-US"/>
        </w:rPr>
      </w:pPr>
      <w:r>
        <w:rPr>
          <w:sz w:val="28"/>
          <w:szCs w:val="28"/>
          <w:lang w:val="en-US"/>
        </w:rPr>
        <w:t>S</w:t>
      </w:r>
      <w:r w:rsidR="00696A9C" w:rsidRPr="00677359">
        <w:rPr>
          <w:sz w:val="28"/>
          <w:szCs w:val="28"/>
          <w:lang w:val="en-US"/>
        </w:rPr>
        <w:t xml:space="preserve">afety of in-use vehicles is not listed in the currently agreed WP29 priorities on automated/autonomous vehicles. </w:t>
      </w:r>
    </w:p>
    <w:p w:rsidR="00696A9C" w:rsidRPr="00C77726" w:rsidRDefault="00696A9C" w:rsidP="00696A9C">
      <w:pPr>
        <w:pStyle w:val="Default"/>
        <w:jc w:val="both"/>
        <w:rPr>
          <w:sz w:val="28"/>
          <w:szCs w:val="28"/>
          <w:lang w:val="en-US"/>
        </w:rPr>
      </w:pPr>
      <w:r w:rsidRPr="00C77726">
        <w:rPr>
          <w:lang w:val="en-US"/>
        </w:rPr>
        <w:t xml:space="preserve"> </w:t>
      </w:r>
    </w:p>
    <w:p w:rsidR="00696A9C" w:rsidRPr="00696A9C" w:rsidRDefault="000B5317" w:rsidP="00696A9C">
      <w:pPr>
        <w:pStyle w:val="Default"/>
        <w:jc w:val="both"/>
        <w:rPr>
          <w:b/>
          <w:sz w:val="28"/>
          <w:szCs w:val="28"/>
          <w:lang w:val="en-US"/>
        </w:rPr>
      </w:pPr>
      <w:r w:rsidRPr="000B5317">
        <w:rPr>
          <w:b/>
          <w:sz w:val="28"/>
          <w:szCs w:val="28"/>
          <w:lang w:val="en-US"/>
        </w:rPr>
        <w:t xml:space="preserve">2.1. </w:t>
      </w:r>
      <w:r w:rsidR="00696A9C" w:rsidRPr="00696A9C">
        <w:rPr>
          <w:b/>
          <w:sz w:val="28"/>
          <w:szCs w:val="28"/>
          <w:lang w:val="en-US"/>
        </w:rPr>
        <w:t xml:space="preserve">Tasks </w:t>
      </w:r>
    </w:p>
    <w:p w:rsidR="00696A9C" w:rsidRDefault="000B5317" w:rsidP="00696A9C">
      <w:pPr>
        <w:pStyle w:val="Default"/>
        <w:jc w:val="both"/>
        <w:rPr>
          <w:sz w:val="28"/>
          <w:szCs w:val="28"/>
          <w:lang w:val="en-US"/>
        </w:rPr>
      </w:pPr>
      <w:r w:rsidRPr="000B5317">
        <w:rPr>
          <w:sz w:val="28"/>
          <w:szCs w:val="28"/>
          <w:lang w:val="en-US"/>
        </w:rPr>
        <w:t xml:space="preserve">2.1.1. </w:t>
      </w:r>
      <w:r w:rsidR="00733C56">
        <w:rPr>
          <w:sz w:val="28"/>
          <w:szCs w:val="28"/>
          <w:lang w:val="en-US"/>
        </w:rPr>
        <w:t xml:space="preserve">Develop </w:t>
      </w:r>
      <w:r w:rsidR="00696A9C" w:rsidRPr="00C77726">
        <w:rPr>
          <w:sz w:val="28"/>
          <w:szCs w:val="28"/>
          <w:lang w:val="en-US"/>
        </w:rPr>
        <w:t>definition for</w:t>
      </w:r>
      <w:r w:rsidR="00696A9C">
        <w:rPr>
          <w:sz w:val="28"/>
          <w:szCs w:val="28"/>
          <w:lang w:val="en-US"/>
        </w:rPr>
        <w:t>:</w:t>
      </w:r>
    </w:p>
    <w:p w:rsidR="00696A9C" w:rsidRDefault="00696A9C" w:rsidP="00696A9C">
      <w:pPr>
        <w:pStyle w:val="Default"/>
        <w:jc w:val="both"/>
        <w:rPr>
          <w:sz w:val="28"/>
          <w:szCs w:val="28"/>
          <w:lang w:val="en-US"/>
        </w:rPr>
      </w:pPr>
      <w:r w:rsidRPr="00C77726">
        <w:rPr>
          <w:sz w:val="28"/>
          <w:szCs w:val="28"/>
          <w:lang w:val="en-US"/>
        </w:rPr>
        <w:t>in-service conformity</w:t>
      </w:r>
      <w:r>
        <w:rPr>
          <w:sz w:val="28"/>
          <w:szCs w:val="28"/>
          <w:lang w:val="en-US"/>
        </w:rPr>
        <w:t>;</w:t>
      </w:r>
      <w:r w:rsidRPr="00C77726">
        <w:rPr>
          <w:sz w:val="28"/>
          <w:szCs w:val="28"/>
          <w:lang w:val="en-US"/>
        </w:rPr>
        <w:t xml:space="preserve"> </w:t>
      </w:r>
    </w:p>
    <w:p w:rsidR="00696A9C" w:rsidRDefault="00696A9C" w:rsidP="00696A9C">
      <w:pPr>
        <w:pStyle w:val="Default"/>
        <w:jc w:val="both"/>
        <w:rPr>
          <w:sz w:val="28"/>
          <w:szCs w:val="28"/>
          <w:lang w:val="en-US"/>
        </w:rPr>
      </w:pPr>
      <w:r w:rsidRPr="00717922">
        <w:rPr>
          <w:sz w:val="28"/>
          <w:szCs w:val="28"/>
          <w:lang w:val="en-US"/>
        </w:rPr>
        <w:t>in-service co</w:t>
      </w:r>
      <w:r>
        <w:rPr>
          <w:sz w:val="28"/>
          <w:szCs w:val="28"/>
          <w:lang w:val="en-US"/>
        </w:rPr>
        <w:t>mpliance;</w:t>
      </w:r>
    </w:p>
    <w:p w:rsidR="00696A9C" w:rsidRDefault="00696A9C" w:rsidP="00696A9C">
      <w:pPr>
        <w:pStyle w:val="Default"/>
        <w:jc w:val="both"/>
        <w:rPr>
          <w:sz w:val="28"/>
          <w:szCs w:val="28"/>
          <w:lang w:val="en-US"/>
        </w:rPr>
      </w:pPr>
      <w:r>
        <w:rPr>
          <w:sz w:val="28"/>
          <w:szCs w:val="28"/>
          <w:lang w:val="en-US"/>
        </w:rPr>
        <w:t xml:space="preserve">vehicle </w:t>
      </w:r>
      <w:r w:rsidRPr="00FB0D7B">
        <w:rPr>
          <w:sz w:val="28"/>
          <w:szCs w:val="28"/>
          <w:lang w:val="en-US"/>
        </w:rPr>
        <w:t>normal in-service conditions</w:t>
      </w:r>
      <w:r>
        <w:rPr>
          <w:sz w:val="28"/>
          <w:szCs w:val="28"/>
          <w:lang w:val="en-US"/>
        </w:rPr>
        <w:t>;</w:t>
      </w:r>
    </w:p>
    <w:p w:rsidR="00696A9C" w:rsidRDefault="00696A9C" w:rsidP="00696A9C">
      <w:pPr>
        <w:pStyle w:val="Default"/>
        <w:jc w:val="both"/>
        <w:rPr>
          <w:sz w:val="28"/>
          <w:szCs w:val="28"/>
          <w:lang w:val="en-US"/>
        </w:rPr>
      </w:pPr>
      <w:r>
        <w:rPr>
          <w:sz w:val="28"/>
          <w:szCs w:val="28"/>
          <w:lang w:val="en-US"/>
        </w:rPr>
        <w:t>vehicle normal useful life period</w:t>
      </w:r>
    </w:p>
    <w:p w:rsidR="00733C56" w:rsidRDefault="000B5317" w:rsidP="00696A9C">
      <w:pPr>
        <w:pStyle w:val="Default"/>
        <w:jc w:val="both"/>
        <w:rPr>
          <w:sz w:val="28"/>
          <w:szCs w:val="28"/>
          <w:lang w:val="en-US"/>
        </w:rPr>
      </w:pPr>
      <w:r w:rsidRPr="000B5317">
        <w:rPr>
          <w:sz w:val="28"/>
          <w:szCs w:val="28"/>
          <w:lang w:val="en-US"/>
        </w:rPr>
        <w:t xml:space="preserve">2.1.2. </w:t>
      </w:r>
      <w:r w:rsidR="00733C56">
        <w:rPr>
          <w:sz w:val="28"/>
          <w:szCs w:val="28"/>
          <w:lang w:val="en-US"/>
        </w:rPr>
        <w:t xml:space="preserve">Should </w:t>
      </w:r>
      <w:r w:rsidR="00733C56" w:rsidRPr="00717922">
        <w:rPr>
          <w:sz w:val="28"/>
          <w:szCs w:val="28"/>
          <w:lang w:val="en-US"/>
        </w:rPr>
        <w:t>PTI prevent unsafety due to wear and tear</w:t>
      </w:r>
      <w:r w:rsidRPr="000B5317">
        <w:rPr>
          <w:sz w:val="28"/>
          <w:szCs w:val="28"/>
          <w:lang w:val="en-US"/>
        </w:rPr>
        <w:t xml:space="preserve"> </w:t>
      </w:r>
      <w:r>
        <w:rPr>
          <w:sz w:val="28"/>
          <w:szCs w:val="28"/>
          <w:lang w:val="en-US"/>
        </w:rPr>
        <w:t>only?</w:t>
      </w:r>
    </w:p>
    <w:p w:rsidR="00C132DF" w:rsidRPr="00677359" w:rsidRDefault="00C132DF" w:rsidP="00923A08">
      <w:pPr>
        <w:autoSpaceDE w:val="0"/>
        <w:autoSpaceDN w:val="0"/>
        <w:adjustRightInd w:val="0"/>
        <w:spacing w:after="0" w:line="240" w:lineRule="auto"/>
        <w:jc w:val="both"/>
        <w:rPr>
          <w:rFonts w:ascii="Times New Roman" w:hAnsi="Times New Roman" w:cs="Times New Roman"/>
          <w:sz w:val="28"/>
          <w:szCs w:val="28"/>
          <w:lang w:val="en-US"/>
        </w:rPr>
      </w:pPr>
    </w:p>
    <w:p w:rsidR="00FC2158" w:rsidRPr="00FC2158" w:rsidRDefault="00FC2158" w:rsidP="00FC2158">
      <w:pPr>
        <w:autoSpaceDE w:val="0"/>
        <w:autoSpaceDN w:val="0"/>
        <w:adjustRightInd w:val="0"/>
        <w:spacing w:after="0" w:line="240" w:lineRule="auto"/>
        <w:rPr>
          <w:rFonts w:ascii="Times New Roman" w:hAnsi="Times New Roman" w:cs="Times New Roman"/>
          <w:color w:val="000000"/>
          <w:sz w:val="28"/>
          <w:szCs w:val="28"/>
          <w:lang w:val="en-US"/>
        </w:rPr>
      </w:pPr>
    </w:p>
    <w:p w:rsidR="000B5317" w:rsidRDefault="000B5317" w:rsidP="00717922">
      <w:pPr>
        <w:ind w:firstLine="360"/>
        <w:jc w:val="both"/>
        <w:rPr>
          <w:rFonts w:ascii="Times New Roman" w:hAnsi="Times New Roman" w:cs="Times New Roman"/>
          <w:sz w:val="28"/>
          <w:szCs w:val="28"/>
          <w:lang w:val="nl-NL"/>
        </w:rPr>
      </w:pPr>
      <w:r>
        <w:rPr>
          <w:rFonts w:ascii="Times New Roman" w:hAnsi="Times New Roman" w:cs="Times New Roman"/>
          <w:b/>
          <w:bCs/>
          <w:sz w:val="28"/>
          <w:szCs w:val="28"/>
          <w:lang w:val="en-US"/>
        </w:rPr>
        <w:t>3. In-service C</w:t>
      </w:r>
      <w:r w:rsidRPr="00717922">
        <w:rPr>
          <w:rFonts w:ascii="Times New Roman" w:hAnsi="Times New Roman" w:cs="Times New Roman"/>
          <w:b/>
          <w:bCs/>
          <w:sz w:val="28"/>
          <w:szCs w:val="28"/>
          <w:lang w:val="en-US"/>
        </w:rPr>
        <w:t>onformity</w:t>
      </w:r>
      <w:r w:rsidRPr="00717922">
        <w:rPr>
          <w:rFonts w:ascii="Times New Roman" w:hAnsi="Times New Roman" w:cs="Times New Roman"/>
          <w:sz w:val="28"/>
          <w:szCs w:val="28"/>
          <w:lang w:val="nl-NL"/>
        </w:rPr>
        <w:t xml:space="preserve"> </w:t>
      </w:r>
      <w:r w:rsidRPr="000B5317">
        <w:rPr>
          <w:rFonts w:ascii="Times New Roman" w:hAnsi="Times New Roman" w:cs="Times New Roman"/>
          <w:b/>
          <w:sz w:val="28"/>
          <w:szCs w:val="28"/>
          <w:lang w:val="nl-NL"/>
        </w:rPr>
        <w:t>in Frame of the 1958 Agreement</w:t>
      </w:r>
    </w:p>
    <w:p w:rsidR="00EE7501" w:rsidRPr="00923A08" w:rsidRDefault="003327C2" w:rsidP="003327C2">
      <w:pPr>
        <w:ind w:firstLine="360"/>
        <w:jc w:val="both"/>
        <w:rPr>
          <w:rFonts w:ascii="Times New Roman" w:hAnsi="Times New Roman" w:cs="Times New Roman"/>
          <w:b/>
          <w:sz w:val="28"/>
          <w:szCs w:val="28"/>
          <w:lang w:val="en-US"/>
        </w:rPr>
      </w:pPr>
      <w:r>
        <w:rPr>
          <w:rFonts w:ascii="Times New Roman" w:hAnsi="Times New Roman" w:cs="Times New Roman"/>
          <w:b/>
          <w:sz w:val="28"/>
          <w:szCs w:val="28"/>
          <w:lang w:val="nl-NL"/>
        </w:rPr>
        <w:t xml:space="preserve">3.1. </w:t>
      </w:r>
      <w:r w:rsidR="00923A08">
        <w:rPr>
          <w:rFonts w:ascii="Times New Roman" w:hAnsi="Times New Roman" w:cs="Times New Roman"/>
          <w:b/>
          <w:sz w:val="28"/>
          <w:szCs w:val="28"/>
          <w:lang w:val="nl-NL"/>
        </w:rPr>
        <w:t>UN R83</w:t>
      </w:r>
    </w:p>
    <w:p w:rsidR="005D031E" w:rsidRPr="00717922" w:rsidRDefault="00FC2158" w:rsidP="00923A08">
      <w:pPr>
        <w:jc w:val="both"/>
        <w:rPr>
          <w:rFonts w:ascii="Times New Roman" w:hAnsi="Times New Roman" w:cs="Times New Roman"/>
          <w:sz w:val="28"/>
          <w:szCs w:val="28"/>
          <w:lang w:val="en-US"/>
        </w:rPr>
      </w:pPr>
      <w:r w:rsidRPr="003327C2">
        <w:rPr>
          <w:rFonts w:ascii="Times New Roman" w:hAnsi="Times New Roman" w:cs="Times New Roman"/>
          <w:bCs/>
          <w:sz w:val="28"/>
          <w:szCs w:val="28"/>
          <w:lang w:val="en-US"/>
        </w:rPr>
        <w:t>Scope:</w:t>
      </w:r>
      <w:r w:rsidRPr="00717922">
        <w:rPr>
          <w:rFonts w:ascii="Times New Roman" w:hAnsi="Times New Roman" w:cs="Times New Roman"/>
          <w:b/>
          <w:bCs/>
          <w:sz w:val="28"/>
          <w:szCs w:val="28"/>
          <w:lang w:val="en-US"/>
        </w:rPr>
        <w:t xml:space="preserve"> “</w:t>
      </w:r>
      <w:r w:rsidRPr="00717922">
        <w:rPr>
          <w:rFonts w:ascii="Times New Roman" w:hAnsi="Times New Roman" w:cs="Times New Roman"/>
          <w:sz w:val="28"/>
          <w:szCs w:val="28"/>
          <w:lang w:val="en-US"/>
        </w:rPr>
        <w:t xml:space="preserve">In addition, this Regulation lays down rules for </w:t>
      </w:r>
      <w:r w:rsidRPr="00BF561A">
        <w:rPr>
          <w:rFonts w:ascii="Times New Roman" w:hAnsi="Times New Roman" w:cs="Times New Roman"/>
          <w:b/>
          <w:sz w:val="28"/>
          <w:szCs w:val="28"/>
          <w:lang w:val="en-US"/>
        </w:rPr>
        <w:t>in-service conformity</w:t>
      </w:r>
      <w:r w:rsidRPr="00717922">
        <w:rPr>
          <w:rFonts w:ascii="Times New Roman" w:hAnsi="Times New Roman" w:cs="Times New Roman"/>
          <w:sz w:val="28"/>
          <w:szCs w:val="28"/>
          <w:lang w:val="en-US"/>
        </w:rPr>
        <w:t xml:space="preserve">, durability of pollution control devices and On-Board Diagnostic (OBD) systems” </w:t>
      </w:r>
    </w:p>
    <w:p w:rsidR="00717922" w:rsidRPr="00717922" w:rsidRDefault="00FC2158" w:rsidP="00923A08">
      <w:pPr>
        <w:jc w:val="both"/>
        <w:rPr>
          <w:rFonts w:ascii="Times New Roman" w:hAnsi="Times New Roman" w:cs="Times New Roman"/>
          <w:sz w:val="28"/>
          <w:szCs w:val="28"/>
          <w:lang w:val="en-US"/>
        </w:rPr>
      </w:pPr>
      <w:r w:rsidRPr="00717922">
        <w:rPr>
          <w:rFonts w:ascii="Times New Roman" w:hAnsi="Times New Roman" w:cs="Times New Roman"/>
          <w:b/>
          <w:bCs/>
          <w:sz w:val="28"/>
          <w:szCs w:val="28"/>
          <w:lang w:val="en-US"/>
        </w:rPr>
        <w:t xml:space="preserve">9. In-service conformity: </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9.1. Introduction</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This paragraph sets out the tailpipe emissions and OBD (including IUPRM)</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in-service conformity requirements for vehicles type approved to this</w:t>
      </w:r>
      <w:r>
        <w:rPr>
          <w:rFonts w:ascii="Times New Roman" w:hAnsi="Times New Roman" w:cs="Times New Roman"/>
          <w:sz w:val="28"/>
          <w:szCs w:val="28"/>
          <w:lang w:val="en-US"/>
        </w:rPr>
        <w:t xml:space="preserve"> </w:t>
      </w:r>
      <w:r w:rsidRPr="00923A08">
        <w:rPr>
          <w:rFonts w:ascii="Times New Roman" w:hAnsi="Times New Roman" w:cs="Times New Roman"/>
          <w:sz w:val="28"/>
          <w:szCs w:val="28"/>
          <w:lang w:val="en-US"/>
        </w:rPr>
        <w:t>Regulation.</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9.2. Audit of in-service conformity</w:t>
      </w:r>
    </w:p>
    <w:p w:rsid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lastRenderedPageBreak/>
        <w:t>9.2.1. The audit of in-service conformity by the Type Approval Authority shall be conducted on the basis of any relevant information that the manufacturer has, under the same procedures as those for the conformity of production defined in the 1958 Agreement, Appendix 2 (E/ECE/324-E/ECE/TRANS/505/Rev.2).</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p>
    <w:p w:rsidR="00923A08" w:rsidRDefault="00923A08" w:rsidP="00923A08">
      <w:pPr>
        <w:autoSpaceDE w:val="0"/>
        <w:autoSpaceDN w:val="0"/>
        <w:adjustRightInd w:val="0"/>
        <w:spacing w:after="0" w:line="240" w:lineRule="auto"/>
        <w:jc w:val="both"/>
        <w:rPr>
          <w:rFonts w:ascii="Times New Roman" w:hAnsi="Times New Roman" w:cs="Times New Roman"/>
          <w:b/>
          <w:sz w:val="28"/>
          <w:szCs w:val="28"/>
          <w:lang w:val="en-US"/>
        </w:rPr>
      </w:pPr>
      <w:r w:rsidRPr="00923A08">
        <w:rPr>
          <w:rFonts w:ascii="Times New Roman" w:hAnsi="Times New Roman" w:cs="Times New Roman"/>
          <w:b/>
          <w:sz w:val="28"/>
          <w:szCs w:val="28"/>
          <w:lang w:val="en-US"/>
        </w:rPr>
        <w:t>Information from Type Approval Authority and Contracting Party surveillance testing may complement the in-service monitoring reports supplied by the manufacturer.</w:t>
      </w:r>
    </w:p>
    <w:p w:rsidR="00923A08" w:rsidRPr="00923A08" w:rsidRDefault="00923A08" w:rsidP="00923A08">
      <w:pPr>
        <w:autoSpaceDE w:val="0"/>
        <w:autoSpaceDN w:val="0"/>
        <w:adjustRightInd w:val="0"/>
        <w:spacing w:after="0" w:line="240" w:lineRule="auto"/>
        <w:jc w:val="both"/>
        <w:rPr>
          <w:rFonts w:ascii="Times New Roman" w:hAnsi="Times New Roman" w:cs="Times New Roman"/>
          <w:b/>
          <w:sz w:val="28"/>
          <w:szCs w:val="28"/>
          <w:lang w:val="en-US"/>
        </w:rPr>
      </w:pP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9.2.2. Figures App4/1 and App4/2 of Appendix 4 to this Regulation illustrate the procedure for in-service conformity checking. The process for in-service</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conformity is described in Appendix 5 to this Regulation.</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 xml:space="preserve">9.2.3. As part of the information provided for the in-service conformity control, at the request of the Type Approval Authority, the manufacturer shall report to the Type Approval Authority on </w:t>
      </w:r>
      <w:r w:rsidRPr="00923A08">
        <w:rPr>
          <w:rFonts w:ascii="Times New Roman" w:hAnsi="Times New Roman" w:cs="Times New Roman"/>
          <w:b/>
          <w:sz w:val="28"/>
          <w:szCs w:val="28"/>
          <w:lang w:val="en-US"/>
        </w:rPr>
        <w:t>warranty claims, warranty repair works and OBD faults recorded at servicing</w:t>
      </w:r>
      <w:r w:rsidRPr="00923A08">
        <w:rPr>
          <w:rFonts w:ascii="Times New Roman" w:hAnsi="Times New Roman" w:cs="Times New Roman"/>
          <w:sz w:val="28"/>
          <w:szCs w:val="28"/>
          <w:lang w:val="en-US"/>
        </w:rPr>
        <w:t xml:space="preserve">, according to a format agreed at type approval. </w:t>
      </w:r>
    </w:p>
    <w:p w:rsidR="00923A08" w:rsidRPr="00923A08" w:rsidRDefault="00923A08" w:rsidP="00923A08">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The information shall detail the frequency and substance of faults for emissions related components and systems. The reports shall be filed at least once a year for each vehicle model for the duration of the period of up to 5 years of age or 100,000 km, whichever is the sooner.</w:t>
      </w:r>
    </w:p>
    <w:p w:rsidR="00923A08" w:rsidRPr="00717922" w:rsidRDefault="00923A08" w:rsidP="00771F39">
      <w:pPr>
        <w:ind w:left="720"/>
        <w:jc w:val="both"/>
        <w:rPr>
          <w:rFonts w:ascii="Times New Roman" w:hAnsi="Times New Roman" w:cs="Times New Roman"/>
          <w:sz w:val="28"/>
          <w:szCs w:val="28"/>
          <w:lang w:val="en-US"/>
        </w:rPr>
      </w:pPr>
    </w:p>
    <w:p w:rsidR="00FB0D7B" w:rsidRDefault="003327C2" w:rsidP="00771F39">
      <w:pPr>
        <w:ind w:left="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3.2. </w:t>
      </w:r>
      <w:r w:rsidR="00923A08">
        <w:rPr>
          <w:rFonts w:ascii="Times New Roman" w:hAnsi="Times New Roman" w:cs="Times New Roman"/>
          <w:b/>
          <w:bCs/>
          <w:sz w:val="28"/>
          <w:szCs w:val="28"/>
          <w:lang w:val="en-US"/>
        </w:rPr>
        <w:t xml:space="preserve">UN </w:t>
      </w:r>
      <w:r w:rsidR="00771F39">
        <w:rPr>
          <w:rFonts w:ascii="Times New Roman" w:hAnsi="Times New Roman" w:cs="Times New Roman"/>
          <w:b/>
          <w:bCs/>
          <w:sz w:val="28"/>
          <w:szCs w:val="28"/>
          <w:lang w:val="en-US"/>
        </w:rPr>
        <w:t xml:space="preserve">R49-06 </w:t>
      </w:r>
    </w:p>
    <w:p w:rsidR="00923A08" w:rsidRDefault="006C27E5" w:rsidP="00923A08">
      <w:pPr>
        <w:spacing w:after="0" w:line="240" w:lineRule="auto"/>
        <w:ind w:left="720"/>
        <w:jc w:val="both"/>
        <w:rPr>
          <w:rFonts w:ascii="Times New Roman" w:hAnsi="Times New Roman" w:cs="Times New Roman"/>
          <w:sz w:val="28"/>
          <w:szCs w:val="28"/>
          <w:lang w:val="en-US"/>
        </w:rPr>
      </w:pPr>
      <w:r w:rsidRPr="00923A08">
        <w:rPr>
          <w:rFonts w:ascii="Times New Roman" w:hAnsi="Times New Roman" w:cs="Times New Roman"/>
          <w:bCs/>
          <w:sz w:val="28"/>
          <w:szCs w:val="28"/>
          <w:lang w:val="en-US"/>
        </w:rPr>
        <w:t>Annex 8</w:t>
      </w:r>
    </w:p>
    <w:p w:rsidR="00FB0D7B" w:rsidRPr="00923A08" w:rsidRDefault="00FB0D7B" w:rsidP="00923A08">
      <w:pPr>
        <w:spacing w:after="0" w:line="240" w:lineRule="auto"/>
        <w:jc w:val="both"/>
        <w:rPr>
          <w:rFonts w:ascii="Times New Roman" w:hAnsi="Times New Roman" w:cs="Times New Roman"/>
          <w:sz w:val="28"/>
          <w:szCs w:val="28"/>
          <w:lang w:val="en-US"/>
        </w:rPr>
      </w:pPr>
      <w:r w:rsidRPr="00923A08">
        <w:rPr>
          <w:rFonts w:ascii="Times New Roman" w:hAnsi="Times New Roman" w:cs="Times New Roman"/>
          <w:bCs/>
          <w:sz w:val="28"/>
          <w:szCs w:val="28"/>
          <w:lang w:val="en-US"/>
        </w:rPr>
        <w:t>Conformity of in-service engines or vehicles</w:t>
      </w:r>
    </w:p>
    <w:p w:rsidR="00FB0D7B" w:rsidRPr="00FB0D7B" w:rsidRDefault="00FB0D7B" w:rsidP="00923A08">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2. Procedure for in-service conformity</w:t>
      </w:r>
    </w:p>
    <w:p w:rsidR="00FB0D7B" w:rsidRPr="00FB0D7B" w:rsidRDefault="00FB0D7B" w:rsidP="00923A08">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2.1. The conformity of in-service vehicles or engines of an engine family shall be</w:t>
      </w:r>
    </w:p>
    <w:p w:rsidR="006C27E5" w:rsidRDefault="00FB0D7B" w:rsidP="00FB0D7B">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demonstrated by testing vehicles on the road operated over their no</w:t>
      </w:r>
      <w:r>
        <w:rPr>
          <w:rFonts w:ascii="Times New Roman" w:hAnsi="Times New Roman" w:cs="Times New Roman"/>
          <w:sz w:val="28"/>
          <w:szCs w:val="28"/>
          <w:lang w:val="en-US"/>
        </w:rPr>
        <w:t xml:space="preserve">rmal </w:t>
      </w:r>
      <w:r w:rsidRPr="00FB0D7B">
        <w:rPr>
          <w:rFonts w:ascii="Times New Roman" w:hAnsi="Times New Roman" w:cs="Times New Roman"/>
          <w:sz w:val="28"/>
          <w:szCs w:val="28"/>
          <w:lang w:val="en-US"/>
        </w:rPr>
        <w:t>driving patterns, conditions and payloads.</w:t>
      </w:r>
      <w:r>
        <w:rPr>
          <w:rFonts w:ascii="Times New Roman" w:hAnsi="Times New Roman" w:cs="Times New Roman"/>
          <w:sz w:val="28"/>
          <w:szCs w:val="28"/>
          <w:lang w:val="en-US"/>
        </w:rPr>
        <w:t xml:space="preserve"> </w:t>
      </w:r>
    </w:p>
    <w:p w:rsidR="006C27E5" w:rsidRDefault="00FB0D7B" w:rsidP="00FB0D7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in-service conformity test </w:t>
      </w:r>
      <w:r w:rsidRPr="00FB0D7B">
        <w:rPr>
          <w:rFonts w:ascii="Times New Roman" w:hAnsi="Times New Roman" w:cs="Times New Roman"/>
          <w:sz w:val="28"/>
          <w:szCs w:val="28"/>
          <w:lang w:val="en-US"/>
        </w:rPr>
        <w:t xml:space="preserve">shall be representative for vehicles operated on </w:t>
      </w:r>
      <w:r>
        <w:rPr>
          <w:rFonts w:ascii="Times New Roman" w:hAnsi="Times New Roman" w:cs="Times New Roman"/>
          <w:sz w:val="28"/>
          <w:szCs w:val="28"/>
          <w:lang w:val="en-US"/>
        </w:rPr>
        <w:t xml:space="preserve">their real driving routes, with </w:t>
      </w:r>
      <w:r w:rsidRPr="00FB0D7B">
        <w:rPr>
          <w:rFonts w:ascii="Times New Roman" w:hAnsi="Times New Roman" w:cs="Times New Roman"/>
          <w:sz w:val="28"/>
          <w:szCs w:val="28"/>
          <w:lang w:val="en-US"/>
        </w:rPr>
        <w:t>their normal load and with the usual professio</w:t>
      </w:r>
      <w:r>
        <w:rPr>
          <w:rFonts w:ascii="Times New Roman" w:hAnsi="Times New Roman" w:cs="Times New Roman"/>
          <w:sz w:val="28"/>
          <w:szCs w:val="28"/>
          <w:lang w:val="en-US"/>
        </w:rPr>
        <w:t xml:space="preserve">nal driver of the vehicle. </w:t>
      </w:r>
    </w:p>
    <w:p w:rsidR="00FB0D7B" w:rsidRPr="00FB0D7B" w:rsidRDefault="00FB0D7B" w:rsidP="00FB0D7B">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r w:rsidRPr="00FB0D7B">
        <w:rPr>
          <w:rFonts w:ascii="Times New Roman" w:hAnsi="Times New Roman" w:cs="Times New Roman"/>
          <w:sz w:val="28"/>
          <w:szCs w:val="28"/>
          <w:lang w:val="en-US"/>
        </w:rPr>
        <w:t>the vehicle is operated by a driver other than t</w:t>
      </w:r>
      <w:r>
        <w:rPr>
          <w:rFonts w:ascii="Times New Roman" w:hAnsi="Times New Roman" w:cs="Times New Roman"/>
          <w:sz w:val="28"/>
          <w:szCs w:val="28"/>
          <w:lang w:val="en-US"/>
        </w:rPr>
        <w:t xml:space="preserve">he usual professional driver of </w:t>
      </w:r>
      <w:r w:rsidRPr="00FB0D7B">
        <w:rPr>
          <w:rFonts w:ascii="Times New Roman" w:hAnsi="Times New Roman" w:cs="Times New Roman"/>
          <w:sz w:val="28"/>
          <w:szCs w:val="28"/>
          <w:lang w:val="en-US"/>
        </w:rPr>
        <w:t xml:space="preserve">the particular vehicle, this alternative driver </w:t>
      </w:r>
      <w:r>
        <w:rPr>
          <w:rFonts w:ascii="Times New Roman" w:hAnsi="Times New Roman" w:cs="Times New Roman"/>
          <w:sz w:val="28"/>
          <w:szCs w:val="28"/>
          <w:lang w:val="en-US"/>
        </w:rPr>
        <w:t xml:space="preserve">shall be skilled and trained to </w:t>
      </w:r>
      <w:r w:rsidRPr="00FB0D7B">
        <w:rPr>
          <w:rFonts w:ascii="Times New Roman" w:hAnsi="Times New Roman" w:cs="Times New Roman"/>
          <w:sz w:val="28"/>
          <w:szCs w:val="28"/>
          <w:lang w:val="en-US"/>
        </w:rPr>
        <w:t>operate vehicles of the category subject to be tested.</w:t>
      </w:r>
    </w:p>
    <w:p w:rsidR="00FB0D7B" w:rsidRPr="00FB0D7B" w:rsidRDefault="00FB0D7B" w:rsidP="00FB0D7B">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2.2. If the normal in-service conditions of a particular vehicle are considered to be</w:t>
      </w:r>
    </w:p>
    <w:p w:rsidR="00FB0D7B" w:rsidRPr="00FB0D7B" w:rsidRDefault="00FB0D7B" w:rsidP="00FB0D7B">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incompatible with the proper execution of the</w:t>
      </w:r>
      <w:r>
        <w:rPr>
          <w:rFonts w:ascii="Times New Roman" w:hAnsi="Times New Roman" w:cs="Times New Roman"/>
          <w:sz w:val="28"/>
          <w:szCs w:val="28"/>
          <w:lang w:val="en-US"/>
        </w:rPr>
        <w:t xml:space="preserve"> tests, the manufacturer or the </w:t>
      </w:r>
      <w:r w:rsidRPr="00FB0D7B">
        <w:rPr>
          <w:rFonts w:ascii="Times New Roman" w:hAnsi="Times New Roman" w:cs="Times New Roman"/>
          <w:sz w:val="28"/>
          <w:szCs w:val="28"/>
          <w:lang w:val="en-US"/>
        </w:rPr>
        <w:t>Type Approval Authority may request that</w:t>
      </w:r>
      <w:r>
        <w:rPr>
          <w:rFonts w:ascii="Times New Roman" w:hAnsi="Times New Roman" w:cs="Times New Roman"/>
          <w:sz w:val="28"/>
          <w:szCs w:val="28"/>
          <w:lang w:val="en-US"/>
        </w:rPr>
        <w:t xml:space="preserve"> alternative driving routes and </w:t>
      </w:r>
      <w:r w:rsidRPr="00FB0D7B">
        <w:rPr>
          <w:rFonts w:ascii="Times New Roman" w:hAnsi="Times New Roman" w:cs="Times New Roman"/>
          <w:sz w:val="28"/>
          <w:szCs w:val="28"/>
          <w:lang w:val="en-US"/>
        </w:rPr>
        <w:t>payloads are used.</w:t>
      </w:r>
    </w:p>
    <w:p w:rsidR="00771F39" w:rsidRPr="00FB0D7B" w:rsidRDefault="00771F39" w:rsidP="00FB0D7B">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The testing shall be repeated at least every two years for each engine family</w:t>
      </w:r>
    </w:p>
    <w:p w:rsidR="00771F39" w:rsidRDefault="00771F39" w:rsidP="00FB0D7B">
      <w:pPr>
        <w:autoSpaceDE w:val="0"/>
        <w:autoSpaceDN w:val="0"/>
        <w:adjustRightInd w:val="0"/>
        <w:spacing w:after="0" w:line="240" w:lineRule="auto"/>
        <w:jc w:val="both"/>
        <w:rPr>
          <w:rFonts w:ascii="Times New Roman" w:hAnsi="Times New Roman" w:cs="Times New Roman"/>
          <w:sz w:val="28"/>
          <w:szCs w:val="28"/>
          <w:lang w:val="en-US"/>
        </w:rPr>
      </w:pPr>
      <w:r w:rsidRPr="00FB0D7B">
        <w:rPr>
          <w:rFonts w:ascii="Times New Roman" w:hAnsi="Times New Roman" w:cs="Times New Roman"/>
          <w:sz w:val="28"/>
          <w:szCs w:val="28"/>
          <w:lang w:val="en-US"/>
        </w:rPr>
        <w:t xml:space="preserve">periodically on vehicles over their </w:t>
      </w:r>
      <w:r w:rsidRPr="006C27E5">
        <w:rPr>
          <w:rFonts w:ascii="Times New Roman" w:hAnsi="Times New Roman" w:cs="Times New Roman"/>
          <w:b/>
          <w:sz w:val="28"/>
          <w:szCs w:val="28"/>
          <w:u w:val="single"/>
          <w:lang w:val="en-US"/>
        </w:rPr>
        <w:t>use</w:t>
      </w:r>
      <w:r w:rsidR="00FB0D7B" w:rsidRPr="006C27E5">
        <w:rPr>
          <w:rFonts w:ascii="Times New Roman" w:hAnsi="Times New Roman" w:cs="Times New Roman"/>
          <w:b/>
          <w:sz w:val="28"/>
          <w:szCs w:val="28"/>
          <w:u w:val="single"/>
          <w:lang w:val="en-US"/>
        </w:rPr>
        <w:t>ful life</w:t>
      </w:r>
      <w:r w:rsidR="00FB0D7B">
        <w:rPr>
          <w:rFonts w:ascii="Times New Roman" w:hAnsi="Times New Roman" w:cs="Times New Roman"/>
          <w:sz w:val="28"/>
          <w:szCs w:val="28"/>
          <w:lang w:val="en-US"/>
        </w:rPr>
        <w:t xml:space="preserve"> period as specified in </w:t>
      </w:r>
      <w:r w:rsidRPr="00FB0D7B">
        <w:rPr>
          <w:rFonts w:ascii="Times New Roman" w:hAnsi="Times New Roman" w:cs="Times New Roman"/>
          <w:sz w:val="28"/>
          <w:szCs w:val="28"/>
          <w:lang w:val="en-US"/>
        </w:rPr>
        <w:t>paragraph 5.4. of this Regulation.</w:t>
      </w:r>
    </w:p>
    <w:p w:rsidR="006C27E5" w:rsidRDefault="006C27E5" w:rsidP="00FB0D7B">
      <w:pPr>
        <w:autoSpaceDE w:val="0"/>
        <w:autoSpaceDN w:val="0"/>
        <w:adjustRightInd w:val="0"/>
        <w:spacing w:after="0" w:line="240" w:lineRule="auto"/>
        <w:jc w:val="both"/>
        <w:rPr>
          <w:rFonts w:ascii="Times New Roman" w:hAnsi="Times New Roman" w:cs="Times New Roman"/>
          <w:sz w:val="28"/>
          <w:szCs w:val="28"/>
          <w:lang w:val="en-US"/>
        </w:rPr>
      </w:pP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5.4. Durability and deterioration factors</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lastRenderedPageBreak/>
        <w:t>The manufacturer shall determine deterioration factors that will be used to</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demonstrate that the gaseous and particulate emissions of an engine family or</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engine- after-treatment system family remain in conformity with the emission</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limits set out in paragraph 5.3. over the normal useful life periods set out</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below.</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The procedures for demonstrating the compliance of an engine system or</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engine-after-treatment system family over the normal useful life are set out in</w:t>
      </w:r>
    </w:p>
    <w:p w:rsidR="006C27E5" w:rsidRPr="00923A08"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923A08">
        <w:rPr>
          <w:rFonts w:ascii="Times New Roman" w:hAnsi="Times New Roman" w:cs="Times New Roman"/>
          <w:sz w:val="28"/>
          <w:szCs w:val="28"/>
          <w:lang w:val="en-US"/>
        </w:rPr>
        <w:t>Annex 7.</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The mileage and period of time by reference to</w:t>
      </w:r>
      <w:r w:rsidR="00D937EB">
        <w:rPr>
          <w:rFonts w:ascii="Times New Roman" w:hAnsi="Times New Roman" w:cs="Times New Roman"/>
          <w:sz w:val="28"/>
          <w:szCs w:val="28"/>
          <w:lang w:val="en-US"/>
        </w:rPr>
        <w:t xml:space="preserve"> which the tests for durability </w:t>
      </w:r>
      <w:r w:rsidRPr="006C27E5">
        <w:rPr>
          <w:rFonts w:ascii="Times New Roman" w:hAnsi="Times New Roman" w:cs="Times New Roman"/>
          <w:sz w:val="28"/>
          <w:szCs w:val="28"/>
          <w:lang w:val="en-US"/>
        </w:rPr>
        <w:t>of pollution control devices undertaken f</w:t>
      </w:r>
      <w:r w:rsidR="00D937EB">
        <w:rPr>
          <w:rFonts w:ascii="Times New Roman" w:hAnsi="Times New Roman" w:cs="Times New Roman"/>
          <w:sz w:val="28"/>
          <w:szCs w:val="28"/>
          <w:lang w:val="en-US"/>
        </w:rPr>
        <w:t xml:space="preserve">or type approval and testing of </w:t>
      </w:r>
      <w:r w:rsidRPr="006C27E5">
        <w:rPr>
          <w:rFonts w:ascii="Times New Roman" w:hAnsi="Times New Roman" w:cs="Times New Roman"/>
          <w:sz w:val="28"/>
          <w:szCs w:val="28"/>
          <w:lang w:val="en-US"/>
        </w:rPr>
        <w:t>conformity of in-service vehicles or engines are to be carried out shall be the</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following:</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(a) 160,000 km or five years, whicheve</w:t>
      </w:r>
      <w:r w:rsidR="00D937EB">
        <w:rPr>
          <w:rFonts w:ascii="Times New Roman" w:hAnsi="Times New Roman" w:cs="Times New Roman"/>
          <w:sz w:val="28"/>
          <w:szCs w:val="28"/>
          <w:lang w:val="en-US"/>
        </w:rPr>
        <w:t xml:space="preserve">r is the sooner, in the case of </w:t>
      </w:r>
      <w:r w:rsidRPr="006C27E5">
        <w:rPr>
          <w:rFonts w:ascii="Times New Roman" w:hAnsi="Times New Roman" w:cs="Times New Roman"/>
          <w:sz w:val="28"/>
          <w:szCs w:val="28"/>
          <w:lang w:val="en-US"/>
        </w:rPr>
        <w:t>engines fitted to vehicles of category M</w:t>
      </w:r>
      <w:r w:rsidRPr="00923A08">
        <w:rPr>
          <w:rFonts w:ascii="Times New Roman" w:hAnsi="Times New Roman" w:cs="Times New Roman"/>
          <w:sz w:val="28"/>
          <w:szCs w:val="28"/>
          <w:vertAlign w:val="subscript"/>
          <w:lang w:val="en-US"/>
        </w:rPr>
        <w:t>1</w:t>
      </w:r>
      <w:r w:rsidRPr="006C27E5">
        <w:rPr>
          <w:rFonts w:ascii="Times New Roman" w:hAnsi="Times New Roman" w:cs="Times New Roman"/>
          <w:sz w:val="28"/>
          <w:szCs w:val="28"/>
          <w:lang w:val="en-US"/>
        </w:rPr>
        <w:t>, N</w:t>
      </w:r>
      <w:r w:rsidRPr="00923A08">
        <w:rPr>
          <w:rFonts w:ascii="Times New Roman" w:hAnsi="Times New Roman" w:cs="Times New Roman"/>
          <w:sz w:val="28"/>
          <w:szCs w:val="28"/>
          <w:vertAlign w:val="subscript"/>
          <w:lang w:val="en-US"/>
        </w:rPr>
        <w:t>1</w:t>
      </w:r>
      <w:r w:rsidRPr="006C27E5">
        <w:rPr>
          <w:rFonts w:ascii="Times New Roman" w:hAnsi="Times New Roman" w:cs="Times New Roman"/>
          <w:sz w:val="28"/>
          <w:szCs w:val="28"/>
          <w:lang w:val="en-US"/>
        </w:rPr>
        <w:t xml:space="preserve"> and M</w:t>
      </w:r>
      <w:r w:rsidRPr="00923A08">
        <w:rPr>
          <w:rFonts w:ascii="Times New Roman" w:hAnsi="Times New Roman" w:cs="Times New Roman"/>
          <w:sz w:val="28"/>
          <w:szCs w:val="28"/>
          <w:vertAlign w:val="subscript"/>
          <w:lang w:val="en-US"/>
        </w:rPr>
        <w:t>2</w:t>
      </w:r>
      <w:r w:rsidRPr="006C27E5">
        <w:rPr>
          <w:rFonts w:ascii="Times New Roman" w:hAnsi="Times New Roman" w:cs="Times New Roman"/>
          <w:sz w:val="28"/>
          <w:szCs w:val="28"/>
          <w:lang w:val="en-US"/>
        </w:rPr>
        <w:t>;</w:t>
      </w:r>
    </w:p>
    <w:p w:rsidR="006C27E5" w:rsidRPr="006C27E5"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(b) 300,000 km or six years, whicheve</w:t>
      </w:r>
      <w:r w:rsidR="00D937EB">
        <w:rPr>
          <w:rFonts w:ascii="Times New Roman" w:hAnsi="Times New Roman" w:cs="Times New Roman"/>
          <w:sz w:val="28"/>
          <w:szCs w:val="28"/>
          <w:lang w:val="en-US"/>
        </w:rPr>
        <w:t xml:space="preserve">r is the sooner, in the case of </w:t>
      </w:r>
      <w:r w:rsidRPr="006C27E5">
        <w:rPr>
          <w:rFonts w:ascii="Times New Roman" w:hAnsi="Times New Roman" w:cs="Times New Roman"/>
          <w:sz w:val="28"/>
          <w:szCs w:val="28"/>
          <w:lang w:val="en-US"/>
        </w:rPr>
        <w:t>engines fitted to vehicles of</w:t>
      </w:r>
      <w:r w:rsidR="00D937EB">
        <w:rPr>
          <w:rFonts w:ascii="Times New Roman" w:hAnsi="Times New Roman" w:cs="Times New Roman"/>
          <w:sz w:val="28"/>
          <w:szCs w:val="28"/>
          <w:lang w:val="en-US"/>
        </w:rPr>
        <w:t xml:space="preserve"> category N</w:t>
      </w:r>
      <w:r w:rsidR="00D937EB" w:rsidRPr="00923A08">
        <w:rPr>
          <w:rFonts w:ascii="Times New Roman" w:hAnsi="Times New Roman" w:cs="Times New Roman"/>
          <w:sz w:val="28"/>
          <w:szCs w:val="28"/>
          <w:vertAlign w:val="subscript"/>
          <w:lang w:val="en-US"/>
        </w:rPr>
        <w:t>2</w:t>
      </w:r>
      <w:r w:rsidR="00D937EB">
        <w:rPr>
          <w:rFonts w:ascii="Times New Roman" w:hAnsi="Times New Roman" w:cs="Times New Roman"/>
          <w:sz w:val="28"/>
          <w:szCs w:val="28"/>
          <w:lang w:val="en-US"/>
        </w:rPr>
        <w:t>, N</w:t>
      </w:r>
      <w:r w:rsidR="00D937EB" w:rsidRPr="00923A08">
        <w:rPr>
          <w:rFonts w:ascii="Times New Roman" w:hAnsi="Times New Roman" w:cs="Times New Roman"/>
          <w:sz w:val="28"/>
          <w:szCs w:val="28"/>
          <w:vertAlign w:val="subscript"/>
          <w:lang w:val="en-US"/>
        </w:rPr>
        <w:t>3</w:t>
      </w:r>
      <w:r w:rsidR="00D937EB">
        <w:rPr>
          <w:rFonts w:ascii="Times New Roman" w:hAnsi="Times New Roman" w:cs="Times New Roman"/>
          <w:sz w:val="28"/>
          <w:szCs w:val="28"/>
          <w:lang w:val="en-US"/>
        </w:rPr>
        <w:t xml:space="preserve"> with a maximum </w:t>
      </w:r>
      <w:r w:rsidRPr="006C27E5">
        <w:rPr>
          <w:rFonts w:ascii="Times New Roman" w:hAnsi="Times New Roman" w:cs="Times New Roman"/>
          <w:sz w:val="28"/>
          <w:szCs w:val="28"/>
          <w:lang w:val="en-US"/>
        </w:rPr>
        <w:t>technically permissible mass not exce</w:t>
      </w:r>
      <w:r w:rsidR="00D937EB">
        <w:rPr>
          <w:rFonts w:ascii="Times New Roman" w:hAnsi="Times New Roman" w:cs="Times New Roman"/>
          <w:sz w:val="28"/>
          <w:szCs w:val="28"/>
          <w:lang w:val="en-US"/>
        </w:rPr>
        <w:t xml:space="preserve">eding 16 </w:t>
      </w:r>
      <w:proofErr w:type="spellStart"/>
      <w:r w:rsidR="00D937EB">
        <w:rPr>
          <w:rFonts w:ascii="Times New Roman" w:hAnsi="Times New Roman" w:cs="Times New Roman"/>
          <w:sz w:val="28"/>
          <w:szCs w:val="28"/>
          <w:lang w:val="en-US"/>
        </w:rPr>
        <w:t>tonnes</w:t>
      </w:r>
      <w:proofErr w:type="spellEnd"/>
      <w:r w:rsidR="00D937EB">
        <w:rPr>
          <w:rFonts w:ascii="Times New Roman" w:hAnsi="Times New Roman" w:cs="Times New Roman"/>
          <w:sz w:val="28"/>
          <w:szCs w:val="28"/>
          <w:lang w:val="en-US"/>
        </w:rPr>
        <w:t xml:space="preserve"> and M</w:t>
      </w:r>
      <w:r w:rsidR="00D937EB" w:rsidRPr="00BF561A">
        <w:rPr>
          <w:rFonts w:ascii="Times New Roman" w:hAnsi="Times New Roman" w:cs="Times New Roman"/>
          <w:sz w:val="28"/>
          <w:szCs w:val="28"/>
          <w:vertAlign w:val="subscript"/>
          <w:lang w:val="en-US"/>
        </w:rPr>
        <w:t>3</w:t>
      </w:r>
      <w:r w:rsidR="00D937EB">
        <w:rPr>
          <w:rFonts w:ascii="Times New Roman" w:hAnsi="Times New Roman" w:cs="Times New Roman"/>
          <w:sz w:val="28"/>
          <w:szCs w:val="28"/>
          <w:lang w:val="en-US"/>
        </w:rPr>
        <w:t xml:space="preserve"> Class I, </w:t>
      </w:r>
      <w:r w:rsidRPr="006C27E5">
        <w:rPr>
          <w:rFonts w:ascii="Times New Roman" w:hAnsi="Times New Roman" w:cs="Times New Roman"/>
          <w:sz w:val="28"/>
          <w:szCs w:val="28"/>
          <w:lang w:val="en-US"/>
        </w:rPr>
        <w:t>Class II and Class A, and Cla</w:t>
      </w:r>
      <w:r w:rsidR="00D937EB">
        <w:rPr>
          <w:rFonts w:ascii="Times New Roman" w:hAnsi="Times New Roman" w:cs="Times New Roman"/>
          <w:sz w:val="28"/>
          <w:szCs w:val="28"/>
          <w:lang w:val="en-US"/>
        </w:rPr>
        <w:t xml:space="preserve">ss B with a maximum technically </w:t>
      </w:r>
      <w:r w:rsidRPr="006C27E5">
        <w:rPr>
          <w:rFonts w:ascii="Times New Roman" w:hAnsi="Times New Roman" w:cs="Times New Roman"/>
          <w:sz w:val="28"/>
          <w:szCs w:val="28"/>
          <w:lang w:val="en-US"/>
        </w:rPr>
        <w:t xml:space="preserve">permissible mass not exceeding 7.5 </w:t>
      </w:r>
      <w:proofErr w:type="spellStart"/>
      <w:r w:rsidRPr="006C27E5">
        <w:rPr>
          <w:rFonts w:ascii="Times New Roman" w:hAnsi="Times New Roman" w:cs="Times New Roman"/>
          <w:sz w:val="28"/>
          <w:szCs w:val="28"/>
          <w:lang w:val="en-US"/>
        </w:rPr>
        <w:t>tonnes</w:t>
      </w:r>
      <w:proofErr w:type="spellEnd"/>
      <w:r w:rsidRPr="006C27E5">
        <w:rPr>
          <w:rFonts w:ascii="Times New Roman" w:hAnsi="Times New Roman" w:cs="Times New Roman"/>
          <w:sz w:val="28"/>
          <w:szCs w:val="28"/>
          <w:lang w:val="en-US"/>
        </w:rPr>
        <w:t>;</w:t>
      </w:r>
    </w:p>
    <w:p w:rsidR="00D937EB" w:rsidRDefault="006C27E5" w:rsidP="006C27E5">
      <w:pPr>
        <w:autoSpaceDE w:val="0"/>
        <w:autoSpaceDN w:val="0"/>
        <w:adjustRightInd w:val="0"/>
        <w:spacing w:after="0" w:line="240" w:lineRule="auto"/>
        <w:jc w:val="both"/>
        <w:rPr>
          <w:rFonts w:ascii="Times New Roman" w:hAnsi="Times New Roman" w:cs="Times New Roman"/>
          <w:sz w:val="28"/>
          <w:szCs w:val="28"/>
          <w:lang w:val="en-US"/>
        </w:rPr>
      </w:pPr>
      <w:r w:rsidRPr="006C27E5">
        <w:rPr>
          <w:rFonts w:ascii="Times New Roman" w:hAnsi="Times New Roman" w:cs="Times New Roman"/>
          <w:sz w:val="28"/>
          <w:szCs w:val="28"/>
          <w:lang w:val="en-US"/>
        </w:rPr>
        <w:t>(c) 700,000 km or seven years, whicheve</w:t>
      </w:r>
      <w:r w:rsidR="00D937EB">
        <w:rPr>
          <w:rFonts w:ascii="Times New Roman" w:hAnsi="Times New Roman" w:cs="Times New Roman"/>
          <w:sz w:val="28"/>
          <w:szCs w:val="28"/>
          <w:lang w:val="en-US"/>
        </w:rPr>
        <w:t xml:space="preserve">r is the sooner, in the case of </w:t>
      </w:r>
      <w:r w:rsidRPr="006C27E5">
        <w:rPr>
          <w:rFonts w:ascii="Times New Roman" w:hAnsi="Times New Roman" w:cs="Times New Roman"/>
          <w:sz w:val="28"/>
          <w:szCs w:val="28"/>
          <w:lang w:val="en-US"/>
        </w:rPr>
        <w:t>engines fitted to vehicles of categor</w:t>
      </w:r>
      <w:r w:rsidR="00D937EB">
        <w:rPr>
          <w:rFonts w:ascii="Times New Roman" w:hAnsi="Times New Roman" w:cs="Times New Roman"/>
          <w:sz w:val="28"/>
          <w:szCs w:val="28"/>
          <w:lang w:val="en-US"/>
        </w:rPr>
        <w:t>y N</w:t>
      </w:r>
      <w:r w:rsidR="00D937EB" w:rsidRPr="00BF561A">
        <w:rPr>
          <w:rFonts w:ascii="Times New Roman" w:hAnsi="Times New Roman" w:cs="Times New Roman"/>
          <w:sz w:val="28"/>
          <w:szCs w:val="28"/>
          <w:vertAlign w:val="subscript"/>
          <w:lang w:val="en-US"/>
        </w:rPr>
        <w:t>3</w:t>
      </w:r>
      <w:r w:rsidR="00D937EB">
        <w:rPr>
          <w:rFonts w:ascii="Times New Roman" w:hAnsi="Times New Roman" w:cs="Times New Roman"/>
          <w:sz w:val="28"/>
          <w:szCs w:val="28"/>
          <w:lang w:val="en-US"/>
        </w:rPr>
        <w:t xml:space="preserve"> with a maximum technically </w:t>
      </w:r>
      <w:r w:rsidRPr="006C27E5">
        <w:rPr>
          <w:rFonts w:ascii="Times New Roman" w:hAnsi="Times New Roman" w:cs="Times New Roman"/>
          <w:sz w:val="28"/>
          <w:szCs w:val="28"/>
          <w:lang w:val="en-US"/>
        </w:rPr>
        <w:t xml:space="preserve">permissible mass exceeding 16 </w:t>
      </w:r>
      <w:proofErr w:type="spellStart"/>
      <w:r w:rsidRPr="006C27E5">
        <w:rPr>
          <w:rFonts w:ascii="Times New Roman" w:hAnsi="Times New Roman" w:cs="Times New Roman"/>
          <w:sz w:val="28"/>
          <w:szCs w:val="28"/>
          <w:lang w:val="en-US"/>
        </w:rPr>
        <w:t>tonnes</w:t>
      </w:r>
      <w:proofErr w:type="spellEnd"/>
      <w:r w:rsidRPr="006C27E5">
        <w:rPr>
          <w:rFonts w:ascii="Times New Roman" w:hAnsi="Times New Roman" w:cs="Times New Roman"/>
          <w:sz w:val="28"/>
          <w:szCs w:val="28"/>
          <w:lang w:val="en-US"/>
        </w:rPr>
        <w:t xml:space="preserve"> </w:t>
      </w:r>
      <w:r w:rsidR="00D937EB">
        <w:rPr>
          <w:rFonts w:ascii="Times New Roman" w:hAnsi="Times New Roman" w:cs="Times New Roman"/>
          <w:sz w:val="28"/>
          <w:szCs w:val="28"/>
          <w:lang w:val="en-US"/>
        </w:rPr>
        <w:t>and M</w:t>
      </w:r>
      <w:r w:rsidR="00D937EB" w:rsidRPr="00BF561A">
        <w:rPr>
          <w:rFonts w:ascii="Times New Roman" w:hAnsi="Times New Roman" w:cs="Times New Roman"/>
          <w:sz w:val="28"/>
          <w:szCs w:val="28"/>
          <w:vertAlign w:val="subscript"/>
          <w:lang w:val="en-US"/>
        </w:rPr>
        <w:t>3</w:t>
      </w:r>
      <w:r w:rsidR="00D937EB">
        <w:rPr>
          <w:rFonts w:ascii="Times New Roman" w:hAnsi="Times New Roman" w:cs="Times New Roman"/>
          <w:sz w:val="28"/>
          <w:szCs w:val="28"/>
          <w:lang w:val="en-US"/>
        </w:rPr>
        <w:t xml:space="preserve">, Class III and Class B </w:t>
      </w:r>
      <w:r w:rsidRPr="006C27E5">
        <w:rPr>
          <w:rFonts w:ascii="Times New Roman" w:hAnsi="Times New Roman" w:cs="Times New Roman"/>
          <w:sz w:val="28"/>
          <w:szCs w:val="28"/>
          <w:lang w:val="en-US"/>
        </w:rPr>
        <w:t xml:space="preserve">with a maximum technically permissible mass exceeding 7.5 </w:t>
      </w:r>
      <w:proofErr w:type="spellStart"/>
      <w:r w:rsidRPr="006C27E5">
        <w:rPr>
          <w:rFonts w:ascii="Times New Roman" w:hAnsi="Times New Roman" w:cs="Times New Roman"/>
          <w:sz w:val="28"/>
          <w:szCs w:val="28"/>
          <w:lang w:val="en-US"/>
        </w:rPr>
        <w:t>tonnes</w:t>
      </w:r>
      <w:proofErr w:type="spellEnd"/>
      <w:r w:rsidRPr="006C27E5">
        <w:rPr>
          <w:rFonts w:ascii="Times New Roman" w:hAnsi="Times New Roman" w:cs="Times New Roman"/>
          <w:sz w:val="28"/>
          <w:szCs w:val="28"/>
          <w:lang w:val="en-US"/>
        </w:rPr>
        <w:t>.</w:t>
      </w:r>
    </w:p>
    <w:p w:rsidR="006C27E5" w:rsidRPr="00D937EB" w:rsidRDefault="006C27E5" w:rsidP="006C27E5">
      <w:pPr>
        <w:autoSpaceDE w:val="0"/>
        <w:autoSpaceDN w:val="0"/>
        <w:adjustRightInd w:val="0"/>
        <w:spacing w:after="0" w:line="240" w:lineRule="auto"/>
        <w:rPr>
          <w:rFonts w:ascii="Times New Roman" w:hAnsi="Times New Roman" w:cs="Times New Roman"/>
          <w:sz w:val="28"/>
          <w:szCs w:val="28"/>
          <w:lang w:val="en-US"/>
        </w:rPr>
      </w:pPr>
      <w:r w:rsidRPr="00D937EB">
        <w:rPr>
          <w:rFonts w:ascii="Times New Roman" w:hAnsi="Times New Roman" w:cs="Times New Roman"/>
          <w:sz w:val="28"/>
          <w:szCs w:val="28"/>
          <w:lang w:val="en-US"/>
        </w:rPr>
        <w:t>5.3. Emission limits</w:t>
      </w:r>
    </w:p>
    <w:p w:rsidR="006C27E5" w:rsidRDefault="006C27E5" w:rsidP="006C27E5">
      <w:pPr>
        <w:autoSpaceDE w:val="0"/>
        <w:autoSpaceDN w:val="0"/>
        <w:adjustRightInd w:val="0"/>
        <w:spacing w:after="0" w:line="240" w:lineRule="auto"/>
        <w:rPr>
          <w:rFonts w:ascii="Times New Roman" w:hAnsi="Times New Roman" w:cs="Times New Roman"/>
          <w:sz w:val="28"/>
          <w:szCs w:val="28"/>
          <w:lang w:val="en-US"/>
        </w:rPr>
      </w:pPr>
      <w:r w:rsidRPr="00D937EB">
        <w:rPr>
          <w:rFonts w:ascii="Times New Roman" w:hAnsi="Times New Roman" w:cs="Times New Roman"/>
          <w:sz w:val="28"/>
          <w:szCs w:val="28"/>
          <w:lang w:val="en-US"/>
        </w:rPr>
        <w:t>Table 1 provides the emissions limits that apply to this Regulation.</w:t>
      </w:r>
    </w:p>
    <w:p w:rsidR="003327C2" w:rsidRDefault="003327C2" w:rsidP="006C27E5">
      <w:pPr>
        <w:autoSpaceDE w:val="0"/>
        <w:autoSpaceDN w:val="0"/>
        <w:adjustRightInd w:val="0"/>
        <w:spacing w:after="0" w:line="240" w:lineRule="auto"/>
        <w:rPr>
          <w:rFonts w:ascii="Times New Roman" w:hAnsi="Times New Roman" w:cs="Times New Roman"/>
          <w:sz w:val="28"/>
          <w:szCs w:val="28"/>
          <w:lang w:val="en-US"/>
        </w:rPr>
      </w:pPr>
    </w:p>
    <w:p w:rsidR="003327C2" w:rsidRPr="003327C2" w:rsidRDefault="003327C2" w:rsidP="006C27E5">
      <w:pPr>
        <w:autoSpaceDE w:val="0"/>
        <w:autoSpaceDN w:val="0"/>
        <w:adjustRightInd w:val="0"/>
        <w:spacing w:after="0" w:line="240" w:lineRule="auto"/>
        <w:rPr>
          <w:rFonts w:ascii="Times New Roman" w:hAnsi="Times New Roman" w:cs="Times New Roman"/>
          <w:b/>
          <w:sz w:val="28"/>
          <w:szCs w:val="28"/>
          <w:lang w:val="en-US"/>
        </w:rPr>
      </w:pPr>
      <w:r w:rsidRPr="003327C2">
        <w:rPr>
          <w:rFonts w:ascii="Times New Roman" w:hAnsi="Times New Roman" w:cs="Times New Roman"/>
          <w:b/>
          <w:sz w:val="28"/>
          <w:szCs w:val="28"/>
          <w:lang w:val="en-US"/>
        </w:rPr>
        <w:t xml:space="preserve">4. Safety Features of </w:t>
      </w:r>
      <w:r w:rsidRPr="003327C2">
        <w:rPr>
          <w:rFonts w:ascii="Times New Roman" w:hAnsi="Times New Roman" w:cs="Times New Roman"/>
          <w:b/>
          <w:color w:val="000000"/>
          <w:sz w:val="28"/>
          <w:szCs w:val="28"/>
          <w:lang w:val="en-US"/>
        </w:rPr>
        <w:t>automated driving systems</w:t>
      </w:r>
    </w:p>
    <w:p w:rsidR="00D937EB" w:rsidRPr="00D937EB" w:rsidRDefault="00D937EB" w:rsidP="006C27E5">
      <w:pPr>
        <w:autoSpaceDE w:val="0"/>
        <w:autoSpaceDN w:val="0"/>
        <w:adjustRightInd w:val="0"/>
        <w:spacing w:after="0" w:line="240" w:lineRule="auto"/>
        <w:rPr>
          <w:rFonts w:ascii="Times New Roman" w:hAnsi="Times New Roman" w:cs="Times New Roman"/>
          <w:sz w:val="28"/>
          <w:szCs w:val="28"/>
          <w:lang w:val="en-US"/>
        </w:rPr>
      </w:pPr>
    </w:p>
    <w:p w:rsidR="000B5317" w:rsidRPr="003327C2" w:rsidRDefault="003327C2" w:rsidP="000B5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4.1. S</w:t>
      </w:r>
      <w:r w:rsidRPr="003327C2">
        <w:rPr>
          <w:rFonts w:ascii="Times New Roman" w:hAnsi="Times New Roman" w:cs="Times New Roman"/>
          <w:b/>
          <w:bCs/>
          <w:sz w:val="28"/>
          <w:szCs w:val="28"/>
          <w:lang w:val="en-US"/>
        </w:rPr>
        <w:t>afe operation</w:t>
      </w:r>
    </w:p>
    <w:p w:rsidR="000B5317" w:rsidRPr="003327C2" w:rsidRDefault="003327C2" w:rsidP="000B5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4.1.1.</w:t>
      </w:r>
      <w:r w:rsidRPr="003327C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D</w:t>
      </w:r>
      <w:r w:rsidRPr="003327C2">
        <w:rPr>
          <w:rFonts w:ascii="Times New Roman" w:hAnsi="Times New Roman" w:cs="Times New Roman"/>
          <w:b/>
          <w:bCs/>
          <w:sz w:val="28"/>
          <w:szCs w:val="28"/>
          <w:lang w:val="en-US"/>
        </w:rPr>
        <w:t>egradation</w:t>
      </w:r>
    </w:p>
    <w:p w:rsidR="000B5317" w:rsidRPr="00FC2158" w:rsidRDefault="000B5317" w:rsidP="000B5317">
      <w:pPr>
        <w:autoSpaceDE w:val="0"/>
        <w:autoSpaceDN w:val="0"/>
        <w:adjustRightInd w:val="0"/>
        <w:spacing w:after="0" w:line="240" w:lineRule="auto"/>
        <w:rPr>
          <w:rFonts w:ascii="Times New Roman" w:hAnsi="Times New Roman" w:cs="Times New Roman"/>
          <w:color w:val="000000"/>
          <w:sz w:val="28"/>
          <w:szCs w:val="28"/>
          <w:lang w:val="en-US"/>
        </w:rPr>
      </w:pPr>
      <w:r w:rsidRPr="00FC2158">
        <w:rPr>
          <w:rFonts w:ascii="Times New Roman" w:hAnsi="Times New Roman" w:cs="Times New Roman"/>
          <w:color w:val="000000"/>
          <w:sz w:val="28"/>
          <w:szCs w:val="28"/>
          <w:lang w:val="en-US"/>
        </w:rPr>
        <w:t>If safety-related functions or system components become hazardous (e.g. unavailable), the automated driving system shall:</w:t>
      </w:r>
    </w:p>
    <w:p w:rsidR="000B5317" w:rsidRPr="00FC2158" w:rsidRDefault="003327C2" w:rsidP="000B5317">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b</w:t>
      </w:r>
      <w:r w:rsidR="000B5317" w:rsidRPr="00FC2158">
        <w:rPr>
          <w:rFonts w:ascii="Times New Roman" w:hAnsi="Times New Roman" w:cs="Times New Roman"/>
          <w:color w:val="000000"/>
          <w:sz w:val="28"/>
          <w:szCs w:val="28"/>
          <w:lang w:val="en-US"/>
        </w:rPr>
        <w:t>e capable of compensating and transferring the system to a safe conditi</w:t>
      </w:r>
      <w:r>
        <w:rPr>
          <w:rFonts w:ascii="Times New Roman" w:hAnsi="Times New Roman" w:cs="Times New Roman"/>
          <w:color w:val="000000"/>
          <w:sz w:val="28"/>
          <w:szCs w:val="28"/>
          <w:lang w:val="en-US"/>
        </w:rPr>
        <w:t>on/state (with acceptable risk);</w:t>
      </w:r>
    </w:p>
    <w:p w:rsidR="000B5317" w:rsidRPr="00FC2158" w:rsidRDefault="003327C2" w:rsidP="000B5317">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e</w:t>
      </w:r>
      <w:r w:rsidR="000B5317" w:rsidRPr="00FC2158">
        <w:rPr>
          <w:rFonts w:ascii="Times New Roman" w:hAnsi="Times New Roman" w:cs="Times New Roman"/>
          <w:color w:val="000000"/>
          <w:sz w:val="28"/>
          <w:szCs w:val="28"/>
          <w:lang w:val="en-US"/>
        </w:rPr>
        <w:t>nsure a sufficient time frame for the safe transition of control to the vehicle operator.</w:t>
      </w:r>
    </w:p>
    <w:p w:rsidR="000B5317" w:rsidRPr="00FC2158" w:rsidRDefault="003327C2" w:rsidP="000B5317">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4.1.2. F</w:t>
      </w:r>
      <w:r w:rsidRPr="00FC2158">
        <w:rPr>
          <w:rFonts w:ascii="Times New Roman" w:hAnsi="Times New Roman" w:cs="Times New Roman"/>
          <w:b/>
          <w:bCs/>
          <w:color w:val="000000"/>
          <w:sz w:val="28"/>
          <w:szCs w:val="28"/>
          <w:lang w:val="en-US"/>
        </w:rPr>
        <w:t>ail-operational</w:t>
      </w:r>
      <w:r w:rsidR="000B5317" w:rsidRPr="00FC2158">
        <w:rPr>
          <w:rFonts w:ascii="Times New Roman" w:hAnsi="Times New Roman" w:cs="Times New Roman"/>
          <w:b/>
          <w:bCs/>
          <w:color w:val="000000"/>
          <w:sz w:val="28"/>
          <w:szCs w:val="28"/>
          <w:lang w:val="en-US"/>
        </w:rPr>
        <w:t xml:space="preserve"> (limited to the safety</w:t>
      </w:r>
      <w:r w:rsidR="000B5317">
        <w:rPr>
          <w:rFonts w:ascii="Times New Roman" w:hAnsi="Times New Roman" w:cs="Times New Roman"/>
          <w:b/>
          <w:bCs/>
          <w:color w:val="000000"/>
          <w:sz w:val="28"/>
          <w:szCs w:val="28"/>
          <w:lang w:val="en-US"/>
        </w:rPr>
        <w:t xml:space="preserve"> </w:t>
      </w:r>
      <w:r w:rsidR="000B5317" w:rsidRPr="00FC2158">
        <w:rPr>
          <w:rFonts w:ascii="Times New Roman" w:hAnsi="Times New Roman" w:cs="Times New Roman"/>
          <w:b/>
          <w:bCs/>
          <w:color w:val="000000"/>
          <w:sz w:val="28"/>
          <w:szCs w:val="28"/>
          <w:lang w:val="en-US"/>
        </w:rPr>
        <w:t>related function or component)</w:t>
      </w:r>
    </w:p>
    <w:p w:rsidR="000B5317" w:rsidRPr="00FC2158" w:rsidRDefault="000B5317" w:rsidP="000B5317">
      <w:pPr>
        <w:autoSpaceDE w:val="0"/>
        <w:autoSpaceDN w:val="0"/>
        <w:adjustRightInd w:val="0"/>
        <w:spacing w:after="0" w:line="240" w:lineRule="auto"/>
        <w:rPr>
          <w:rFonts w:ascii="Times New Roman" w:hAnsi="Times New Roman" w:cs="Times New Roman"/>
          <w:color w:val="000000"/>
          <w:sz w:val="28"/>
          <w:szCs w:val="28"/>
          <w:lang w:val="en-US"/>
        </w:rPr>
      </w:pPr>
      <w:r w:rsidRPr="00FC2158">
        <w:rPr>
          <w:rFonts w:ascii="Times New Roman" w:hAnsi="Times New Roman" w:cs="Times New Roman"/>
          <w:color w:val="000000"/>
          <w:sz w:val="28"/>
          <w:szCs w:val="28"/>
          <w:lang w:val="en-US"/>
        </w:rPr>
        <w:t>The loss of safety-related functions or system components shall not lead to a safety-related situation.</w:t>
      </w:r>
    </w:p>
    <w:p w:rsidR="000B5317" w:rsidRPr="003327C2" w:rsidRDefault="003327C2" w:rsidP="000B5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4.2. S</w:t>
      </w:r>
      <w:r w:rsidRPr="003327C2">
        <w:rPr>
          <w:rFonts w:ascii="Times New Roman" w:hAnsi="Times New Roman" w:cs="Times New Roman"/>
          <w:b/>
          <w:bCs/>
          <w:sz w:val="28"/>
          <w:szCs w:val="28"/>
          <w:lang w:val="en-US"/>
        </w:rPr>
        <w:t>afety assessment</w:t>
      </w:r>
    </w:p>
    <w:p w:rsidR="000B5317" w:rsidRDefault="000B5317" w:rsidP="000B5317">
      <w:pPr>
        <w:autoSpaceDE w:val="0"/>
        <w:autoSpaceDN w:val="0"/>
        <w:adjustRightInd w:val="0"/>
        <w:spacing w:after="0" w:line="240" w:lineRule="auto"/>
        <w:rPr>
          <w:rFonts w:ascii="Times New Roman" w:hAnsi="Times New Roman" w:cs="Times New Roman"/>
          <w:color w:val="000000"/>
          <w:sz w:val="28"/>
          <w:szCs w:val="28"/>
          <w:lang w:val="en-US"/>
        </w:rPr>
      </w:pPr>
      <w:r w:rsidRPr="00FC2158">
        <w:rPr>
          <w:rFonts w:ascii="Times New Roman" w:hAnsi="Times New Roman" w:cs="Times New Roman"/>
          <w:color w:val="000000"/>
          <w:sz w:val="28"/>
          <w:szCs w:val="28"/>
          <w:lang w:val="en-US"/>
        </w:rPr>
        <w:t>Verification and validation shall be used to ensure that the safety goals are met so as to reach a consistent improvement of the overall safety</w:t>
      </w:r>
      <w:r w:rsidR="003327C2">
        <w:rPr>
          <w:rFonts w:ascii="Times New Roman" w:hAnsi="Times New Roman" w:cs="Times New Roman"/>
          <w:color w:val="000000"/>
          <w:sz w:val="28"/>
          <w:szCs w:val="28"/>
          <w:lang w:val="en-US"/>
        </w:rPr>
        <w:t xml:space="preserve"> (monitoring)</w:t>
      </w:r>
      <w:r w:rsidRPr="00FC2158">
        <w:rPr>
          <w:rFonts w:ascii="Times New Roman" w:hAnsi="Times New Roman" w:cs="Times New Roman"/>
          <w:color w:val="000000"/>
          <w:sz w:val="28"/>
          <w:szCs w:val="28"/>
          <w:lang w:val="en-US"/>
        </w:rPr>
        <w:t>.</w:t>
      </w:r>
    </w:p>
    <w:p w:rsidR="000D7D71" w:rsidRPr="003327C2" w:rsidRDefault="000D7D71" w:rsidP="003327C2">
      <w:pPr>
        <w:jc w:val="both"/>
        <w:rPr>
          <w:rFonts w:ascii="Times New Roman" w:hAnsi="Times New Roman" w:cs="Times New Roman"/>
          <w:sz w:val="28"/>
          <w:szCs w:val="28"/>
          <w:lang w:val="en-US"/>
        </w:rPr>
      </w:pPr>
    </w:p>
    <w:sectPr w:rsidR="000D7D71" w:rsidRPr="00332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023"/>
    <w:multiLevelType w:val="hybridMultilevel"/>
    <w:tmpl w:val="63589904"/>
    <w:lvl w:ilvl="0" w:tplc="92903F1C">
      <w:start w:val="1"/>
      <w:numFmt w:val="bullet"/>
      <w:lvlText w:val="•"/>
      <w:lvlJc w:val="left"/>
      <w:pPr>
        <w:tabs>
          <w:tab w:val="num" w:pos="720"/>
        </w:tabs>
        <w:ind w:left="720" w:hanging="360"/>
      </w:pPr>
      <w:rPr>
        <w:rFonts w:ascii="Arial" w:hAnsi="Arial" w:hint="default"/>
      </w:rPr>
    </w:lvl>
    <w:lvl w:ilvl="1" w:tplc="644C4E22" w:tentative="1">
      <w:start w:val="1"/>
      <w:numFmt w:val="bullet"/>
      <w:lvlText w:val="•"/>
      <w:lvlJc w:val="left"/>
      <w:pPr>
        <w:tabs>
          <w:tab w:val="num" w:pos="1440"/>
        </w:tabs>
        <w:ind w:left="1440" w:hanging="360"/>
      </w:pPr>
      <w:rPr>
        <w:rFonts w:ascii="Arial" w:hAnsi="Arial" w:hint="default"/>
      </w:rPr>
    </w:lvl>
    <w:lvl w:ilvl="2" w:tplc="BDD2D87E" w:tentative="1">
      <w:start w:val="1"/>
      <w:numFmt w:val="bullet"/>
      <w:lvlText w:val="•"/>
      <w:lvlJc w:val="left"/>
      <w:pPr>
        <w:tabs>
          <w:tab w:val="num" w:pos="2160"/>
        </w:tabs>
        <w:ind w:left="2160" w:hanging="360"/>
      </w:pPr>
      <w:rPr>
        <w:rFonts w:ascii="Arial" w:hAnsi="Arial" w:hint="default"/>
      </w:rPr>
    </w:lvl>
    <w:lvl w:ilvl="3" w:tplc="FB6880D8" w:tentative="1">
      <w:start w:val="1"/>
      <w:numFmt w:val="bullet"/>
      <w:lvlText w:val="•"/>
      <w:lvlJc w:val="left"/>
      <w:pPr>
        <w:tabs>
          <w:tab w:val="num" w:pos="2880"/>
        </w:tabs>
        <w:ind w:left="2880" w:hanging="360"/>
      </w:pPr>
      <w:rPr>
        <w:rFonts w:ascii="Arial" w:hAnsi="Arial" w:hint="default"/>
      </w:rPr>
    </w:lvl>
    <w:lvl w:ilvl="4" w:tplc="4E1C0564" w:tentative="1">
      <w:start w:val="1"/>
      <w:numFmt w:val="bullet"/>
      <w:lvlText w:val="•"/>
      <w:lvlJc w:val="left"/>
      <w:pPr>
        <w:tabs>
          <w:tab w:val="num" w:pos="3600"/>
        </w:tabs>
        <w:ind w:left="3600" w:hanging="360"/>
      </w:pPr>
      <w:rPr>
        <w:rFonts w:ascii="Arial" w:hAnsi="Arial" w:hint="default"/>
      </w:rPr>
    </w:lvl>
    <w:lvl w:ilvl="5" w:tplc="416077DE" w:tentative="1">
      <w:start w:val="1"/>
      <w:numFmt w:val="bullet"/>
      <w:lvlText w:val="•"/>
      <w:lvlJc w:val="left"/>
      <w:pPr>
        <w:tabs>
          <w:tab w:val="num" w:pos="4320"/>
        </w:tabs>
        <w:ind w:left="4320" w:hanging="360"/>
      </w:pPr>
      <w:rPr>
        <w:rFonts w:ascii="Arial" w:hAnsi="Arial" w:hint="default"/>
      </w:rPr>
    </w:lvl>
    <w:lvl w:ilvl="6" w:tplc="12DCECD8" w:tentative="1">
      <w:start w:val="1"/>
      <w:numFmt w:val="bullet"/>
      <w:lvlText w:val="•"/>
      <w:lvlJc w:val="left"/>
      <w:pPr>
        <w:tabs>
          <w:tab w:val="num" w:pos="5040"/>
        </w:tabs>
        <w:ind w:left="5040" w:hanging="360"/>
      </w:pPr>
      <w:rPr>
        <w:rFonts w:ascii="Arial" w:hAnsi="Arial" w:hint="default"/>
      </w:rPr>
    </w:lvl>
    <w:lvl w:ilvl="7" w:tplc="E15C01AC" w:tentative="1">
      <w:start w:val="1"/>
      <w:numFmt w:val="bullet"/>
      <w:lvlText w:val="•"/>
      <w:lvlJc w:val="left"/>
      <w:pPr>
        <w:tabs>
          <w:tab w:val="num" w:pos="5760"/>
        </w:tabs>
        <w:ind w:left="5760" w:hanging="360"/>
      </w:pPr>
      <w:rPr>
        <w:rFonts w:ascii="Arial" w:hAnsi="Arial" w:hint="default"/>
      </w:rPr>
    </w:lvl>
    <w:lvl w:ilvl="8" w:tplc="97DA037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NDE0NjYwNrE0MDdV0lEKTi0uzszPAykwrAUAGSGrpSwAAAA="/>
  </w:docVars>
  <w:rsids>
    <w:rsidRoot w:val="00835370"/>
    <w:rsid w:val="000B5317"/>
    <w:rsid w:val="000D7D71"/>
    <w:rsid w:val="002015FC"/>
    <w:rsid w:val="00262BD8"/>
    <w:rsid w:val="003327C2"/>
    <w:rsid w:val="0033777A"/>
    <w:rsid w:val="005C04E5"/>
    <w:rsid w:val="005D031E"/>
    <w:rsid w:val="005F223D"/>
    <w:rsid w:val="00677359"/>
    <w:rsid w:val="00696A9C"/>
    <w:rsid w:val="006C27E5"/>
    <w:rsid w:val="00717922"/>
    <w:rsid w:val="00733C56"/>
    <w:rsid w:val="00771F39"/>
    <w:rsid w:val="00835370"/>
    <w:rsid w:val="00923A08"/>
    <w:rsid w:val="00A418FD"/>
    <w:rsid w:val="00BF561A"/>
    <w:rsid w:val="00C132DF"/>
    <w:rsid w:val="00C77726"/>
    <w:rsid w:val="00D937EB"/>
    <w:rsid w:val="00EA1547"/>
    <w:rsid w:val="00EE7501"/>
    <w:rsid w:val="00FB0D7B"/>
    <w:rsid w:val="00FC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10E8"/>
  <w15:docId w15:val="{FDE5C1F0-641A-4B09-829A-C999B9A9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E7501"/>
    <w:pPr>
      <w:ind w:left="720"/>
      <w:contextualSpacing/>
    </w:pPr>
  </w:style>
  <w:style w:type="character" w:customStyle="1" w:styleId="HChGChar">
    <w:name w:val="_ H _Ch_G Char"/>
    <w:link w:val="HChG"/>
    <w:locked/>
    <w:rsid w:val="00C132DF"/>
    <w:rPr>
      <w:rFonts w:ascii="Times New Roman" w:eastAsia="Times New Roman" w:hAnsi="Times New Roman" w:cs="Times New Roman"/>
      <w:b/>
      <w:sz w:val="28"/>
      <w:lang w:val="en-GB"/>
    </w:rPr>
  </w:style>
  <w:style w:type="paragraph" w:customStyle="1" w:styleId="HChG">
    <w:name w:val="_ H _Ch_G"/>
    <w:basedOn w:val="Normal"/>
    <w:next w:val="Normal"/>
    <w:link w:val="HChGChar"/>
    <w:rsid w:val="00C132D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lang w:val="en-GB"/>
    </w:rPr>
  </w:style>
  <w:style w:type="paragraph" w:styleId="Textdeglobus">
    <w:name w:val="Balloon Text"/>
    <w:basedOn w:val="Normal"/>
    <w:link w:val="TextdeglobusCar"/>
    <w:uiPriority w:val="99"/>
    <w:semiHidden/>
    <w:unhideWhenUsed/>
    <w:rsid w:val="000D7D71"/>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D7D71"/>
    <w:rPr>
      <w:rFonts w:ascii="Tahoma" w:hAnsi="Tahoma" w:cs="Tahoma"/>
      <w:sz w:val="16"/>
      <w:szCs w:val="16"/>
    </w:rPr>
  </w:style>
  <w:style w:type="table" w:styleId="Taulaambquadrcula">
    <w:name w:val="Table Grid"/>
    <w:basedOn w:val="Taulanormal"/>
    <w:uiPriority w:val="59"/>
    <w:rsid w:val="000D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3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5940">
      <w:bodyDiv w:val="1"/>
      <w:marLeft w:val="0"/>
      <w:marRight w:val="0"/>
      <w:marTop w:val="0"/>
      <w:marBottom w:val="0"/>
      <w:divBdr>
        <w:top w:val="none" w:sz="0" w:space="0" w:color="auto"/>
        <w:left w:val="none" w:sz="0" w:space="0" w:color="auto"/>
        <w:bottom w:val="none" w:sz="0" w:space="0" w:color="auto"/>
        <w:right w:val="none" w:sz="0" w:space="0" w:color="auto"/>
      </w:divBdr>
      <w:divsChild>
        <w:div w:id="1816945701">
          <w:marLeft w:val="360"/>
          <w:marRight w:val="0"/>
          <w:marTop w:val="200"/>
          <w:marBottom w:val="0"/>
          <w:divBdr>
            <w:top w:val="none" w:sz="0" w:space="0" w:color="auto"/>
            <w:left w:val="none" w:sz="0" w:space="0" w:color="auto"/>
            <w:bottom w:val="none" w:sz="0" w:space="0" w:color="auto"/>
            <w:right w:val="none" w:sz="0" w:space="0" w:color="auto"/>
          </w:divBdr>
        </w:div>
        <w:div w:id="694620949">
          <w:marLeft w:val="360"/>
          <w:marRight w:val="0"/>
          <w:marTop w:val="200"/>
          <w:marBottom w:val="0"/>
          <w:divBdr>
            <w:top w:val="none" w:sz="0" w:space="0" w:color="auto"/>
            <w:left w:val="none" w:sz="0" w:space="0" w:color="auto"/>
            <w:bottom w:val="none" w:sz="0" w:space="0" w:color="auto"/>
            <w:right w:val="none" w:sz="0" w:space="0" w:color="auto"/>
          </w:divBdr>
        </w:div>
        <w:div w:id="2127432506">
          <w:marLeft w:val="360"/>
          <w:marRight w:val="0"/>
          <w:marTop w:val="200"/>
          <w:marBottom w:val="0"/>
          <w:divBdr>
            <w:top w:val="none" w:sz="0" w:space="0" w:color="auto"/>
            <w:left w:val="none" w:sz="0" w:space="0" w:color="auto"/>
            <w:bottom w:val="none" w:sz="0" w:space="0" w:color="auto"/>
            <w:right w:val="none" w:sz="0" w:space="0" w:color="auto"/>
          </w:divBdr>
        </w:div>
      </w:divsChild>
    </w:div>
    <w:div w:id="9912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 Fernández</cp:lastModifiedBy>
  <cp:revision>9</cp:revision>
  <dcterms:created xsi:type="dcterms:W3CDTF">2019-09-06T14:04:00Z</dcterms:created>
  <dcterms:modified xsi:type="dcterms:W3CDTF">2019-09-09T14:49:00Z</dcterms:modified>
</cp:coreProperties>
</file>