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B47B" w14:textId="77777777" w:rsidR="009631D1" w:rsidRDefault="009631D1" w:rsidP="009631D1">
      <w:pPr>
        <w:pStyle w:val="SingleTxtG"/>
        <w:ind w:left="0" w:firstLine="0"/>
      </w:pPr>
      <w:bookmarkStart w:id="0" w:name="_GoBack"/>
      <w:bookmarkEnd w:id="0"/>
    </w:p>
    <w:p w14:paraId="2F66B60A" w14:textId="77777777" w:rsidR="007D2678" w:rsidRDefault="007D2678" w:rsidP="007D2678">
      <w:pPr>
        <w:pStyle w:val="SingleTxtG"/>
      </w:pPr>
      <w:r>
        <w:t>2.7.</w:t>
      </w:r>
      <w:r>
        <w:tab/>
        <w:t>"</w:t>
      </w:r>
      <w:r>
        <w:rPr>
          <w:i/>
          <w:iCs/>
        </w:rPr>
        <w:t xml:space="preserve">Data </w:t>
      </w:r>
      <w:r w:rsidRPr="007D2678">
        <w:rPr>
          <w:i/>
          <w:iCs/>
          <w:strike/>
          <w:color w:val="FF0000"/>
        </w:rPr>
        <w:t>protection</w:t>
      </w:r>
      <w:r w:rsidRPr="007D2678">
        <w:rPr>
          <w:color w:val="FF0000"/>
        </w:rPr>
        <w:t xml:space="preserve"> integrity and confidentiality</w:t>
      </w:r>
      <w:r>
        <w:t xml:space="preserve">" means the implementation of appropriate administrative, technical or physical means to guard against unauthorized </w:t>
      </w:r>
      <w:r w:rsidRPr="007D2678">
        <w:rPr>
          <w:color w:val="FF0000"/>
        </w:rPr>
        <w:t>or unlawful</w:t>
      </w:r>
      <w:r>
        <w:rPr>
          <w:color w:val="FF0000"/>
        </w:rPr>
        <w:t xml:space="preserve"> processing</w:t>
      </w:r>
      <w:r w:rsidRPr="007D2678">
        <w:rPr>
          <w:color w:val="FF0000"/>
        </w:rPr>
        <w:t>,</w:t>
      </w:r>
      <w:r w:rsidRPr="007D2678">
        <w:t xml:space="preserve"> </w:t>
      </w:r>
      <w:r w:rsidRPr="007D2678">
        <w:rPr>
          <w:strike/>
          <w:color w:val="FF0000"/>
        </w:rPr>
        <w:t>intentional</w:t>
      </w:r>
      <w:r w:rsidRPr="007D2678">
        <w:rPr>
          <w:color w:val="FF0000"/>
        </w:rPr>
        <w:t xml:space="preserve"> </w:t>
      </w:r>
      <w:r>
        <w:t xml:space="preserve">or </w:t>
      </w:r>
      <w:r w:rsidRPr="007D2678">
        <w:t>accidental</w:t>
      </w:r>
      <w:r>
        <w:t xml:space="preserve"> disclosure, modification, or destruction of data.</w:t>
      </w:r>
    </w:p>
    <w:p w14:paraId="12627215" w14:textId="77777777" w:rsidR="007D2678" w:rsidRDefault="007D2678" w:rsidP="0017496E">
      <w:pPr>
        <w:pStyle w:val="SingleTxtG"/>
      </w:pPr>
    </w:p>
    <w:p w14:paraId="65BF37F0" w14:textId="77777777" w:rsidR="0017496E" w:rsidRPr="00BB0C35" w:rsidRDefault="0017496E" w:rsidP="0017496E">
      <w:pPr>
        <w:pStyle w:val="SingleTxtG"/>
      </w:pPr>
      <w:r>
        <w:t>2.11.</w:t>
      </w:r>
      <w:r>
        <w:tab/>
        <w:t>"</w:t>
      </w:r>
      <w:r w:rsidRPr="004621C5">
        <w:rPr>
          <w:i/>
          <w:iCs/>
        </w:rPr>
        <w:t>Mitigation</w:t>
      </w:r>
      <w:r>
        <w:t>"</w:t>
      </w:r>
      <w:r w:rsidRPr="00BB0C35">
        <w:t xml:space="preserve"> means a measure that is</w:t>
      </w:r>
      <w:r>
        <w:t xml:space="preserve"> </w:t>
      </w:r>
      <w:r w:rsidRPr="0017496E">
        <w:rPr>
          <w:color w:val="FF0000"/>
        </w:rPr>
        <w:t xml:space="preserve">reducing </w:t>
      </w:r>
      <w:r w:rsidRPr="0017496E">
        <w:rPr>
          <w:strike/>
          <w:color w:val="FF0000"/>
        </w:rPr>
        <w:t>modifying</w:t>
      </w:r>
      <w:r w:rsidRPr="0017496E">
        <w:rPr>
          <w:color w:val="FF0000"/>
        </w:rPr>
        <w:t xml:space="preserve"> </w:t>
      </w:r>
      <w:r w:rsidRPr="00BB0C35">
        <w:t>risk.</w:t>
      </w:r>
    </w:p>
    <w:p w14:paraId="73D1E7BF" w14:textId="77777777" w:rsidR="0017496E" w:rsidRDefault="0017496E" w:rsidP="0017496E">
      <w:pPr>
        <w:pStyle w:val="SingleTxtG"/>
        <w:rPr>
          <w:strike/>
        </w:rPr>
      </w:pPr>
      <w:r>
        <w:t>2.14.</w:t>
      </w:r>
      <w:r>
        <w:tab/>
        <w:t>"</w:t>
      </w:r>
      <w:r w:rsidRPr="004621C5">
        <w:rPr>
          <w:i/>
          <w:iCs/>
        </w:rPr>
        <w:t>Risk</w:t>
      </w:r>
      <w:r>
        <w:t>"</w:t>
      </w:r>
      <w:r w:rsidRPr="00BB0C35">
        <w:t xml:space="preserve"> means </w:t>
      </w:r>
      <w:r w:rsidRPr="0017496E">
        <w:rPr>
          <w:color w:val="FF0000"/>
        </w:rPr>
        <w:t>potential that a given threat wil</w:t>
      </w:r>
      <w:r>
        <w:rPr>
          <w:color w:val="FF0000"/>
        </w:rPr>
        <w:t xml:space="preserve">l exploit vulnerabilities of a vehicle </w:t>
      </w:r>
      <w:r w:rsidRPr="0017496E">
        <w:rPr>
          <w:color w:val="FF0000"/>
        </w:rPr>
        <w:t xml:space="preserve">and thereby cause harm to the organization </w:t>
      </w:r>
      <w:r>
        <w:rPr>
          <w:color w:val="FF0000"/>
        </w:rPr>
        <w:t xml:space="preserve">or </w:t>
      </w:r>
      <w:r w:rsidR="009631D1">
        <w:rPr>
          <w:color w:val="FF0000"/>
        </w:rPr>
        <w:t>to an individual.</w:t>
      </w:r>
      <w:r w:rsidRPr="0017496E">
        <w:t xml:space="preserve"> </w:t>
      </w:r>
      <w:r w:rsidRPr="0017496E">
        <w:rPr>
          <w:strike/>
        </w:rPr>
        <w:t>the effect of uncertainty on security objectives.</w:t>
      </w:r>
    </w:p>
    <w:p w14:paraId="56B48A5D" w14:textId="77777777" w:rsidR="0017496E" w:rsidRDefault="0017496E" w:rsidP="0017496E">
      <w:pPr>
        <w:pStyle w:val="SingleTxtG"/>
      </w:pPr>
      <w:r>
        <w:t>2.18.</w:t>
      </w:r>
      <w:r>
        <w:tab/>
        <w:t>"</w:t>
      </w:r>
      <w:r w:rsidRPr="004621C5">
        <w:rPr>
          <w:i/>
        </w:rPr>
        <w:t>Threat</w:t>
      </w:r>
      <w:r>
        <w:t>"</w:t>
      </w:r>
      <w:r w:rsidRPr="00BB0C35">
        <w:t xml:space="preserve"> means a potential cause of an unwanted incident, which may result in harm to a system or organization</w:t>
      </w:r>
      <w:r>
        <w:t xml:space="preserve"> </w:t>
      </w:r>
      <w:r w:rsidRPr="0017496E">
        <w:rPr>
          <w:color w:val="FF0000"/>
        </w:rPr>
        <w:t>or individual</w:t>
      </w:r>
      <w:r w:rsidRPr="00BB0C35">
        <w:t>.</w:t>
      </w:r>
    </w:p>
    <w:p w14:paraId="672CF4EA" w14:textId="77777777" w:rsidR="006F2315" w:rsidRPr="009C6FF7" w:rsidRDefault="006F2315" w:rsidP="006F2315">
      <w:pPr>
        <w:pStyle w:val="SingleTxtG"/>
        <w:rPr>
          <w:rStyle w:val="Heading2Char"/>
          <w:b/>
          <w:color w:val="FF0000"/>
          <w:szCs w:val="20"/>
        </w:rPr>
      </w:pPr>
    </w:p>
    <w:p w14:paraId="42BC9AC3" w14:textId="5A1AE451" w:rsidR="006F2315" w:rsidRPr="009C6FF7" w:rsidRDefault="006F2315" w:rsidP="006F2315">
      <w:pPr>
        <w:pStyle w:val="SingleTxtG"/>
        <w:rPr>
          <w:rStyle w:val="Heading2Char"/>
          <w:b/>
          <w:color w:val="FF0000"/>
          <w:szCs w:val="20"/>
        </w:rPr>
      </w:pPr>
      <w:commentRangeStart w:id="1"/>
      <w:r w:rsidRPr="009C6FF7">
        <w:rPr>
          <w:rStyle w:val="Heading2Char"/>
          <w:b/>
          <w:color w:val="FF0000"/>
          <w:szCs w:val="20"/>
          <w:u w:val="single"/>
        </w:rPr>
        <w:t>3.3.11.</w:t>
      </w:r>
      <w:r w:rsidRPr="009C6FF7">
        <w:rPr>
          <w:rStyle w:val="Heading2Char"/>
          <w:b/>
          <w:color w:val="FF0000"/>
          <w:szCs w:val="20"/>
          <w:u w:val="single"/>
        </w:rPr>
        <w:tab/>
      </w:r>
      <w:r w:rsidRPr="009C6FF7">
        <w:rPr>
          <w:rStyle w:val="Heading2Char"/>
          <w:b/>
          <w:color w:val="FF0000"/>
          <w:szCs w:val="20"/>
        </w:rPr>
        <w:t>Access to vehicle services and functions should be controlled</w:t>
      </w:r>
      <w:r w:rsidR="009C6FF7">
        <w:rPr>
          <w:rStyle w:val="Heading2Char"/>
          <w:b/>
          <w:color w:val="FF0000"/>
          <w:szCs w:val="20"/>
          <w:u w:val="single"/>
        </w:rPr>
        <w:t xml:space="preserve">, in accordance with access control mechanisms and allocation of roles established </w:t>
      </w:r>
      <w:r w:rsidR="00B2142A">
        <w:rPr>
          <w:rStyle w:val="Heading2Char"/>
          <w:b/>
          <w:color w:val="FF0000"/>
          <w:szCs w:val="20"/>
          <w:u w:val="single"/>
        </w:rPr>
        <w:t xml:space="preserve">in compliance with </w:t>
      </w:r>
      <w:r w:rsidR="009C6FF7">
        <w:rPr>
          <w:rStyle w:val="Heading2Char"/>
          <w:b/>
          <w:color w:val="FF0000"/>
          <w:szCs w:val="20"/>
          <w:u w:val="single"/>
        </w:rPr>
        <w:t>national or regional legislation,</w:t>
      </w:r>
      <w:r w:rsidRPr="009C6FF7">
        <w:rPr>
          <w:rStyle w:val="Heading2Char"/>
          <w:b/>
          <w:color w:val="FF0000"/>
          <w:szCs w:val="20"/>
          <w:u w:val="single"/>
        </w:rPr>
        <w:t xml:space="preserve"> </w:t>
      </w:r>
      <w:r w:rsidRPr="009C6FF7">
        <w:rPr>
          <w:rStyle w:val="Heading2Char"/>
          <w:b/>
          <w:color w:val="FF0000"/>
          <w:szCs w:val="20"/>
        </w:rPr>
        <w:t>and available only to authorized parties;</w:t>
      </w:r>
    </w:p>
    <w:p w14:paraId="5889F7F1" w14:textId="77777777" w:rsidR="006F2315" w:rsidRPr="006F2315" w:rsidRDefault="006F2315" w:rsidP="006F2315">
      <w:pPr>
        <w:pStyle w:val="SingleTxtG"/>
        <w:rPr>
          <w:rStyle w:val="Heading2Char"/>
          <w:b/>
          <w:strike/>
          <w:color w:val="FF0000"/>
          <w:szCs w:val="20"/>
          <w:u w:val="single"/>
        </w:rPr>
      </w:pPr>
      <w:r w:rsidRPr="006F2315">
        <w:rPr>
          <w:rStyle w:val="Heading2Char"/>
          <w:b/>
          <w:strike/>
          <w:color w:val="FF0000"/>
          <w:szCs w:val="20"/>
          <w:u w:val="single"/>
        </w:rPr>
        <w:t>3.3.12.</w:t>
      </w:r>
      <w:r w:rsidRPr="006F2315">
        <w:rPr>
          <w:rStyle w:val="Heading2Char"/>
          <w:b/>
          <w:strike/>
          <w:color w:val="FF0000"/>
          <w:szCs w:val="20"/>
          <w:u w:val="single"/>
        </w:rPr>
        <w:tab/>
        <w:t>Access to personal data of drivers and passengers should be controlled and available only to authorized parties;</w:t>
      </w:r>
    </w:p>
    <w:p w14:paraId="3FF9AEDE" w14:textId="43B7232A" w:rsidR="006F2315" w:rsidRPr="009C6FF7" w:rsidRDefault="006F2315" w:rsidP="006F2315">
      <w:pPr>
        <w:pStyle w:val="SingleTxtG"/>
        <w:rPr>
          <w:rStyle w:val="Heading2Char"/>
          <w:b/>
          <w:strike/>
          <w:color w:val="FF0000"/>
          <w:szCs w:val="20"/>
        </w:rPr>
      </w:pPr>
      <w:r w:rsidRPr="009C6FF7">
        <w:rPr>
          <w:rStyle w:val="Heading2Char"/>
          <w:b/>
          <w:color w:val="FF0000"/>
          <w:szCs w:val="20"/>
        </w:rPr>
        <w:t>3.3.13.</w:t>
      </w:r>
      <w:r w:rsidRPr="009C6FF7">
        <w:rPr>
          <w:rStyle w:val="Heading2Char"/>
          <w:b/>
          <w:color w:val="FF0000"/>
          <w:szCs w:val="20"/>
        </w:rPr>
        <w:tab/>
        <w:t>Vehicles should log relevant</w:t>
      </w:r>
      <w:r w:rsidRPr="006F2315">
        <w:rPr>
          <w:rStyle w:val="Heading2Char"/>
          <w:b/>
          <w:strike/>
          <w:color w:val="FF0000"/>
          <w:szCs w:val="20"/>
          <w:u w:val="single"/>
        </w:rPr>
        <w:t xml:space="preserve"> </w:t>
      </w:r>
      <w:r w:rsidR="009C6FF7" w:rsidRPr="009C6FF7">
        <w:rPr>
          <w:rStyle w:val="Heading2Char"/>
          <w:b/>
          <w:color w:val="FF0000"/>
          <w:szCs w:val="20"/>
          <w:u w:val="single"/>
        </w:rPr>
        <w:t xml:space="preserve">access </w:t>
      </w:r>
      <w:r w:rsidRPr="009C6FF7">
        <w:rPr>
          <w:rStyle w:val="Heading2Char"/>
          <w:b/>
          <w:color w:val="FF0000"/>
          <w:szCs w:val="20"/>
        </w:rPr>
        <w:t>data, which can be used for post incident analysis and forensics.</w:t>
      </w:r>
      <w:commentRangeEnd w:id="1"/>
      <w:r w:rsidRPr="009C6FF7">
        <w:rPr>
          <w:rStyle w:val="CommentReference"/>
          <w:rFonts w:asciiTheme="minorHAnsi" w:hAnsiTheme="minorHAnsi"/>
          <w:bCs w:val="0"/>
          <w:lang w:eastAsia="ja-JP"/>
        </w:rPr>
        <w:commentReference w:id="1"/>
      </w:r>
    </w:p>
    <w:p w14:paraId="68B65E13" w14:textId="77777777" w:rsidR="006F2315" w:rsidRDefault="006F2315" w:rsidP="0017496E">
      <w:pPr>
        <w:pStyle w:val="SingleTxtG"/>
      </w:pPr>
    </w:p>
    <w:p w14:paraId="37440087" w14:textId="77777777" w:rsidR="007D2678" w:rsidRPr="00CF7C45" w:rsidRDefault="007D2678" w:rsidP="007D2678">
      <w:pPr>
        <w:pStyle w:val="SingleTxtG"/>
      </w:pPr>
      <w:r>
        <w:t>5.1.24.</w:t>
      </w:r>
      <w:r>
        <w:tab/>
      </w:r>
      <w:r w:rsidRPr="00CF7C45">
        <w:t xml:space="preserve">Data </w:t>
      </w:r>
      <w:r w:rsidRPr="007D2678">
        <w:rPr>
          <w:strike/>
        </w:rPr>
        <w:t>protection</w:t>
      </w:r>
      <w:r w:rsidRPr="007D2678">
        <w:t xml:space="preserve"> </w:t>
      </w:r>
      <w:r w:rsidRPr="007D2678">
        <w:rPr>
          <w:color w:val="FF0000"/>
        </w:rPr>
        <w:t xml:space="preserve">integrity and confidentiality </w:t>
      </w:r>
      <w:r w:rsidRPr="00CF7C45">
        <w:t xml:space="preserve">best practices shall be followed for storing </w:t>
      </w:r>
      <w:r w:rsidRPr="0003298C">
        <w:rPr>
          <w:rFonts w:cs="Times New Roman"/>
          <w:strike/>
          <w:color w:val="FF0000"/>
          <w:szCs w:val="20"/>
        </w:rPr>
        <w:t>private</w:t>
      </w:r>
      <w:r w:rsidRPr="0003298C">
        <w:rPr>
          <w:rFonts w:cs="Times New Roman"/>
          <w:color w:val="FF0000"/>
          <w:szCs w:val="20"/>
        </w:rPr>
        <w:t xml:space="preserve"> </w:t>
      </w:r>
      <w:r w:rsidRPr="0003298C">
        <w:rPr>
          <w:rFonts w:cs="Times New Roman"/>
          <w:b/>
          <w:color w:val="FF0000"/>
          <w:szCs w:val="20"/>
        </w:rPr>
        <w:t>personal</w:t>
      </w:r>
      <w:r w:rsidRPr="0003298C">
        <w:rPr>
          <w:rFonts w:cs="Times New Roman"/>
          <w:color w:val="FF0000"/>
          <w:szCs w:val="20"/>
        </w:rPr>
        <w:t xml:space="preserve"> </w:t>
      </w:r>
      <w:r w:rsidRPr="00CF7C45">
        <w:t>and sensitive data</w:t>
      </w:r>
    </w:p>
    <w:p w14:paraId="46D51E06" w14:textId="77777777" w:rsidR="007D2678" w:rsidRPr="00BB0C35" w:rsidRDefault="007D2678" w:rsidP="0017496E">
      <w:pPr>
        <w:pStyle w:val="SingleTxtG"/>
      </w:pPr>
    </w:p>
    <w:p w14:paraId="78EDA3FE" w14:textId="77777777" w:rsidR="00165AD5" w:rsidRPr="00165AD5" w:rsidRDefault="00165AD5" w:rsidP="00165AD5">
      <w:pPr>
        <w:pStyle w:val="HChG"/>
      </w:pPr>
      <w:r w:rsidRPr="00165AD5">
        <w:t>Annex A</w:t>
      </w:r>
      <w:r w:rsidRPr="00165AD5">
        <w:tab/>
      </w:r>
      <w:bookmarkStart w:id="2" w:name="_Hlk529541345"/>
      <w:r w:rsidRPr="00165AD5">
        <w:t>Draft proposal to introduce a Regulation on Cyber Security</w:t>
      </w:r>
      <w:bookmarkEnd w:id="2"/>
    </w:p>
    <w:p w14:paraId="4FB942FB" w14:textId="77777777" w:rsidR="00165AD5" w:rsidRPr="00165AD5" w:rsidRDefault="00165AD5" w:rsidP="00165AD5">
      <w:pPr>
        <w:pStyle w:val="HChG"/>
      </w:pPr>
      <w:r w:rsidRPr="00165AD5">
        <w:tab/>
      </w:r>
      <w:r w:rsidRPr="00165AD5">
        <w:tab/>
        <w:t>Draft Regulation on Cyber Security</w:t>
      </w:r>
    </w:p>
    <w:p w14:paraId="114B6CD4" w14:textId="77777777" w:rsidR="00165AD5" w:rsidRDefault="009631D1" w:rsidP="006F2315">
      <w:pPr>
        <w:pStyle w:val="HChG"/>
      </w:pPr>
      <w:r>
        <w:tab/>
      </w:r>
      <w:bookmarkStart w:id="3" w:name="_Toc510787372"/>
      <w:r w:rsidR="00165AD5">
        <w:t>(…)</w:t>
      </w:r>
    </w:p>
    <w:p w14:paraId="159ACC19" w14:textId="6C921DA0" w:rsidR="00165AD5" w:rsidRPr="009631D1" w:rsidRDefault="00165AD5" w:rsidP="00165AD5">
      <w:pPr>
        <w:pStyle w:val="SingleTxtG"/>
        <w:rPr>
          <w:color w:val="FF0000"/>
        </w:rPr>
      </w:pPr>
      <w:r>
        <w:t>1.2.</w:t>
      </w:r>
      <w:r>
        <w:tab/>
      </w:r>
      <w:r w:rsidRPr="009631D1">
        <w:rPr>
          <w:color w:val="FF0000"/>
        </w:rPr>
        <w:t xml:space="preserve">This </w:t>
      </w:r>
      <w:r>
        <w:rPr>
          <w:color w:val="FF0000"/>
        </w:rPr>
        <w:t xml:space="preserve">Regulation </w:t>
      </w:r>
      <w:r w:rsidRPr="009631D1">
        <w:rPr>
          <w:color w:val="FF0000"/>
        </w:rPr>
        <w:t>is without prejudice to other UN Regulations, regional or national legislations governing the access by authorised parties to the vehicle, its data, functions and resources, and conditions of such access</w:t>
      </w:r>
      <w:r>
        <w:rPr>
          <w:color w:val="FF0000"/>
        </w:rPr>
        <w:t>.</w:t>
      </w:r>
      <w:r w:rsidRPr="00165AD5">
        <w:rPr>
          <w:color w:val="FF0000"/>
        </w:rPr>
        <w:t xml:space="preserve"> </w:t>
      </w:r>
      <w:r>
        <w:rPr>
          <w:color w:val="FF0000"/>
        </w:rPr>
        <w:t xml:space="preserve">It is also </w:t>
      </w:r>
      <w:r w:rsidRPr="009631D1">
        <w:rPr>
          <w:color w:val="FF0000"/>
        </w:rPr>
        <w:t>without prejudice to the application of national and regional legislation</w:t>
      </w:r>
      <w:r w:rsidRPr="007D2678">
        <w:rPr>
          <w:color w:val="FF0000"/>
        </w:rPr>
        <w:t xml:space="preserve"> on </w:t>
      </w:r>
      <w:r>
        <w:rPr>
          <w:color w:val="FF0000"/>
        </w:rPr>
        <w:t xml:space="preserve">privacy and </w:t>
      </w:r>
      <w:r w:rsidRPr="007D2678">
        <w:rPr>
          <w:color w:val="FF0000"/>
        </w:rPr>
        <w:t>the protection of natural persons with regard to the processing of their personal data</w:t>
      </w:r>
      <w:r w:rsidRPr="009631D1">
        <w:rPr>
          <w:color w:val="FF0000"/>
        </w:rPr>
        <w:t>.</w:t>
      </w:r>
    </w:p>
    <w:p w14:paraId="6E948EB5" w14:textId="77777777" w:rsidR="00165AD5" w:rsidRPr="00165AD5" w:rsidRDefault="00165AD5" w:rsidP="00165AD5">
      <w:pPr>
        <w:rPr>
          <w:lang w:eastAsia="en-US"/>
        </w:rPr>
      </w:pPr>
    </w:p>
    <w:p w14:paraId="5433955D" w14:textId="77777777" w:rsidR="006F2315" w:rsidRDefault="006F2315" w:rsidP="006F2315">
      <w:pPr>
        <w:pStyle w:val="HChG"/>
      </w:pPr>
      <w:r w:rsidRPr="00CF7C45">
        <w:t xml:space="preserve">Annex B </w:t>
      </w:r>
      <w:r w:rsidRPr="00CF7C45">
        <w:tab/>
      </w:r>
      <w:bookmarkStart w:id="4" w:name="_Toc499558077"/>
    </w:p>
    <w:p w14:paraId="59F5E1EE" w14:textId="77777777" w:rsidR="006F2315" w:rsidRDefault="006F2315" w:rsidP="006F2315">
      <w:pPr>
        <w:pStyle w:val="HChG"/>
      </w:pPr>
      <w:r>
        <w:tab/>
      </w:r>
      <w:r>
        <w:tab/>
      </w:r>
      <w:r w:rsidRPr="00CF7C45">
        <w:t>List of threats and corresponding mitigation</w:t>
      </w:r>
      <w:bookmarkEnd w:id="3"/>
      <w:bookmarkEnd w:id="4"/>
      <w:r>
        <w:t>s</w:t>
      </w:r>
    </w:p>
    <w:p w14:paraId="48E95CCC" w14:textId="77777777" w:rsidR="006F2315" w:rsidRDefault="006F2315" w:rsidP="006F2315">
      <w:pPr>
        <w:rPr>
          <w:lang w:eastAsia="en-US"/>
        </w:rPr>
      </w:pPr>
      <w:r>
        <w:rPr>
          <w:lang w:eastAsia="en-US"/>
        </w:rPr>
        <w:t>(…)</w:t>
      </w:r>
    </w:p>
    <w:p w14:paraId="3B99E92F" w14:textId="77777777" w:rsidR="006F2315" w:rsidRPr="006F2315" w:rsidRDefault="006F2315" w:rsidP="006F2315">
      <w:pPr>
        <w:rPr>
          <w:lang w:eastAsia="en-US"/>
        </w:rPr>
      </w:pPr>
    </w:p>
    <w:p w14:paraId="1A937935" w14:textId="77777777" w:rsidR="006F2315" w:rsidRDefault="006F2315" w:rsidP="006F2315">
      <w:pPr>
        <w:pStyle w:val="H1G"/>
      </w:pPr>
      <w:r w:rsidRPr="00CF7C45">
        <w:t>Part A. Examples of vulnerability or attack method related to the threats</w:t>
      </w: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1150"/>
        <w:gridCol w:w="8910"/>
      </w:tblGrid>
      <w:tr w:rsidR="006F2315" w:rsidRPr="000024EE" w14:paraId="67323280" w14:textId="77777777" w:rsidTr="004337F3">
        <w:trPr>
          <w:cantSplit/>
          <w:trHeight w:val="510"/>
        </w:trPr>
        <w:tc>
          <w:tcPr>
            <w:tcW w:w="567" w:type="dxa"/>
          </w:tcPr>
          <w:p w14:paraId="269DA485" w14:textId="77777777" w:rsidR="006F2315" w:rsidRPr="000024EE" w:rsidRDefault="006F2315" w:rsidP="004337F3">
            <w:pPr>
              <w:spacing w:after="120"/>
              <w:ind w:left="57" w:right="57"/>
              <w:rPr>
                <w:bCs/>
                <w:lang w:eastAsia="en-US"/>
              </w:rPr>
            </w:pPr>
            <w:r w:rsidRPr="000024EE">
              <w:rPr>
                <w:bCs/>
                <w:lang w:eastAsia="en-US"/>
              </w:rPr>
              <w:t>32.1</w:t>
            </w:r>
          </w:p>
        </w:tc>
        <w:tc>
          <w:tcPr>
            <w:tcW w:w="4395" w:type="dxa"/>
            <w:hideMark/>
          </w:tcPr>
          <w:p w14:paraId="08BD59FC" w14:textId="77777777" w:rsidR="006F2315" w:rsidRDefault="006F2315" w:rsidP="004337F3">
            <w:pPr>
              <w:spacing w:after="120"/>
              <w:ind w:left="57" w:right="57"/>
              <w:rPr>
                <w:lang w:eastAsia="en-US"/>
              </w:rPr>
            </w:pPr>
            <w:r w:rsidRPr="000024EE">
              <w:rPr>
                <w:b/>
                <w:bCs/>
                <w:lang w:eastAsia="en-US"/>
              </w:rPr>
              <w:t xml:space="preserve">Manipulation of </w:t>
            </w:r>
            <w:r w:rsidRPr="009D616F">
              <w:rPr>
                <w:b/>
                <w:bCs/>
                <w:strike/>
                <w:color w:val="FF0000"/>
                <w:lang w:eastAsia="en-US"/>
              </w:rPr>
              <w:t>OEM</w:t>
            </w:r>
            <w:r w:rsidRPr="000024EE">
              <w:rPr>
                <w:b/>
                <w:bCs/>
                <w:lang w:eastAsia="en-US"/>
              </w:rPr>
              <w:t xml:space="preserve"> hardware</w:t>
            </w:r>
            <w:r w:rsidRPr="000024EE">
              <w:rPr>
                <w:lang w:eastAsia="en-US"/>
              </w:rPr>
              <w:t>, e.g. unauthorised hardware added to a vehicle to enable "man-in-the-middle" attack</w:t>
            </w:r>
          </w:p>
          <w:p w14:paraId="6331DFF4" w14:textId="77777777" w:rsidR="006F2315" w:rsidRPr="00A06CAB" w:rsidRDefault="006F2315" w:rsidP="004337F3">
            <w:pPr>
              <w:pStyle w:val="SingleTxtG"/>
              <w:tabs>
                <w:tab w:val="left" w:pos="788"/>
              </w:tabs>
              <w:ind w:left="57" w:right="57"/>
              <w:jc w:val="left"/>
              <w:rPr>
                <w:b/>
                <w:bCs w:val="0"/>
                <w:color w:val="FF0000"/>
              </w:rPr>
            </w:pPr>
            <w:r>
              <w:tab/>
            </w:r>
            <w:r w:rsidRPr="00A06CAB">
              <w:rPr>
                <w:b/>
                <w:color w:val="FF0000"/>
              </w:rPr>
              <w:t xml:space="preserve">Replacement of </w:t>
            </w:r>
            <w:commentRangeStart w:id="5"/>
            <w:r w:rsidRPr="006F2315">
              <w:rPr>
                <w:b/>
                <w:color w:val="FF0000"/>
                <w:u w:val="single"/>
              </w:rPr>
              <w:t>authorized</w:t>
            </w:r>
            <w:r>
              <w:rPr>
                <w:b/>
                <w:color w:val="FF0000"/>
              </w:rPr>
              <w:t xml:space="preserve"> </w:t>
            </w:r>
            <w:r w:rsidRPr="009D616F">
              <w:rPr>
                <w:b/>
                <w:strike/>
                <w:color w:val="FF0000"/>
              </w:rPr>
              <w:t>OEM</w:t>
            </w:r>
            <w:r w:rsidRPr="009D616F">
              <w:rPr>
                <w:b/>
                <w:color w:val="FF0000"/>
              </w:rPr>
              <w:t xml:space="preserve"> </w:t>
            </w:r>
            <w:commentRangeEnd w:id="5"/>
            <w:r w:rsidRPr="009D616F">
              <w:rPr>
                <w:rStyle w:val="CommentReference"/>
                <w:rFonts w:asciiTheme="minorHAnsi" w:hAnsiTheme="minorHAnsi" w:cstheme="minorBidi"/>
                <w:bCs w:val="0"/>
                <w:lang w:val="en-GB" w:eastAsia="ja-JP"/>
              </w:rPr>
              <w:commentReference w:id="5"/>
            </w:r>
            <w:r w:rsidRPr="00A06CAB">
              <w:rPr>
                <w:b/>
                <w:color w:val="FF0000"/>
              </w:rPr>
              <w:t>hardware (e.g., sensors) with unauthorised hardware.</w:t>
            </w:r>
          </w:p>
          <w:p w14:paraId="0B697174" w14:textId="77777777" w:rsidR="006F2315" w:rsidRPr="000024EE" w:rsidRDefault="006F2315" w:rsidP="004337F3">
            <w:pPr>
              <w:spacing w:after="120"/>
              <w:ind w:left="57" w:right="57"/>
              <w:rPr>
                <w:lang w:eastAsia="en-US"/>
              </w:rPr>
            </w:pPr>
            <w:r w:rsidRPr="00A06CAB">
              <w:rPr>
                <w:b/>
                <w:bCs/>
                <w:color w:val="FF0000"/>
              </w:rPr>
              <w:t xml:space="preserve">Manipulation of the information collected by a </w:t>
            </w:r>
            <w:commentRangeStart w:id="6"/>
            <w:r w:rsidRPr="00A06CAB">
              <w:rPr>
                <w:b/>
                <w:bCs/>
                <w:color w:val="FF0000"/>
              </w:rPr>
              <w:t>sensor</w:t>
            </w:r>
            <w:r w:rsidRPr="006F2315">
              <w:rPr>
                <w:b/>
                <w:bCs/>
                <w:strike/>
                <w:color w:val="FF0000"/>
                <w:u w:val="single"/>
              </w:rPr>
              <w:t>. F</w:t>
            </w:r>
            <w:r w:rsidRPr="006F2315">
              <w:rPr>
                <w:b/>
                <w:bCs/>
                <w:color w:val="FF0000"/>
                <w:u w:val="single"/>
              </w:rPr>
              <w:t>(f</w:t>
            </w:r>
            <w:r w:rsidRPr="00A06CAB">
              <w:rPr>
                <w:b/>
                <w:bCs/>
                <w:color w:val="FF0000"/>
              </w:rPr>
              <w:t>or example, using a magnet to tamper with the Hall effect sensor connected to the gearbox</w:t>
            </w:r>
            <w:r w:rsidRPr="006F2315">
              <w:rPr>
                <w:b/>
                <w:bCs/>
                <w:color w:val="FF0000"/>
                <w:u w:val="single"/>
              </w:rPr>
              <w:t>)</w:t>
            </w:r>
            <w:r w:rsidRPr="00A06CAB">
              <w:rPr>
                <w:b/>
                <w:bCs/>
                <w:color w:val="FF0000"/>
              </w:rPr>
              <w:t xml:space="preserve"> </w:t>
            </w:r>
            <w:r w:rsidRPr="006F2315">
              <w:rPr>
                <w:b/>
                <w:bCs/>
                <w:strike/>
                <w:color w:val="FF0000"/>
              </w:rPr>
              <w:t>(see Digital Tachograph experience)</w:t>
            </w:r>
            <w:commentRangeEnd w:id="6"/>
            <w:r>
              <w:rPr>
                <w:rStyle w:val="CommentReference"/>
                <w:rFonts w:asciiTheme="minorHAnsi" w:hAnsiTheme="minorHAnsi" w:cstheme="minorBidi"/>
                <w:lang w:val="en-GB"/>
              </w:rPr>
              <w:commentReference w:id="6"/>
            </w:r>
          </w:p>
        </w:tc>
      </w:tr>
    </w:tbl>
    <w:p w14:paraId="0BC83DA8" w14:textId="77777777" w:rsidR="006F2315" w:rsidRDefault="006F2315" w:rsidP="006F2315">
      <w:pPr>
        <w:rPr>
          <w:lang w:eastAsia="en-US"/>
        </w:rPr>
      </w:pPr>
    </w:p>
    <w:p w14:paraId="1BF211C0" w14:textId="77777777" w:rsidR="006F2315" w:rsidRPr="006F2315" w:rsidRDefault="006F2315" w:rsidP="006F2315">
      <w:pPr>
        <w:rPr>
          <w:lang w:eastAsia="en-US"/>
        </w:rPr>
      </w:pPr>
    </w:p>
    <w:p w14:paraId="309FC3AC" w14:textId="77777777" w:rsidR="009631D1" w:rsidRPr="00CF7C45" w:rsidRDefault="009631D1" w:rsidP="009631D1">
      <w:pPr>
        <w:pStyle w:val="H1G"/>
      </w:pPr>
      <w:r w:rsidRPr="00CF7C45">
        <w:t>Part B. Examples of mitigation to the threats</w:t>
      </w:r>
    </w:p>
    <w:p w14:paraId="7C227DEA" w14:textId="77777777" w:rsidR="009631D1" w:rsidRPr="00CF7C45" w:rsidRDefault="009631D1" w:rsidP="009631D1">
      <w:pPr>
        <w:pStyle w:val="SingleTxtG"/>
        <w:rPr>
          <w:lang w:eastAsia="ja-JP"/>
        </w:rPr>
      </w:pPr>
      <w:r w:rsidRPr="00CF7C45">
        <w:rPr>
          <w:rFonts w:hint="eastAsia"/>
          <w:lang w:eastAsia="ja-JP"/>
        </w:rPr>
        <w:t>1.</w:t>
      </w:r>
      <w:r w:rsidRPr="00CF7C45">
        <w:rPr>
          <w:rFonts w:hint="eastAsia"/>
          <w:lang w:eastAsia="ja-JP"/>
        </w:rPr>
        <w:tab/>
      </w:r>
      <w:r w:rsidRPr="00CF7C45">
        <w:t xml:space="preserve">Examples of mitigation for </w:t>
      </w:r>
      <w:r>
        <w:rPr>
          <w:lang w:eastAsia="ja-JP"/>
        </w:rPr>
        <w:t>"</w:t>
      </w:r>
      <w:bookmarkStart w:id="7" w:name="_Hlk497008246"/>
      <w:r w:rsidRPr="00CF7C45">
        <w:rPr>
          <w:lang w:eastAsia="ja-JP"/>
        </w:rPr>
        <w:t>B</w:t>
      </w:r>
      <w:r w:rsidRPr="00CF7C45">
        <w:t>ack-end servers</w:t>
      </w:r>
      <w:bookmarkEnd w:id="7"/>
      <w:r>
        <w:rPr>
          <w:lang w:eastAsia="ja-JP"/>
        </w:rPr>
        <w:t>"</w:t>
      </w:r>
    </w:p>
    <w:p w14:paraId="52457171" w14:textId="77777777" w:rsidR="009631D1" w:rsidRDefault="009631D1" w:rsidP="009631D1">
      <w:pPr>
        <w:pStyle w:val="SingleTxtG"/>
      </w:pPr>
      <w:bookmarkStart w:id="8" w:name="_Hlk505244032"/>
      <w:r>
        <w:tab/>
      </w:r>
      <w:r w:rsidRPr="00CF7C45">
        <w:t xml:space="preserve">Examples of mitigation </w:t>
      </w:r>
      <w:bookmarkEnd w:id="8"/>
      <w:r w:rsidRPr="00CF7C45">
        <w:t xml:space="preserve">to the threats which are related to </w:t>
      </w:r>
      <w:r>
        <w:rPr>
          <w:lang w:eastAsia="ja-JP"/>
        </w:rPr>
        <w:t>"</w:t>
      </w:r>
      <w:r w:rsidRPr="00CF7C45">
        <w:rPr>
          <w:lang w:eastAsia="ja-JP"/>
        </w:rPr>
        <w:t>B</w:t>
      </w:r>
      <w:r w:rsidRPr="00CF7C45">
        <w:t>ack-end servers</w:t>
      </w:r>
      <w:r>
        <w:rPr>
          <w:lang w:eastAsia="ja-JP"/>
        </w:rPr>
        <w:t>"</w:t>
      </w:r>
      <w:r w:rsidRPr="00CF7C45">
        <w:rPr>
          <w:lang w:eastAsia="ja-JP"/>
        </w:rPr>
        <w:t xml:space="preserve"> </w:t>
      </w:r>
      <w:r>
        <w:t>are listed in Table B1.</w:t>
      </w:r>
    </w:p>
    <w:p w14:paraId="4D1DEA92" w14:textId="77777777" w:rsidR="009631D1" w:rsidRPr="00CF7C45" w:rsidRDefault="009631D1" w:rsidP="009631D1">
      <w:pPr>
        <w:pStyle w:val="SingleTxtG"/>
      </w:pPr>
      <w:r>
        <w:t>(…)</w:t>
      </w:r>
    </w:p>
    <w:p w14:paraId="0FBCB9CF" w14:textId="77777777" w:rsidR="009631D1" w:rsidRPr="00CF7C45" w:rsidRDefault="009631D1" w:rsidP="009631D1">
      <w:pPr>
        <w:pStyle w:val="SingleTxtG"/>
        <w:ind w:left="1134" w:firstLine="0"/>
        <w:jc w:val="left"/>
      </w:pPr>
      <w:r>
        <w:t>Table B8</w:t>
      </w:r>
      <w:r>
        <w:br/>
      </w:r>
      <w:r w:rsidRPr="00B644CF">
        <w:rPr>
          <w:b/>
          <w:bCs w:val="0"/>
        </w:rPr>
        <w:t xml:space="preserve">Examples of mitigation to the threats which are related to </w:t>
      </w:r>
      <w:r w:rsidRPr="00B644CF">
        <w:rPr>
          <w:b/>
          <w:bCs w:val="0"/>
          <w:lang w:eastAsia="ja-JP"/>
        </w:rPr>
        <w:t>"</w:t>
      </w:r>
      <w:r w:rsidRPr="00B644CF">
        <w:rPr>
          <w:b/>
          <w:bCs w:val="0"/>
        </w:rPr>
        <w:t>Data loss / data breach from vehicle</w:t>
      </w:r>
      <w:r w:rsidRPr="00B644CF">
        <w:rPr>
          <w:b/>
          <w:bCs w:val="0"/>
          <w:lang w:eastAsia="ja-JP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9631D1" w:rsidRPr="00CF7C45" w14:paraId="300F0105" w14:textId="77777777" w:rsidTr="004337F3">
        <w:trPr>
          <w:cantSplit/>
        </w:trPr>
        <w:tc>
          <w:tcPr>
            <w:tcW w:w="3402" w:type="dxa"/>
            <w:tcBorders>
              <w:bottom w:val="single" w:sz="12" w:space="0" w:color="auto"/>
            </w:tcBorders>
          </w:tcPr>
          <w:p w14:paraId="5630FAB6" w14:textId="77777777" w:rsidR="009631D1" w:rsidRPr="00CF7C45" w:rsidRDefault="009631D1" w:rsidP="004337F3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C45">
              <w:rPr>
                <w:rFonts w:ascii="Times New Roman" w:hAnsi="Times New Roman" w:cs="Times New Roman"/>
                <w:i/>
                <w:sz w:val="20"/>
                <w:szCs w:val="20"/>
              </w:rPr>
              <w:t>Mitigation</w:t>
            </w:r>
          </w:p>
        </w:tc>
      </w:tr>
      <w:tr w:rsidR="009631D1" w:rsidRPr="00CF7C45" w14:paraId="454A83F6" w14:textId="77777777" w:rsidTr="004337F3">
        <w:trPr>
          <w:cantSplit/>
          <w:trHeight w:val="408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D227" w14:textId="77777777" w:rsidR="009C6FF7" w:rsidRDefault="009C6FF7" w:rsidP="004337F3">
            <w:pPr>
              <w:spacing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</w:p>
          <w:p w14:paraId="7E468B42" w14:textId="5D2FE41B" w:rsidR="009631D1" w:rsidRPr="00CF7C45" w:rsidRDefault="009631D1" w:rsidP="004337F3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F7C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Data </w:t>
            </w:r>
            <w:r w:rsidRPr="009D616F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u w:val="single"/>
              </w:rPr>
              <w:t>integrity and confidentiality</w:t>
            </w:r>
            <w:r w:rsidRPr="009631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631D1">
              <w:rPr>
                <w:rFonts w:ascii="Times New Roman" w:eastAsia="MS Mincho" w:hAnsi="Times New Roman" w:cs="Times New Roman"/>
                <w:strike/>
                <w:color w:val="FF0000"/>
                <w:sz w:val="20"/>
                <w:szCs w:val="20"/>
              </w:rPr>
              <w:t>protection</w:t>
            </w:r>
            <w:r w:rsidRPr="009631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7C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best practices shall be followed for storing </w:t>
            </w:r>
            <w:r w:rsidRPr="00B81E59">
              <w:rPr>
                <w:rFonts w:ascii="Times New Roman" w:eastAsia="MS Mincho" w:hAnsi="Times New Roman" w:cs="Times New Roman"/>
                <w:strike/>
                <w:color w:val="FF0000"/>
                <w:sz w:val="20"/>
                <w:szCs w:val="20"/>
              </w:rPr>
              <w:t>private</w:t>
            </w:r>
            <w:r w:rsidRPr="00B81E59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D616F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u w:val="single"/>
              </w:rPr>
              <w:t>personal</w:t>
            </w:r>
            <w:r w:rsidRPr="00B81E59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7C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and sensitive data. Example Security Controls can be found in ISO/SC27/WG5. </w:t>
            </w:r>
          </w:p>
          <w:p w14:paraId="73595623" w14:textId="77777777" w:rsidR="009631D1" w:rsidRPr="00CF7C45" w:rsidRDefault="009631D1" w:rsidP="00433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31D1" w:rsidRPr="00CF7C45" w14:paraId="03BCE1FC" w14:textId="77777777" w:rsidTr="004337F3">
        <w:trPr>
          <w:cantSplit/>
          <w:trHeight w:val="40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548F6" w14:textId="77777777" w:rsidR="009631D1" w:rsidRPr="00CF7C45" w:rsidRDefault="009631D1" w:rsidP="00433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1D1" w:rsidRPr="00CF7C45" w14:paraId="37A23C71" w14:textId="77777777" w:rsidTr="004337F3">
        <w:trPr>
          <w:cantSplit/>
          <w:trHeight w:val="40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2125" w14:textId="77777777" w:rsidR="009631D1" w:rsidRPr="00CF7C45" w:rsidRDefault="009631D1" w:rsidP="00433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1D1" w:rsidRPr="00CF7C45" w14:paraId="19B40B02" w14:textId="77777777" w:rsidTr="004337F3">
        <w:trPr>
          <w:cantSplit/>
          <w:trHeight w:val="408"/>
        </w:trPr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F59723" w14:textId="77777777" w:rsidR="009631D1" w:rsidRPr="00CF7C45" w:rsidRDefault="009631D1" w:rsidP="00433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717C8" w14:textId="77777777" w:rsidR="0017496E" w:rsidRDefault="0017496E" w:rsidP="0017496E">
      <w:pPr>
        <w:pStyle w:val="SingleTxtG"/>
        <w:rPr>
          <w:strike/>
        </w:rPr>
      </w:pPr>
    </w:p>
    <w:p w14:paraId="2FF81525" w14:textId="77777777" w:rsidR="009631D1" w:rsidRDefault="009631D1" w:rsidP="009631D1">
      <w:pPr>
        <w:pStyle w:val="HChG"/>
      </w:pPr>
      <w:r w:rsidRPr="00CF7C45">
        <w:t>Annex C</w:t>
      </w:r>
    </w:p>
    <w:p w14:paraId="5B4FFCD7" w14:textId="77777777" w:rsidR="009631D1" w:rsidRDefault="009631D1" w:rsidP="009631D1">
      <w:pPr>
        <w:pStyle w:val="HChG"/>
      </w:pPr>
      <w:r>
        <w:tab/>
      </w:r>
      <w:r w:rsidRPr="00CF7C45">
        <w:tab/>
        <w:t>Examples of Security Controls related to mitigations</w:t>
      </w:r>
    </w:p>
    <w:p w14:paraId="26A39A20" w14:textId="77777777" w:rsidR="009631D1" w:rsidRDefault="009631D1" w:rsidP="009631D1">
      <w:pPr>
        <w:rPr>
          <w:lang w:eastAsia="en-US"/>
        </w:rPr>
      </w:pPr>
      <w:r>
        <w:rPr>
          <w:lang w:eastAsia="en-US"/>
        </w:rPr>
        <w:t>(…)</w:t>
      </w:r>
    </w:p>
    <w:p w14:paraId="6D5C852E" w14:textId="77777777" w:rsidR="006F2315" w:rsidRPr="00D033FB" w:rsidRDefault="006F2315" w:rsidP="006F2315">
      <w:pPr>
        <w:pStyle w:val="H1G"/>
        <w:ind w:left="2268"/>
        <w:rPr>
          <w:sz w:val="20"/>
        </w:rPr>
      </w:pPr>
      <w:r>
        <w:t>2.</w:t>
      </w:r>
      <w:r>
        <w:tab/>
      </w:r>
      <w:r w:rsidRPr="00D033FB">
        <w:t xml:space="preserve">Mapping between </w:t>
      </w:r>
      <w:r w:rsidRPr="00B644CF">
        <w:t>high</w:t>
      </w:r>
      <w:r w:rsidRPr="00D033FB">
        <w:t xml:space="preserve"> level mitigations given in Annex B and more detailed examples of security controls</w:t>
      </w:r>
    </w:p>
    <w:p w14:paraId="116E2176" w14:textId="77777777" w:rsidR="006F2315" w:rsidRPr="009631D1" w:rsidRDefault="006F2315" w:rsidP="009631D1">
      <w:pPr>
        <w:rPr>
          <w:lang w:eastAsia="en-US"/>
        </w:rPr>
      </w:pPr>
    </w:p>
    <w:p w14:paraId="49066723" w14:textId="77777777" w:rsidR="009631D1" w:rsidRPr="00D033FB" w:rsidRDefault="009631D1" w:rsidP="009631D1">
      <w:pPr>
        <w:pStyle w:val="SingleTxtG"/>
      </w:pPr>
      <w:r>
        <w:t>2.1.</w:t>
      </w:r>
      <w:r>
        <w:tab/>
      </w:r>
      <w:r w:rsidRPr="00D033FB">
        <w:t xml:space="preserve">The following table provides further detail on example security controls for the </w:t>
      </w:r>
      <w:r>
        <w:t>"</w:t>
      </w:r>
      <w:r w:rsidRPr="00D033FB">
        <w:t>Mitigations</w:t>
      </w:r>
      <w:r>
        <w:t>"</w:t>
      </w:r>
      <w:r w:rsidRPr="00D033FB">
        <w:t xml:space="preserve">. The list of security controls in this table is not exhaustive. Similarly, it may not be necessary to apply all security controls listed. The selection will depend on a risk assessment and any legal, contractual, regulatory </w:t>
      </w:r>
      <w:r>
        <w:t>requirements</w:t>
      </w:r>
      <w:r w:rsidRPr="00D033FB">
        <w:t xml:space="preserve"> in a </w:t>
      </w:r>
      <w:r w:rsidRPr="00D033FB">
        <w:lastRenderedPageBreak/>
        <w:t xml:space="preserve">specific Intelligent Transport Systems / Automated Driving environment. </w:t>
      </w:r>
    </w:p>
    <w:p w14:paraId="15AF7732" w14:textId="77777777" w:rsidR="009631D1" w:rsidRDefault="009631D1"/>
    <w:tbl>
      <w:tblPr>
        <w:tblStyle w:val="TableGrid"/>
        <w:tblW w:w="9351" w:type="dxa"/>
        <w:tblInd w:w="-10" w:type="dxa"/>
        <w:tblLook w:val="04A0" w:firstRow="1" w:lastRow="0" w:firstColumn="1" w:lastColumn="0" w:noHBand="0" w:noVBand="1"/>
      </w:tblPr>
      <w:tblGrid>
        <w:gridCol w:w="478"/>
        <w:gridCol w:w="2211"/>
        <w:gridCol w:w="6662"/>
      </w:tblGrid>
      <w:tr w:rsidR="009631D1" w:rsidRPr="00A87BC5" w14:paraId="31EEBC10" w14:textId="77777777" w:rsidTr="004337F3">
        <w:tc>
          <w:tcPr>
            <w:tcW w:w="478" w:type="dxa"/>
          </w:tcPr>
          <w:p w14:paraId="077C659A" w14:textId="77777777" w:rsidR="009631D1" w:rsidRPr="00CF7C45" w:rsidRDefault="009631D1" w:rsidP="004337F3">
            <w:r w:rsidRPr="00CF7C45">
              <w:t>M24</w:t>
            </w:r>
          </w:p>
        </w:tc>
        <w:tc>
          <w:tcPr>
            <w:tcW w:w="2211" w:type="dxa"/>
          </w:tcPr>
          <w:p w14:paraId="573C0BEB" w14:textId="77777777" w:rsidR="009631D1" w:rsidRPr="00CF7C45" w:rsidRDefault="009631D1" w:rsidP="004337F3">
            <w:pPr>
              <w:ind w:left="57"/>
            </w:pPr>
            <w:r w:rsidRPr="00CF7C45">
              <w:t xml:space="preserve">Data </w:t>
            </w:r>
            <w:r w:rsidRPr="009D616F">
              <w:rPr>
                <w:b/>
                <w:color w:val="FF0000"/>
                <w:u w:val="single"/>
              </w:rPr>
              <w:t>integrity and confidentiality</w:t>
            </w:r>
            <w:r w:rsidRPr="009631D1">
              <w:rPr>
                <w:color w:val="FF0000"/>
              </w:rPr>
              <w:t xml:space="preserve"> </w:t>
            </w:r>
            <w:r w:rsidRPr="009631D1">
              <w:rPr>
                <w:strike/>
                <w:color w:val="FF0000"/>
              </w:rPr>
              <w:t>protection</w:t>
            </w:r>
            <w:r w:rsidRPr="009631D1">
              <w:rPr>
                <w:color w:val="FF0000"/>
              </w:rPr>
              <w:t xml:space="preserve"> </w:t>
            </w:r>
            <w:r w:rsidRPr="00CF7C45">
              <w:t xml:space="preserve">best practices shall be followed for storing </w:t>
            </w:r>
            <w:r w:rsidRPr="00B81E59">
              <w:rPr>
                <w:strike/>
                <w:color w:val="FF0000"/>
              </w:rPr>
              <w:t>private</w:t>
            </w:r>
            <w:r w:rsidRPr="00B81E59">
              <w:rPr>
                <w:color w:val="FF0000"/>
              </w:rPr>
              <w:t xml:space="preserve"> </w:t>
            </w:r>
            <w:r w:rsidRPr="009D616F">
              <w:rPr>
                <w:b/>
                <w:color w:val="FF0000"/>
                <w:u w:val="single"/>
              </w:rPr>
              <w:t>personal</w:t>
            </w:r>
            <w:r w:rsidRPr="00CF7C45">
              <w:t xml:space="preserve"> and sensitive data</w:t>
            </w:r>
          </w:p>
        </w:tc>
        <w:tc>
          <w:tcPr>
            <w:tcW w:w="6662" w:type="dxa"/>
            <w:shd w:val="clear" w:color="auto" w:fill="auto"/>
          </w:tcPr>
          <w:p w14:paraId="240FE7E8" w14:textId="77777777" w:rsidR="009631D1" w:rsidRPr="007D0033" w:rsidRDefault="009631D1" w:rsidP="004337F3">
            <w:pPr>
              <w:autoSpaceDE w:val="0"/>
              <w:autoSpaceDN w:val="0"/>
              <w:adjustRightInd w:val="0"/>
              <w:ind w:left="57"/>
            </w:pPr>
            <w:r>
              <w:t>3.</w:t>
            </w:r>
            <w:r w:rsidRPr="007D0033">
              <w:t>6 Cryptographic security</w:t>
            </w:r>
          </w:p>
          <w:p w14:paraId="114067A1" w14:textId="77777777" w:rsidR="009631D1" w:rsidRPr="007D0033" w:rsidRDefault="009631D1" w:rsidP="004337F3">
            <w:pPr>
              <w:ind w:left="57"/>
            </w:pPr>
            <w:r w:rsidRPr="007D0033">
              <w:t>8</w:t>
            </w:r>
            <w:r>
              <w:t>3.</w:t>
            </w:r>
            <w:r w:rsidRPr="007D0033">
              <w:t xml:space="preserve"> Monitoring</w:t>
            </w:r>
          </w:p>
          <w:p w14:paraId="6ED455BD" w14:textId="77777777" w:rsidR="009631D1" w:rsidRPr="007D0033" w:rsidRDefault="009631D1" w:rsidP="004337F3">
            <w:pPr>
              <w:ind w:left="57"/>
            </w:pPr>
            <w:r>
              <w:t>3.</w:t>
            </w:r>
            <w:r w:rsidRPr="007D0033">
              <w:t>9</w:t>
            </w:r>
            <w:r>
              <w:t xml:space="preserve"> </w:t>
            </w:r>
            <w:r w:rsidRPr="007D0033">
              <w:t>System design</w:t>
            </w:r>
          </w:p>
          <w:p w14:paraId="62EA3416" w14:textId="77777777" w:rsidR="009631D1" w:rsidRPr="005060B4" w:rsidRDefault="009631D1" w:rsidP="004337F3">
            <w:pPr>
              <w:spacing w:line="240" w:lineRule="auto"/>
              <w:ind w:left="57" w:hanging="278"/>
              <w:rPr>
                <w:rFonts w:eastAsia="MS Mincho"/>
              </w:rPr>
            </w:pPr>
            <w:r w:rsidRPr="00A87BC5">
              <w:rPr>
                <w:rFonts w:ascii="Wingdings" w:eastAsia="MS Mincho" w:hAnsi="Wingdings"/>
              </w:rPr>
              <w:t></w:t>
            </w:r>
            <w:r w:rsidRPr="00A87BC5">
              <w:rPr>
                <w:rFonts w:ascii="Wingdings" w:eastAsia="MS Mincho" w:hAnsi="Wingdings"/>
              </w:rPr>
              <w:tab/>
            </w:r>
            <w:r w:rsidRPr="005060B4">
              <w:rPr>
                <w:rFonts w:eastAsia="MS Mincho"/>
              </w:rPr>
              <w:t>Systems are designed so that end-users can efficiently and appropriately access, delete and manage their personal data</w:t>
            </w:r>
          </w:p>
          <w:p w14:paraId="4DDD16B8" w14:textId="77777777" w:rsidR="009631D1" w:rsidRDefault="009631D1" w:rsidP="004337F3">
            <w:pPr>
              <w:spacing w:line="240" w:lineRule="auto"/>
              <w:ind w:left="57" w:hanging="278"/>
              <w:rPr>
                <w:rFonts w:eastAsia="MS Mincho"/>
              </w:rPr>
            </w:pPr>
            <w:r w:rsidRPr="00783059">
              <w:rPr>
                <w:rFonts w:ascii="Wingdings" w:eastAsia="MS Mincho" w:hAnsi="Wingdings"/>
              </w:rPr>
              <w:t></w:t>
            </w:r>
            <w:r w:rsidRPr="00783059">
              <w:rPr>
                <w:rFonts w:ascii="Wingdings" w:eastAsia="MS Mincho" w:hAnsi="Wingdings"/>
              </w:rPr>
              <w:tab/>
            </w:r>
            <w:r w:rsidRPr="005060B4">
              <w:rPr>
                <w:rFonts w:eastAsia="MS Mincho"/>
              </w:rPr>
              <w:t>Define measures to ensure secure deletion of user data in case of a change of ownership</w:t>
            </w:r>
          </w:p>
          <w:p w14:paraId="35BD6BCF" w14:textId="77777777" w:rsidR="009631D1" w:rsidRPr="009D616F" w:rsidRDefault="009631D1" w:rsidP="004337F3">
            <w:pPr>
              <w:spacing w:line="240" w:lineRule="auto"/>
              <w:ind w:left="335" w:hanging="278"/>
              <w:rPr>
                <w:rFonts w:eastAsia="MS Mincho"/>
                <w:u w:val="single"/>
              </w:rPr>
            </w:pPr>
            <w:r w:rsidRPr="009D616F">
              <w:rPr>
                <w:rFonts w:eastAsia="MS Mincho"/>
                <w:b/>
                <w:color w:val="FF0000"/>
                <w:u w:val="single"/>
              </w:rPr>
              <w:t>Possibility to define rules for the management of the personal data</w:t>
            </w:r>
          </w:p>
          <w:p w14:paraId="3EDDAB4E" w14:textId="77777777" w:rsidR="009631D1" w:rsidRPr="007D0033" w:rsidRDefault="009631D1" w:rsidP="004337F3">
            <w:pPr>
              <w:autoSpaceDE w:val="0"/>
              <w:autoSpaceDN w:val="0"/>
              <w:adjustRightInd w:val="0"/>
              <w:ind w:left="57"/>
            </w:pPr>
            <w:r>
              <w:t>3.</w:t>
            </w:r>
            <w:r w:rsidRPr="00A87BC5">
              <w:t xml:space="preserve">10 </w:t>
            </w:r>
            <w:r w:rsidRPr="007D0033">
              <w:t xml:space="preserve">Software security </w:t>
            </w:r>
          </w:p>
          <w:p w14:paraId="5901B7A3" w14:textId="77777777" w:rsidR="009631D1" w:rsidRPr="00A87BC5" w:rsidRDefault="009631D1" w:rsidP="004337F3">
            <w:pPr>
              <w:ind w:left="57"/>
              <w:contextualSpacing/>
            </w:pPr>
            <w:r>
              <w:t>3.</w:t>
            </w:r>
            <w:r w:rsidRPr="00A87BC5">
              <w:t>13 Information exchange</w:t>
            </w:r>
          </w:p>
        </w:tc>
      </w:tr>
    </w:tbl>
    <w:p w14:paraId="2EB16F1B" w14:textId="77777777" w:rsidR="009631D1" w:rsidRDefault="009631D1" w:rsidP="00771E8E">
      <w:pPr>
        <w:pStyle w:val="H1G"/>
        <w:ind w:left="2268"/>
      </w:pPr>
    </w:p>
    <w:p w14:paraId="6800289C" w14:textId="546447CA" w:rsidR="009631D1" w:rsidRDefault="006F2315" w:rsidP="00771E8E">
      <w:pPr>
        <w:pStyle w:val="H1G"/>
        <w:ind w:left="993" w:firstLine="141"/>
      </w:pPr>
      <w:r>
        <w:t>3.</w:t>
      </w:r>
      <w:r>
        <w:tab/>
      </w:r>
      <w:r>
        <w:tab/>
      </w:r>
      <w:r w:rsidRPr="00D033FB">
        <w:t xml:space="preserve">Further </w:t>
      </w:r>
      <w:r w:rsidRPr="00B644CF">
        <w:t>information</w:t>
      </w:r>
      <w:r w:rsidRPr="00D033FB">
        <w:t xml:space="preserve"> on Security Controls</w:t>
      </w:r>
    </w:p>
    <w:p w14:paraId="6922E5A6" w14:textId="77777777" w:rsidR="006F2315" w:rsidRDefault="006F2315">
      <w:r>
        <w:t>(…)</w:t>
      </w:r>
    </w:p>
    <w:p w14:paraId="7AD1109B" w14:textId="77777777" w:rsidR="006F2315" w:rsidRPr="00D033FB" w:rsidRDefault="006F2315" w:rsidP="006F2315">
      <w:pPr>
        <w:pStyle w:val="SingleTxtG"/>
      </w:pPr>
      <w:r>
        <w:t>3.5.</w:t>
      </w:r>
      <w:r>
        <w:tab/>
      </w:r>
      <w:r w:rsidRPr="00D033FB">
        <w:t>Access control</w:t>
      </w:r>
      <w:r>
        <w:t xml:space="preserve"> </w:t>
      </w:r>
    </w:p>
    <w:p w14:paraId="4176FB73" w14:textId="77777777" w:rsidR="006F2315" w:rsidRPr="00A87BC5" w:rsidRDefault="006F2315" w:rsidP="006F2315">
      <w:pPr>
        <w:pStyle w:val="SingleTxtG"/>
        <w:rPr>
          <w:iCs/>
        </w:rPr>
      </w:pPr>
      <w:r>
        <w:rPr>
          <w:iCs/>
        </w:rPr>
        <w:t>3.5.1.</w:t>
      </w:r>
      <w:r>
        <w:rPr>
          <w:iCs/>
        </w:rPr>
        <w:tab/>
      </w:r>
      <w:r w:rsidRPr="00A87BC5">
        <w:rPr>
          <w:iCs/>
        </w:rPr>
        <w:t xml:space="preserve">The following </w:t>
      </w:r>
      <w:r>
        <w:rPr>
          <w:lang w:eastAsia="ja-JP"/>
        </w:rPr>
        <w:t xml:space="preserve">points </w:t>
      </w:r>
      <w:r w:rsidRPr="00A87BC5">
        <w:rPr>
          <w:iCs/>
        </w:rPr>
        <w:t>may apply:</w:t>
      </w:r>
    </w:p>
    <w:p w14:paraId="0C994F69" w14:textId="77777777" w:rsidR="006F2315" w:rsidRPr="008C2A7C" w:rsidRDefault="006F2315" w:rsidP="006F2315">
      <w:pPr>
        <w:pStyle w:val="SingleTxtG"/>
        <w:rPr>
          <w:iCs/>
        </w:rPr>
      </w:pPr>
      <w:r>
        <w:rPr>
          <w:iCs/>
        </w:rPr>
        <w:t>3.5.1.1.</w:t>
      </w:r>
      <w:r>
        <w:rPr>
          <w:iCs/>
        </w:rPr>
        <w:tab/>
        <w:t>Points</w:t>
      </w:r>
      <w:r w:rsidRPr="00D033FB">
        <w:rPr>
          <w:iCs/>
        </w:rPr>
        <w:t xml:space="preserve"> related to </w:t>
      </w:r>
      <w:r>
        <w:rPr>
          <w:iCs/>
        </w:rPr>
        <w:t>"</w:t>
      </w:r>
      <w:r w:rsidRPr="00D033FB">
        <w:rPr>
          <w:iCs/>
        </w:rPr>
        <w:t>Access control mechanisms</w:t>
      </w:r>
      <w:r>
        <w:rPr>
          <w:iCs/>
        </w:rPr>
        <w:t>"</w:t>
      </w:r>
    </w:p>
    <w:p w14:paraId="70882072" w14:textId="77777777" w:rsidR="006F2315" w:rsidRPr="00D033FB" w:rsidRDefault="006F2315" w:rsidP="006F2315">
      <w:pPr>
        <w:pStyle w:val="SingleTxtG"/>
        <w:ind w:hanging="360"/>
      </w:pPr>
      <w:r w:rsidRPr="00D033FB">
        <w:rPr>
          <w:rFonts w:ascii="Calibri" w:hAnsi="Calibri"/>
        </w:rPr>
        <w:t>-</w:t>
      </w:r>
      <w:r w:rsidRPr="00D033FB">
        <w:rPr>
          <w:rFonts w:ascii="Calibri" w:hAnsi="Calibri"/>
        </w:rPr>
        <w:tab/>
      </w:r>
      <w:r w:rsidRPr="00D033FB">
        <w:t>Establish trust boundaries and access controls</w:t>
      </w:r>
    </w:p>
    <w:p w14:paraId="3151A32F" w14:textId="595F8F75" w:rsidR="006F2315" w:rsidRPr="006F2315" w:rsidRDefault="006F2315" w:rsidP="006F2315">
      <w:pPr>
        <w:pStyle w:val="SingleTxtG"/>
        <w:ind w:hanging="360"/>
        <w:rPr>
          <w:strike/>
          <w:color w:val="FF0000"/>
        </w:rPr>
      </w:pPr>
      <w:r w:rsidRPr="00D033FB">
        <w:rPr>
          <w:rFonts w:ascii="Calibri" w:hAnsi="Calibri"/>
        </w:rPr>
        <w:t>-</w:t>
      </w:r>
      <w:r w:rsidRPr="00D033FB">
        <w:rPr>
          <w:rFonts w:ascii="Calibri" w:hAnsi="Calibri"/>
        </w:rPr>
        <w:tab/>
      </w:r>
      <w:r w:rsidRPr="00D033FB">
        <w:t xml:space="preserve">Apply least </w:t>
      </w:r>
      <w:r w:rsidRPr="009D616F">
        <w:rPr>
          <w:b/>
          <w:color w:val="FF0000"/>
          <w:u w:val="single"/>
        </w:rPr>
        <w:t>privilege</w:t>
      </w:r>
      <w:r w:rsidRPr="006F2315">
        <w:rPr>
          <w:color w:val="FF0000"/>
        </w:rPr>
        <w:t xml:space="preserve"> </w:t>
      </w:r>
      <w:r w:rsidRPr="006F2315">
        <w:rPr>
          <w:strike/>
          <w:color w:val="FF0000"/>
        </w:rPr>
        <w:t>access</w:t>
      </w:r>
      <w:r w:rsidRPr="006F2315">
        <w:rPr>
          <w:color w:val="FF0000"/>
        </w:rPr>
        <w:t xml:space="preserve"> principle </w:t>
      </w:r>
      <w:r w:rsidRPr="009D616F">
        <w:rPr>
          <w:b/>
          <w:color w:val="FF0000"/>
        </w:rPr>
        <w:t xml:space="preserve">so that that users, systems, and processes only have access to resources (networks, systems, and files) that are absolutely necessary to perform their </w:t>
      </w:r>
      <w:r w:rsidR="009C6FF7" w:rsidRPr="009D616F">
        <w:rPr>
          <w:b/>
          <w:color w:val="FF0000"/>
        </w:rPr>
        <w:t xml:space="preserve">function </w:t>
      </w:r>
      <w:r w:rsidRPr="009D616F">
        <w:rPr>
          <w:b/>
          <w:color w:val="FF0000"/>
        </w:rPr>
        <w:t>assigned</w:t>
      </w:r>
      <w:r w:rsidR="009C6FF7">
        <w:rPr>
          <w:b/>
          <w:color w:val="FF0000"/>
        </w:rPr>
        <w:t xml:space="preserve"> in compliance with national or regional legislation</w:t>
      </w:r>
      <w:r w:rsidRPr="006F2315">
        <w:rPr>
          <w:color w:val="FF0000"/>
        </w:rPr>
        <w:t xml:space="preserve">. </w:t>
      </w:r>
      <w:r w:rsidRPr="006F2315">
        <w:rPr>
          <w:strike/>
          <w:color w:val="FF0000"/>
        </w:rPr>
        <w:t>to minimise risk</w:t>
      </w:r>
    </w:p>
    <w:p w14:paraId="23EE1FF6" w14:textId="77777777" w:rsidR="00663428" w:rsidRPr="006F2315" w:rsidRDefault="006F2315">
      <w:r w:rsidRPr="006F2315">
        <w:t>(…)</w:t>
      </w:r>
    </w:p>
    <w:sectPr w:rsidR="00663428" w:rsidRPr="006F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3E203813" w14:textId="1936663F" w:rsidR="006F2315" w:rsidRDefault="006F2315">
      <w:pPr>
        <w:pStyle w:val="CommentText"/>
      </w:pPr>
      <w:r>
        <w:rPr>
          <w:rStyle w:val="CommentReference"/>
        </w:rPr>
        <w:annotationRef/>
      </w:r>
      <w:r>
        <w:t xml:space="preserve">These are the amendments proposed by the EC that we </w:t>
      </w:r>
      <w:r w:rsidR="00B2142A">
        <w:t>would like to modify</w:t>
      </w:r>
    </w:p>
  </w:comment>
  <w:comment w:id="5" w:author="Author" w:initials="A">
    <w:p w14:paraId="7513FA8E" w14:textId="77777777" w:rsidR="006F2315" w:rsidRDefault="006F2315">
      <w:pPr>
        <w:pStyle w:val="CommentText"/>
      </w:pPr>
      <w:r>
        <w:rPr>
          <w:rStyle w:val="CommentReference"/>
        </w:rPr>
        <w:annotationRef/>
      </w:r>
      <w:r>
        <w:t>These are the amendments proposed by the EC that we propose with a different wording</w:t>
      </w:r>
    </w:p>
  </w:comment>
  <w:comment w:id="6" w:author="Author" w:initials="A">
    <w:p w14:paraId="1A8008A2" w14:textId="77777777" w:rsidR="006F2315" w:rsidRDefault="006F2315">
      <w:pPr>
        <w:pStyle w:val="CommentText"/>
      </w:pPr>
      <w:r>
        <w:rPr>
          <w:rStyle w:val="CommentReference"/>
        </w:rPr>
        <w:annotationRef/>
      </w:r>
      <w:r>
        <w:t>idem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03813" w15:done="0"/>
  <w15:commentEx w15:paraId="7513FA8E" w15:done="0"/>
  <w15:commentEx w15:paraId="1A8008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A007" w14:textId="77777777" w:rsidR="00ED74E7" w:rsidRDefault="00ED74E7" w:rsidP="00ED74E7">
      <w:pPr>
        <w:spacing w:after="0" w:line="240" w:lineRule="auto"/>
      </w:pPr>
      <w:r>
        <w:separator/>
      </w:r>
    </w:p>
  </w:endnote>
  <w:endnote w:type="continuationSeparator" w:id="0">
    <w:p w14:paraId="2E9E0103" w14:textId="77777777" w:rsidR="00ED74E7" w:rsidRDefault="00ED74E7" w:rsidP="00ED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47CD" w14:textId="77777777" w:rsidR="00ED74E7" w:rsidRDefault="00ED74E7" w:rsidP="00ED74E7">
      <w:pPr>
        <w:spacing w:after="0" w:line="240" w:lineRule="auto"/>
      </w:pPr>
      <w:r>
        <w:separator/>
      </w:r>
    </w:p>
  </w:footnote>
  <w:footnote w:type="continuationSeparator" w:id="0">
    <w:p w14:paraId="2E53F452" w14:textId="77777777" w:rsidR="00ED74E7" w:rsidRDefault="00ED74E7" w:rsidP="00ED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728D"/>
    <w:multiLevelType w:val="multilevel"/>
    <w:tmpl w:val="77E8979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7496E"/>
    <w:rsid w:val="000115C9"/>
    <w:rsid w:val="00165AD5"/>
    <w:rsid w:val="0017496E"/>
    <w:rsid w:val="00282D30"/>
    <w:rsid w:val="00396A23"/>
    <w:rsid w:val="00663428"/>
    <w:rsid w:val="006F2315"/>
    <w:rsid w:val="00771E8E"/>
    <w:rsid w:val="007D2678"/>
    <w:rsid w:val="007E7040"/>
    <w:rsid w:val="00953B40"/>
    <w:rsid w:val="009631D1"/>
    <w:rsid w:val="009C6FF7"/>
    <w:rsid w:val="009D616F"/>
    <w:rsid w:val="00B2142A"/>
    <w:rsid w:val="00E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AA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F2315"/>
    <w:pPr>
      <w:numPr>
        <w:numId w:val="1"/>
      </w:numPr>
      <w:spacing w:after="200" w:line="276" w:lineRule="auto"/>
      <w:outlineLvl w:val="0"/>
    </w:pPr>
    <w:rPr>
      <w:rFonts w:ascii="Times New Roman" w:hAnsi="Times New Roman" w:cs="Times New Roman"/>
      <w:b/>
      <w:sz w:val="28"/>
      <w:szCs w:val="28"/>
      <w:lang w:eastAsia="ko-K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2315"/>
    <w:pPr>
      <w:numPr>
        <w:ilvl w:val="1"/>
        <w:numId w:val="1"/>
      </w:numPr>
      <w:spacing w:after="200" w:line="276" w:lineRule="auto"/>
      <w:outlineLvl w:val="1"/>
    </w:pPr>
    <w:rPr>
      <w:rFonts w:ascii="Times New Roman" w:hAnsi="Times New Roman" w:cs="Times New Roman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31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31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31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31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31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31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31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basedOn w:val="DefaultParagraphFont"/>
    <w:link w:val="SingleTxtG"/>
    <w:rsid w:val="0017496E"/>
    <w:rPr>
      <w:rFonts w:ascii="Times New Roman" w:hAnsi="Times New Roman"/>
      <w:bCs/>
      <w:sz w:val="20"/>
      <w:lang w:eastAsia="en-US"/>
    </w:rPr>
  </w:style>
  <w:style w:type="paragraph" w:customStyle="1" w:styleId="SingleTxtG">
    <w:name w:val="_ Single Txt_G"/>
    <w:basedOn w:val="Normal"/>
    <w:link w:val="SingleTxtGChar"/>
    <w:qFormat/>
    <w:rsid w:val="0017496E"/>
    <w:pPr>
      <w:suppressAutoHyphens/>
      <w:spacing w:after="120" w:line="240" w:lineRule="auto"/>
      <w:ind w:left="2268" w:right="1134" w:hanging="1134"/>
      <w:jc w:val="both"/>
    </w:pPr>
    <w:rPr>
      <w:rFonts w:ascii="Times New Roman" w:hAnsi="Times New Roman"/>
      <w:bCs/>
      <w:sz w:val="20"/>
      <w:lang w:eastAsia="en-US"/>
    </w:rPr>
  </w:style>
  <w:style w:type="paragraph" w:customStyle="1" w:styleId="H1G">
    <w:name w:val="_ H_1_G"/>
    <w:basedOn w:val="Normal"/>
    <w:next w:val="Normal"/>
    <w:link w:val="H1GChar"/>
    <w:rsid w:val="009631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1GChar">
    <w:name w:val="_ H_1_G Char"/>
    <w:link w:val="H1G"/>
    <w:rsid w:val="009631D1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HChG">
    <w:name w:val="_ H _Ch_G"/>
    <w:basedOn w:val="Normal"/>
    <w:next w:val="Normal"/>
    <w:link w:val="HChGChar"/>
    <w:rsid w:val="009631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9631D1"/>
    <w:rPr>
      <w:rFonts w:ascii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9631D1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2315"/>
    <w:rPr>
      <w:rFonts w:ascii="Times New Roman" w:hAnsi="Times New Roman" w:cs="Times New Roman"/>
      <w:b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F2315"/>
    <w:rPr>
      <w:rFonts w:ascii="Times New Roman" w:hAnsi="Times New Roman" w:cs="Times New Roman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F2315"/>
    <w:rPr>
      <w:rFonts w:asciiTheme="majorHAnsi" w:eastAsiaTheme="majorEastAsia" w:hAnsiTheme="majorHAnsi" w:cstheme="majorBidi"/>
      <w:b/>
      <w:bCs/>
      <w:color w:val="5B9BD5" w:themeColor="accent1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315"/>
    <w:rPr>
      <w:rFonts w:asciiTheme="majorHAnsi" w:eastAsiaTheme="majorEastAsia" w:hAnsiTheme="majorHAnsi" w:cstheme="majorBidi"/>
      <w:b/>
      <w:bCs/>
      <w:i/>
      <w:iCs/>
      <w:color w:val="5B9BD5" w:themeColor="accent1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315"/>
    <w:rPr>
      <w:rFonts w:asciiTheme="majorHAnsi" w:eastAsiaTheme="majorEastAsia" w:hAnsiTheme="majorHAnsi" w:cstheme="majorBidi"/>
      <w:color w:val="1F4D78" w:themeColor="accent1" w:themeShade="7F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315"/>
    <w:rPr>
      <w:rFonts w:asciiTheme="majorHAnsi" w:eastAsiaTheme="majorEastAsia" w:hAnsiTheme="majorHAnsi" w:cstheme="majorBidi"/>
      <w:i/>
      <w:iCs/>
      <w:color w:val="1F4D78" w:themeColor="accent1" w:themeShade="7F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315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3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6F2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1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F23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3809</Characters>
  <Application>Microsoft Office Word</Application>
  <DocSecurity>0</DocSecurity>
  <Lines>115</Lines>
  <Paragraphs>58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2019-09-13T16:45:00Z</dcterms:created>
  <dcterms:modified xsi:type="dcterms:W3CDTF">2019-09-13T16:45:00Z</dcterms:modified>
</cp:coreProperties>
</file>